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D373D" w14:textId="77777777" w:rsidR="00A93EA9" w:rsidRDefault="00A93EA9" w:rsidP="003F6F1A">
      <w:pPr>
        <w:pStyle w:val="NormalWeb"/>
        <w:pBdr>
          <w:bottom w:val="single" w:sz="12" w:space="1" w:color="auto"/>
        </w:pBdr>
        <w:spacing w:before="0" w:beforeAutospacing="0" w:after="0" w:afterAutospacing="0"/>
        <w:rPr>
          <w:rFonts w:ascii="Arial" w:hAnsi="Arial" w:cs="Arial"/>
          <w:b/>
          <w:bCs/>
          <w:color w:val="000000"/>
          <w:sz w:val="20"/>
          <w:szCs w:val="20"/>
        </w:rPr>
      </w:pPr>
      <w:bookmarkStart w:id="0" w:name="_GoBack"/>
      <w:bookmarkEnd w:id="0"/>
    </w:p>
    <w:p w14:paraId="043CFE2C" w14:textId="77777777" w:rsidR="00007ADF" w:rsidRPr="00C90A0A" w:rsidRDefault="00A93EA9" w:rsidP="003F6F1A">
      <w:pPr>
        <w:pStyle w:val="NormalWeb"/>
        <w:spacing w:before="240" w:beforeAutospacing="0" w:after="0" w:afterAutospacing="0"/>
        <w:jc w:val="center"/>
        <w:rPr>
          <w:rFonts w:ascii="Arial" w:hAnsi="Arial" w:cs="Arial"/>
          <w:b/>
          <w:bCs/>
          <w:color w:val="000000"/>
          <w:sz w:val="20"/>
          <w:szCs w:val="20"/>
        </w:rPr>
      </w:pPr>
      <w:r>
        <w:rPr>
          <w:rFonts w:ascii="Arial" w:hAnsi="Arial" w:cs="Arial"/>
          <w:b/>
          <w:bCs/>
          <w:color w:val="000000"/>
          <w:sz w:val="20"/>
          <w:szCs w:val="20"/>
        </w:rPr>
        <w:t>MANAGEMENT DISCUSSIONS AND ANALYSIS</w:t>
      </w:r>
    </w:p>
    <w:p w14:paraId="32EF9DC0" w14:textId="77777777" w:rsidR="00007ADF" w:rsidRPr="00C90A0A" w:rsidRDefault="00007ADF" w:rsidP="003F6F1A">
      <w:pPr>
        <w:pStyle w:val="NormalWeb"/>
        <w:spacing w:before="0" w:beforeAutospacing="0" w:after="0" w:afterAutospacing="0"/>
        <w:jc w:val="center"/>
        <w:rPr>
          <w:rFonts w:ascii="Arial" w:hAnsi="Arial" w:cs="Arial"/>
          <w:b/>
          <w:bCs/>
          <w:color w:val="000000"/>
          <w:sz w:val="20"/>
          <w:szCs w:val="20"/>
        </w:rPr>
      </w:pPr>
    </w:p>
    <w:p w14:paraId="2D839855" w14:textId="77777777" w:rsidR="00007ADF" w:rsidRPr="00A93EA9" w:rsidRDefault="00A93EA9" w:rsidP="003F6F1A">
      <w:pPr>
        <w:pBdr>
          <w:bottom w:val="single" w:sz="12" w:space="1" w:color="auto"/>
        </w:pBdr>
        <w:spacing w:after="0"/>
        <w:jc w:val="center"/>
        <w:rPr>
          <w:rFonts w:ascii="Arial" w:hAnsi="Arial" w:cs="Arial"/>
          <w:b/>
          <w:sz w:val="20"/>
          <w:szCs w:val="20"/>
        </w:rPr>
      </w:pPr>
      <w:r>
        <w:rPr>
          <w:b/>
        </w:rPr>
        <w:t xml:space="preserve">For the </w:t>
      </w:r>
      <w:r w:rsidR="00E27B44">
        <w:rPr>
          <w:b/>
        </w:rPr>
        <w:t xml:space="preserve">three </w:t>
      </w:r>
      <w:r w:rsidR="00291101">
        <w:rPr>
          <w:b/>
        </w:rPr>
        <w:t xml:space="preserve">and six </w:t>
      </w:r>
      <w:r w:rsidR="00E27B44">
        <w:rPr>
          <w:b/>
        </w:rPr>
        <w:t xml:space="preserve">months </w:t>
      </w:r>
      <w:r>
        <w:rPr>
          <w:b/>
        </w:rPr>
        <w:t xml:space="preserve">ended </w:t>
      </w:r>
      <w:r w:rsidR="00291101">
        <w:rPr>
          <w:b/>
        </w:rPr>
        <w:t>June 30</w:t>
      </w:r>
      <w:r>
        <w:rPr>
          <w:b/>
        </w:rPr>
        <w:t>, 201</w:t>
      </w:r>
      <w:r w:rsidR="00E27B44">
        <w:rPr>
          <w:b/>
        </w:rPr>
        <w:t>9</w:t>
      </w:r>
      <w:r>
        <w:rPr>
          <w:b/>
        </w:rPr>
        <w:t xml:space="preserve"> and 201</w:t>
      </w:r>
      <w:r w:rsidR="00E27B44">
        <w:rPr>
          <w:b/>
        </w:rPr>
        <w:t>8</w:t>
      </w:r>
    </w:p>
    <w:p w14:paraId="2C77B698" w14:textId="77777777" w:rsidR="00A93EA9" w:rsidRPr="00C90A0A" w:rsidRDefault="00A93EA9" w:rsidP="003F6F1A">
      <w:pPr>
        <w:spacing w:after="0"/>
        <w:rPr>
          <w:rFonts w:ascii="Arial" w:hAnsi="Arial" w:cs="Arial"/>
          <w:sz w:val="20"/>
          <w:szCs w:val="20"/>
        </w:rPr>
      </w:pPr>
    </w:p>
    <w:p w14:paraId="07A4A42A" w14:textId="71A3C18C" w:rsidR="00A93EA9" w:rsidRDefault="00A93EA9" w:rsidP="003F6F1A">
      <w:pPr>
        <w:spacing w:after="0"/>
        <w:jc w:val="both"/>
        <w:rPr>
          <w:rFonts w:ascii="Arial" w:hAnsi="Arial" w:cs="Arial"/>
          <w:sz w:val="20"/>
          <w:szCs w:val="20"/>
        </w:rPr>
      </w:pPr>
      <w:r w:rsidRPr="00A93EA9">
        <w:rPr>
          <w:rFonts w:ascii="Arial" w:hAnsi="Arial" w:cs="Arial"/>
          <w:sz w:val="20"/>
          <w:szCs w:val="20"/>
        </w:rPr>
        <w:t xml:space="preserve">The following Management’s Discussion and Analysis (“MD&amp;A”) for </w:t>
      </w:r>
      <w:r w:rsidRPr="00C90A0A">
        <w:rPr>
          <w:rFonts w:ascii="Arial" w:hAnsi="Arial" w:cs="Arial"/>
          <w:sz w:val="20"/>
          <w:szCs w:val="20"/>
        </w:rPr>
        <w:t>Empower Clinics Inc</w:t>
      </w:r>
      <w:r w:rsidRPr="00A93EA9">
        <w:rPr>
          <w:rFonts w:ascii="Arial" w:hAnsi="Arial" w:cs="Arial"/>
          <w:sz w:val="20"/>
          <w:szCs w:val="20"/>
        </w:rPr>
        <w:t>.</w:t>
      </w:r>
      <w:r>
        <w:rPr>
          <w:rFonts w:ascii="Arial" w:hAnsi="Arial" w:cs="Arial"/>
          <w:sz w:val="20"/>
          <w:szCs w:val="20"/>
        </w:rPr>
        <w:t>,</w:t>
      </w:r>
      <w:r w:rsidRPr="00A93EA9">
        <w:rPr>
          <w:rFonts w:ascii="Arial" w:hAnsi="Arial" w:cs="Arial"/>
          <w:sz w:val="20"/>
          <w:szCs w:val="20"/>
        </w:rPr>
        <w:t xml:space="preserve"> together with its wholly owned subsidiaries (“</w:t>
      </w:r>
      <w:r>
        <w:rPr>
          <w:rFonts w:ascii="Arial" w:hAnsi="Arial" w:cs="Arial"/>
          <w:sz w:val="20"/>
          <w:szCs w:val="20"/>
        </w:rPr>
        <w:t>Empower</w:t>
      </w:r>
      <w:r w:rsidRPr="00A93EA9">
        <w:rPr>
          <w:rFonts w:ascii="Arial" w:hAnsi="Arial" w:cs="Arial"/>
          <w:sz w:val="20"/>
          <w:szCs w:val="20"/>
        </w:rPr>
        <w:t>” or “the Company”) is prepared as</w:t>
      </w:r>
      <w:r w:rsidR="006E3636">
        <w:rPr>
          <w:rFonts w:ascii="Arial" w:hAnsi="Arial" w:cs="Arial"/>
          <w:sz w:val="20"/>
          <w:szCs w:val="20"/>
        </w:rPr>
        <w:t xml:space="preserve"> of </w:t>
      </w:r>
      <w:r w:rsidR="00291101">
        <w:rPr>
          <w:rFonts w:ascii="Arial" w:hAnsi="Arial" w:cs="Arial"/>
          <w:sz w:val="20"/>
          <w:szCs w:val="20"/>
        </w:rPr>
        <w:t xml:space="preserve">August </w:t>
      </w:r>
      <w:r w:rsidR="006653F4">
        <w:rPr>
          <w:rFonts w:ascii="Arial" w:hAnsi="Arial" w:cs="Arial"/>
          <w:sz w:val="20"/>
          <w:szCs w:val="20"/>
        </w:rPr>
        <w:t>14</w:t>
      </w:r>
      <w:r w:rsidRPr="00A93EA9">
        <w:rPr>
          <w:rFonts w:ascii="Arial" w:hAnsi="Arial" w:cs="Arial"/>
          <w:sz w:val="20"/>
          <w:szCs w:val="20"/>
        </w:rPr>
        <w:t xml:space="preserve">, 2019, and relates to the financial condition and results of operations for the </w:t>
      </w:r>
      <w:r w:rsidR="008F357A">
        <w:rPr>
          <w:rFonts w:ascii="Arial" w:hAnsi="Arial" w:cs="Arial"/>
          <w:sz w:val="20"/>
          <w:szCs w:val="20"/>
        </w:rPr>
        <w:t>three</w:t>
      </w:r>
      <w:r w:rsidR="00291101">
        <w:rPr>
          <w:rFonts w:ascii="Arial" w:hAnsi="Arial" w:cs="Arial"/>
          <w:sz w:val="20"/>
          <w:szCs w:val="20"/>
        </w:rPr>
        <w:t xml:space="preserve"> and six </w:t>
      </w:r>
      <w:r w:rsidR="008F357A">
        <w:rPr>
          <w:rFonts w:ascii="Arial" w:hAnsi="Arial" w:cs="Arial"/>
          <w:sz w:val="20"/>
          <w:szCs w:val="20"/>
        </w:rPr>
        <w:t xml:space="preserve">months </w:t>
      </w:r>
      <w:r w:rsidRPr="00A93EA9">
        <w:rPr>
          <w:rFonts w:ascii="Arial" w:hAnsi="Arial" w:cs="Arial"/>
          <w:sz w:val="20"/>
          <w:szCs w:val="20"/>
        </w:rPr>
        <w:t xml:space="preserve">ended </w:t>
      </w:r>
      <w:r w:rsidR="00291101">
        <w:rPr>
          <w:rFonts w:ascii="Arial" w:hAnsi="Arial" w:cs="Arial"/>
          <w:sz w:val="20"/>
          <w:szCs w:val="20"/>
        </w:rPr>
        <w:t>June 30</w:t>
      </w:r>
      <w:r w:rsidRPr="00A93EA9">
        <w:rPr>
          <w:rFonts w:ascii="Arial" w:hAnsi="Arial" w:cs="Arial"/>
          <w:sz w:val="20"/>
          <w:szCs w:val="20"/>
        </w:rPr>
        <w:t>, 201</w:t>
      </w:r>
      <w:r w:rsidR="008F357A">
        <w:rPr>
          <w:rFonts w:ascii="Arial" w:hAnsi="Arial" w:cs="Arial"/>
          <w:sz w:val="20"/>
          <w:szCs w:val="20"/>
        </w:rPr>
        <w:t>9</w:t>
      </w:r>
      <w:r w:rsidRPr="00A93EA9">
        <w:rPr>
          <w:rFonts w:ascii="Arial" w:hAnsi="Arial" w:cs="Arial"/>
          <w:sz w:val="20"/>
          <w:szCs w:val="20"/>
        </w:rPr>
        <w:t xml:space="preserve"> and 201</w:t>
      </w:r>
      <w:r w:rsidR="008F357A">
        <w:rPr>
          <w:rFonts w:ascii="Arial" w:hAnsi="Arial" w:cs="Arial"/>
          <w:sz w:val="20"/>
          <w:szCs w:val="20"/>
        </w:rPr>
        <w:t>8</w:t>
      </w:r>
      <w:r w:rsidRPr="00A93EA9">
        <w:rPr>
          <w:rFonts w:ascii="Arial" w:hAnsi="Arial" w:cs="Arial"/>
          <w:sz w:val="20"/>
          <w:szCs w:val="20"/>
        </w:rPr>
        <w:t xml:space="preserve">. Past performance may not be indicative of future performance. This MD&amp;A should be read in conjunction with the </w:t>
      </w:r>
      <w:r w:rsidR="00E27B44">
        <w:rPr>
          <w:rFonts w:ascii="Arial" w:hAnsi="Arial" w:cs="Arial"/>
          <w:sz w:val="20"/>
          <w:szCs w:val="20"/>
        </w:rPr>
        <w:t>una</w:t>
      </w:r>
      <w:r w:rsidRPr="00A93EA9">
        <w:rPr>
          <w:rFonts w:ascii="Arial" w:hAnsi="Arial" w:cs="Arial"/>
          <w:sz w:val="20"/>
          <w:szCs w:val="20"/>
        </w:rPr>
        <w:t xml:space="preserve">udited </w:t>
      </w:r>
      <w:r w:rsidR="00E27B44">
        <w:rPr>
          <w:rFonts w:ascii="Arial" w:hAnsi="Arial" w:cs="Arial"/>
          <w:sz w:val="20"/>
          <w:szCs w:val="20"/>
        </w:rPr>
        <w:t xml:space="preserve">condensed interim </w:t>
      </w:r>
      <w:r w:rsidRPr="00A93EA9">
        <w:rPr>
          <w:rFonts w:ascii="Arial" w:hAnsi="Arial" w:cs="Arial"/>
          <w:sz w:val="20"/>
          <w:szCs w:val="20"/>
        </w:rPr>
        <w:t xml:space="preserve">consolidated financial statements (“consolidated financial statements”) and related notes for the </w:t>
      </w:r>
      <w:r w:rsidR="008F357A">
        <w:rPr>
          <w:rFonts w:ascii="Arial" w:hAnsi="Arial" w:cs="Arial"/>
          <w:sz w:val="20"/>
          <w:szCs w:val="20"/>
        </w:rPr>
        <w:t xml:space="preserve">three </w:t>
      </w:r>
      <w:r w:rsidR="00291101">
        <w:rPr>
          <w:rFonts w:ascii="Arial" w:hAnsi="Arial" w:cs="Arial"/>
          <w:sz w:val="20"/>
          <w:szCs w:val="20"/>
        </w:rPr>
        <w:t xml:space="preserve">and six </w:t>
      </w:r>
      <w:r w:rsidR="008F357A">
        <w:rPr>
          <w:rFonts w:ascii="Arial" w:hAnsi="Arial" w:cs="Arial"/>
          <w:sz w:val="20"/>
          <w:szCs w:val="20"/>
        </w:rPr>
        <w:t xml:space="preserve">months ended </w:t>
      </w:r>
      <w:r w:rsidR="00291101">
        <w:rPr>
          <w:rFonts w:ascii="Arial" w:hAnsi="Arial" w:cs="Arial"/>
          <w:sz w:val="20"/>
          <w:szCs w:val="20"/>
        </w:rPr>
        <w:t>June 30</w:t>
      </w:r>
      <w:r w:rsidR="008F357A">
        <w:rPr>
          <w:rFonts w:ascii="Arial" w:hAnsi="Arial" w:cs="Arial"/>
          <w:sz w:val="20"/>
          <w:szCs w:val="20"/>
        </w:rPr>
        <w:t>, 2019 and 2018</w:t>
      </w:r>
      <w:r w:rsidRPr="00A93EA9">
        <w:rPr>
          <w:rFonts w:ascii="Arial" w:hAnsi="Arial" w:cs="Arial"/>
          <w:sz w:val="20"/>
          <w:szCs w:val="20"/>
        </w:rPr>
        <w:t>, which have been prepared using accounting policies consistent with International Financial Reporting Standards as issued by the International Accounting Standards Board (“IFRS” or “GAAP”).</w:t>
      </w:r>
      <w:r w:rsidR="00E27B44">
        <w:rPr>
          <w:rFonts w:ascii="Arial" w:hAnsi="Arial" w:cs="Arial"/>
          <w:sz w:val="20"/>
          <w:szCs w:val="20"/>
        </w:rPr>
        <w:t xml:space="preserve"> </w:t>
      </w:r>
    </w:p>
    <w:p w14:paraId="523A828C" w14:textId="77777777" w:rsidR="00291101" w:rsidRDefault="00291101" w:rsidP="003F6F1A">
      <w:pPr>
        <w:spacing w:after="0"/>
        <w:jc w:val="both"/>
        <w:rPr>
          <w:rFonts w:ascii="Arial" w:hAnsi="Arial" w:cs="Arial"/>
          <w:spacing w:val="-2"/>
          <w:sz w:val="20"/>
          <w:szCs w:val="20"/>
        </w:rPr>
      </w:pPr>
    </w:p>
    <w:p w14:paraId="29AF23E8" w14:textId="77777777" w:rsidR="00A93EA9" w:rsidRPr="00105B24" w:rsidRDefault="00A93EA9" w:rsidP="003F6F1A">
      <w:pPr>
        <w:spacing w:after="0"/>
        <w:jc w:val="both"/>
        <w:rPr>
          <w:rFonts w:ascii="Arial" w:hAnsi="Arial" w:cs="Arial"/>
          <w:spacing w:val="-2"/>
          <w:sz w:val="20"/>
          <w:szCs w:val="20"/>
        </w:rPr>
      </w:pPr>
      <w:r w:rsidRPr="00105B24">
        <w:rPr>
          <w:rFonts w:ascii="Arial" w:hAnsi="Arial" w:cs="Arial"/>
          <w:spacing w:val="-2"/>
          <w:sz w:val="20"/>
          <w:szCs w:val="20"/>
        </w:rPr>
        <w:t xml:space="preserve">The first, second, third and fourth quarters of the Company’s fiscal years are referred to as “Q1”, “Q2”, “Q3” and “Q4”, respectively. </w:t>
      </w:r>
      <w:r w:rsidR="00AB647D">
        <w:rPr>
          <w:rFonts w:ascii="Arial" w:hAnsi="Arial" w:cs="Arial"/>
          <w:spacing w:val="-2"/>
          <w:sz w:val="20"/>
          <w:szCs w:val="20"/>
        </w:rPr>
        <w:t xml:space="preserve">The six months ended June 30, 2019 and 2018 are referred to as “YTD 2019” and “YTD 2018”, respectively. </w:t>
      </w:r>
      <w:r w:rsidRPr="00105B24">
        <w:rPr>
          <w:rFonts w:ascii="Arial" w:hAnsi="Arial" w:cs="Arial"/>
          <w:spacing w:val="-2"/>
          <w:sz w:val="20"/>
          <w:szCs w:val="20"/>
        </w:rPr>
        <w:t>The years ended December 31, 2018 and 2017, are also referred to as “fiscal 2018” and “fiscal 2017”, respectively. All amounts are presented in United States dollars, the Company’s presentation currency, unless otherwise stated. References to “C$” are to Canadian dollars.</w:t>
      </w:r>
    </w:p>
    <w:p w14:paraId="3F01361A" w14:textId="77777777" w:rsidR="001F1660" w:rsidRPr="00105B24" w:rsidRDefault="001F1660" w:rsidP="003F6F1A">
      <w:pPr>
        <w:spacing w:after="0"/>
        <w:jc w:val="both"/>
        <w:rPr>
          <w:rFonts w:ascii="Arial" w:hAnsi="Arial" w:cs="Arial"/>
          <w:spacing w:val="-2"/>
          <w:sz w:val="20"/>
          <w:szCs w:val="20"/>
        </w:rPr>
      </w:pPr>
    </w:p>
    <w:p w14:paraId="2C854D7A" w14:textId="77777777" w:rsidR="00007ADF" w:rsidRPr="00105B24" w:rsidRDefault="001F1660" w:rsidP="003F6F1A">
      <w:pPr>
        <w:spacing w:after="0"/>
        <w:jc w:val="both"/>
        <w:rPr>
          <w:rFonts w:ascii="Arial" w:hAnsi="Arial" w:cs="Arial"/>
          <w:spacing w:val="-2"/>
          <w:sz w:val="20"/>
          <w:szCs w:val="20"/>
        </w:rPr>
      </w:pPr>
      <w:r w:rsidRPr="00105B24">
        <w:rPr>
          <w:rFonts w:ascii="Arial" w:hAnsi="Arial" w:cs="Arial"/>
          <w:spacing w:val="-2"/>
          <w:sz w:val="20"/>
          <w:szCs w:val="20"/>
        </w:rPr>
        <w:t>Statements are subject to the risks and uncertainties identified in the “Risks and Uncertainties”, and “Cautionary Note Regarding Forward-Looking Statements” sections of this document.</w:t>
      </w:r>
    </w:p>
    <w:p w14:paraId="10FA067B" w14:textId="77777777" w:rsidR="004052CA" w:rsidRPr="00105B24" w:rsidRDefault="004052CA" w:rsidP="003F6F1A">
      <w:pPr>
        <w:spacing w:after="0"/>
        <w:jc w:val="both"/>
        <w:rPr>
          <w:rFonts w:ascii="Arial" w:hAnsi="Arial" w:cs="Arial"/>
          <w:spacing w:val="-2"/>
          <w:sz w:val="20"/>
          <w:szCs w:val="20"/>
        </w:rPr>
      </w:pPr>
    </w:p>
    <w:p w14:paraId="62D76942" w14:textId="77777777" w:rsidR="001F1660" w:rsidRPr="00105B24" w:rsidRDefault="001F1660" w:rsidP="003F6F1A">
      <w:pPr>
        <w:spacing w:after="0"/>
        <w:jc w:val="both"/>
        <w:rPr>
          <w:rFonts w:ascii="Arial" w:hAnsi="Arial" w:cs="Arial"/>
          <w:spacing w:val="-2"/>
          <w:sz w:val="20"/>
          <w:szCs w:val="20"/>
        </w:rPr>
      </w:pPr>
      <w:r w:rsidRPr="00105B24">
        <w:rPr>
          <w:rFonts w:ascii="Arial" w:hAnsi="Arial" w:cs="Arial"/>
          <w:spacing w:val="-2"/>
          <w:sz w:val="20"/>
          <w:szCs w:val="20"/>
        </w:rPr>
        <w:t xml:space="preserve">We are publicly traded on the Canadian </w:t>
      </w:r>
      <w:r w:rsidR="006E2D4B" w:rsidRPr="00105B24">
        <w:rPr>
          <w:rFonts w:ascii="Arial" w:hAnsi="Arial" w:cs="Arial"/>
          <w:spacing w:val="-2"/>
          <w:sz w:val="20"/>
          <w:szCs w:val="20"/>
        </w:rPr>
        <w:t>Securities</w:t>
      </w:r>
      <w:r w:rsidRPr="00105B24">
        <w:rPr>
          <w:rFonts w:ascii="Arial" w:hAnsi="Arial" w:cs="Arial"/>
          <w:spacing w:val="-2"/>
          <w:sz w:val="20"/>
          <w:szCs w:val="20"/>
        </w:rPr>
        <w:t xml:space="preserve"> Exchange (“Exchange”) under the symbol </w:t>
      </w:r>
      <w:r w:rsidR="005811F3" w:rsidRPr="00105B24">
        <w:rPr>
          <w:rFonts w:ascii="Arial" w:hAnsi="Arial" w:cs="Arial"/>
          <w:spacing w:val="-2"/>
          <w:sz w:val="20"/>
          <w:szCs w:val="20"/>
        </w:rPr>
        <w:t>CBDT</w:t>
      </w:r>
      <w:r w:rsidR="00C00F4C" w:rsidRPr="00105B24">
        <w:rPr>
          <w:rFonts w:ascii="Arial" w:hAnsi="Arial" w:cs="Arial"/>
          <w:spacing w:val="-2"/>
          <w:sz w:val="20"/>
          <w:szCs w:val="20"/>
        </w:rPr>
        <w:t>, quoted on the OTCQX under the symbol “EPWCF” and quoted on the Frankfurt Stock Exchange under the symbol “8EC.F 8EC.MU, 8EC.SG”</w:t>
      </w:r>
      <w:r w:rsidRPr="00105B24">
        <w:rPr>
          <w:rFonts w:ascii="Arial" w:hAnsi="Arial" w:cs="Arial"/>
          <w:spacing w:val="-2"/>
          <w:sz w:val="20"/>
          <w:szCs w:val="20"/>
        </w:rPr>
        <w:t>. Continuous disclosure materials are available on our website at www.</w:t>
      </w:r>
      <w:r w:rsidR="005811F3" w:rsidRPr="00105B24">
        <w:rPr>
          <w:rFonts w:ascii="Arial" w:hAnsi="Arial" w:cs="Arial"/>
          <w:spacing w:val="-2"/>
          <w:sz w:val="20"/>
          <w:szCs w:val="20"/>
        </w:rPr>
        <w:t>empowerclinics</w:t>
      </w:r>
      <w:r w:rsidRPr="00105B24">
        <w:rPr>
          <w:rFonts w:ascii="Arial" w:hAnsi="Arial" w:cs="Arial"/>
          <w:spacing w:val="-2"/>
          <w:sz w:val="20"/>
          <w:szCs w:val="20"/>
        </w:rPr>
        <w:t xml:space="preserve">.com, and on SEDAR at </w:t>
      </w:r>
      <w:r w:rsidR="005811F3" w:rsidRPr="00105B24">
        <w:rPr>
          <w:rFonts w:ascii="Arial" w:hAnsi="Arial" w:cs="Arial"/>
          <w:spacing w:val="-2"/>
          <w:sz w:val="20"/>
          <w:szCs w:val="20"/>
        </w:rPr>
        <w:t>www.sedar.com</w:t>
      </w:r>
      <w:r w:rsidRPr="00105B24">
        <w:rPr>
          <w:rFonts w:ascii="Arial" w:hAnsi="Arial" w:cs="Arial"/>
          <w:spacing w:val="-2"/>
          <w:sz w:val="20"/>
          <w:szCs w:val="20"/>
        </w:rPr>
        <w:t>.</w:t>
      </w:r>
    </w:p>
    <w:p w14:paraId="7CEDFB3D" w14:textId="77777777" w:rsidR="00C00F4C" w:rsidRDefault="00C00F4C" w:rsidP="003F6F1A">
      <w:pPr>
        <w:spacing w:after="0"/>
        <w:jc w:val="both"/>
        <w:rPr>
          <w:rFonts w:ascii="Arial" w:hAnsi="Arial" w:cs="Arial"/>
          <w:sz w:val="20"/>
          <w:szCs w:val="20"/>
        </w:rPr>
      </w:pPr>
    </w:p>
    <w:p w14:paraId="50CC5370" w14:textId="77777777" w:rsidR="006C64D9" w:rsidRPr="006C64D9" w:rsidRDefault="006C64D9" w:rsidP="003F6F1A">
      <w:pPr>
        <w:rPr>
          <w:rFonts w:ascii="Arial" w:hAnsi="Arial" w:cs="Arial"/>
          <w:b/>
          <w:sz w:val="20"/>
          <w:szCs w:val="20"/>
        </w:rPr>
      </w:pPr>
      <w:r w:rsidRPr="006C64D9">
        <w:rPr>
          <w:rFonts w:ascii="Arial" w:hAnsi="Arial" w:cs="Arial"/>
          <w:b/>
          <w:sz w:val="20"/>
          <w:szCs w:val="20"/>
        </w:rPr>
        <w:t>Nature of Operations and Going Concern</w:t>
      </w:r>
    </w:p>
    <w:p w14:paraId="49A9C854" w14:textId="77777777" w:rsidR="000A57E7" w:rsidRDefault="006C64D9" w:rsidP="003F6F1A">
      <w:pPr>
        <w:spacing w:after="0"/>
        <w:jc w:val="both"/>
        <w:rPr>
          <w:rFonts w:ascii="Arial" w:hAnsi="Arial" w:cs="Arial"/>
          <w:spacing w:val="-2"/>
          <w:sz w:val="20"/>
          <w:szCs w:val="20"/>
        </w:rPr>
      </w:pPr>
      <w:r w:rsidRPr="00C90A0A">
        <w:rPr>
          <w:rFonts w:ascii="Arial" w:hAnsi="Arial" w:cs="Arial"/>
          <w:spacing w:val="-2"/>
          <w:sz w:val="20"/>
          <w:szCs w:val="20"/>
        </w:rPr>
        <w:t xml:space="preserve">As at </w:t>
      </w:r>
      <w:r w:rsidR="00291101">
        <w:rPr>
          <w:rFonts w:ascii="Arial" w:hAnsi="Arial" w:cs="Arial"/>
          <w:spacing w:val="-2"/>
          <w:sz w:val="20"/>
          <w:szCs w:val="20"/>
        </w:rPr>
        <w:t>June 30</w:t>
      </w:r>
      <w:r w:rsidR="00DE205C">
        <w:rPr>
          <w:rFonts w:ascii="Arial" w:hAnsi="Arial" w:cs="Arial"/>
          <w:spacing w:val="-2"/>
          <w:sz w:val="20"/>
          <w:szCs w:val="20"/>
        </w:rPr>
        <w:t>, 201</w:t>
      </w:r>
      <w:r w:rsidR="008F357A">
        <w:rPr>
          <w:rFonts w:ascii="Arial" w:hAnsi="Arial" w:cs="Arial"/>
          <w:spacing w:val="-2"/>
          <w:sz w:val="20"/>
          <w:szCs w:val="20"/>
        </w:rPr>
        <w:t>9</w:t>
      </w:r>
      <w:r w:rsidRPr="00C90A0A">
        <w:rPr>
          <w:rFonts w:ascii="Arial" w:hAnsi="Arial" w:cs="Arial"/>
          <w:spacing w:val="-2"/>
          <w:sz w:val="20"/>
          <w:szCs w:val="20"/>
        </w:rPr>
        <w:t xml:space="preserve">, the Company has an accumulated deficit </w:t>
      </w:r>
      <w:r w:rsidRPr="00B52C92">
        <w:rPr>
          <w:rFonts w:ascii="Arial" w:hAnsi="Arial" w:cs="Arial"/>
          <w:spacing w:val="-2"/>
          <w:sz w:val="20"/>
          <w:szCs w:val="20"/>
        </w:rPr>
        <w:t>of $</w:t>
      </w:r>
      <w:r w:rsidR="001A480E" w:rsidRPr="001A480E">
        <w:rPr>
          <w:rFonts w:ascii="Arial" w:hAnsi="Arial" w:cs="Arial"/>
          <w:sz w:val="20"/>
          <w:szCs w:val="20"/>
        </w:rPr>
        <w:t>10,</w:t>
      </w:r>
      <w:r w:rsidR="00FD4F52">
        <w:rPr>
          <w:rFonts w:ascii="Arial" w:hAnsi="Arial" w:cs="Arial"/>
          <w:sz w:val="20"/>
          <w:szCs w:val="20"/>
        </w:rPr>
        <w:t>688,436</w:t>
      </w:r>
      <w:r w:rsidR="001A480E" w:rsidRPr="001A480E">
        <w:rPr>
          <w:rFonts w:ascii="Arial" w:hAnsi="Arial" w:cs="Arial"/>
          <w:sz w:val="20"/>
          <w:szCs w:val="20"/>
        </w:rPr>
        <w:t xml:space="preserve"> </w:t>
      </w:r>
      <w:r w:rsidRPr="00C90A0A">
        <w:rPr>
          <w:rFonts w:ascii="Arial" w:hAnsi="Arial" w:cs="Arial"/>
          <w:spacing w:val="-2"/>
          <w:sz w:val="20"/>
          <w:szCs w:val="20"/>
        </w:rPr>
        <w:t xml:space="preserve">(December 31, </w:t>
      </w:r>
      <w:r w:rsidR="00DE205C" w:rsidRPr="00C90A0A">
        <w:rPr>
          <w:rFonts w:ascii="Arial" w:hAnsi="Arial" w:cs="Arial"/>
          <w:spacing w:val="-2"/>
          <w:sz w:val="20"/>
          <w:szCs w:val="20"/>
        </w:rPr>
        <w:t>201</w:t>
      </w:r>
      <w:r w:rsidR="008F357A">
        <w:rPr>
          <w:rFonts w:ascii="Arial" w:hAnsi="Arial" w:cs="Arial"/>
          <w:spacing w:val="-2"/>
          <w:sz w:val="20"/>
          <w:szCs w:val="20"/>
        </w:rPr>
        <w:t>8</w:t>
      </w:r>
      <w:r w:rsidR="00DE205C" w:rsidRPr="00C90A0A">
        <w:rPr>
          <w:rFonts w:ascii="Arial" w:hAnsi="Arial" w:cs="Arial"/>
          <w:spacing w:val="-2"/>
          <w:sz w:val="20"/>
          <w:szCs w:val="20"/>
        </w:rPr>
        <w:t xml:space="preserve"> </w:t>
      </w:r>
      <w:r w:rsidRPr="00C90A0A">
        <w:rPr>
          <w:rFonts w:ascii="Arial" w:hAnsi="Arial" w:cs="Arial"/>
          <w:spacing w:val="-2"/>
          <w:sz w:val="20"/>
          <w:szCs w:val="20"/>
        </w:rPr>
        <w:t xml:space="preserve">- </w:t>
      </w:r>
      <w:r w:rsidRPr="00B52C92">
        <w:rPr>
          <w:rFonts w:ascii="Arial" w:hAnsi="Arial" w:cs="Arial"/>
          <w:spacing w:val="-2"/>
          <w:sz w:val="20"/>
          <w:szCs w:val="20"/>
        </w:rPr>
        <w:t>$</w:t>
      </w:r>
      <w:r w:rsidR="009C2644">
        <w:rPr>
          <w:rFonts w:ascii="Arial" w:hAnsi="Arial" w:cs="Arial"/>
          <w:spacing w:val="-2"/>
          <w:sz w:val="20"/>
          <w:szCs w:val="20"/>
        </w:rPr>
        <w:t>9,</w:t>
      </w:r>
      <w:r w:rsidR="00BC0961">
        <w:rPr>
          <w:rFonts w:ascii="Arial" w:hAnsi="Arial" w:cs="Arial"/>
          <w:spacing w:val="-2"/>
          <w:sz w:val="20"/>
          <w:szCs w:val="20"/>
        </w:rPr>
        <w:t>369,941</w:t>
      </w:r>
      <w:r w:rsidRPr="00B52C92">
        <w:rPr>
          <w:rFonts w:ascii="Arial" w:hAnsi="Arial" w:cs="Arial"/>
          <w:spacing w:val="-2"/>
          <w:sz w:val="20"/>
          <w:szCs w:val="20"/>
        </w:rPr>
        <w:t>).</w:t>
      </w:r>
      <w:r w:rsidRPr="00C90A0A">
        <w:rPr>
          <w:rFonts w:ascii="Arial" w:hAnsi="Arial" w:cs="Arial"/>
          <w:spacing w:val="-2"/>
          <w:sz w:val="20"/>
          <w:szCs w:val="20"/>
        </w:rPr>
        <w:t xml:space="preserve"> The Company’s operations are mainly funded with equity and debt financing, which is dependent upon many external factors, and thus funds may be difficult to raise when required. Management continues to evaluate the need for additional financing and is of the opinion that additional financing will be available to continue its planned activities in the normal course. Nonetheless, there is no assurance that the Company will be able to raise sufficient funds in the future to complete its planned activities.  </w:t>
      </w:r>
    </w:p>
    <w:p w14:paraId="117713CA" w14:textId="77777777" w:rsidR="000A57E7" w:rsidRDefault="000A57E7" w:rsidP="003F6F1A">
      <w:pPr>
        <w:spacing w:after="0"/>
        <w:jc w:val="both"/>
        <w:rPr>
          <w:rFonts w:ascii="Arial" w:hAnsi="Arial" w:cs="Arial"/>
          <w:sz w:val="20"/>
          <w:szCs w:val="20"/>
        </w:rPr>
      </w:pPr>
    </w:p>
    <w:p w14:paraId="203ED49F" w14:textId="77777777" w:rsidR="006C64D9" w:rsidRDefault="006C64D9" w:rsidP="003F6F1A">
      <w:pPr>
        <w:spacing w:after="0"/>
        <w:jc w:val="both"/>
        <w:rPr>
          <w:rFonts w:ascii="Arial" w:hAnsi="Arial" w:cs="Arial"/>
          <w:sz w:val="20"/>
          <w:szCs w:val="20"/>
        </w:rPr>
      </w:pPr>
      <w:r w:rsidRPr="00C90A0A">
        <w:rPr>
          <w:rFonts w:ascii="Arial" w:hAnsi="Arial" w:cs="Arial"/>
          <w:sz w:val="20"/>
          <w:szCs w:val="20"/>
        </w:rPr>
        <w:t>The foregoing indicates the existence of a material uncertainty that may cast substantial doubt as to whether the Company would continue as a going concern and realize its assets and settle its liabilities and commitments in the normal course of business.</w:t>
      </w:r>
    </w:p>
    <w:p w14:paraId="256F9FFF" w14:textId="77777777" w:rsidR="006C64D9" w:rsidRPr="006C64D9" w:rsidRDefault="006C64D9" w:rsidP="003F6F1A">
      <w:pPr>
        <w:spacing w:after="0"/>
        <w:jc w:val="both"/>
        <w:rPr>
          <w:rFonts w:ascii="Arial" w:hAnsi="Arial" w:cs="Arial"/>
          <w:spacing w:val="-2"/>
          <w:sz w:val="20"/>
          <w:szCs w:val="20"/>
        </w:rPr>
      </w:pPr>
    </w:p>
    <w:p w14:paraId="4659B102" w14:textId="77777777" w:rsidR="00DF0D70" w:rsidRDefault="006C64D9" w:rsidP="003F6F1A">
      <w:pPr>
        <w:spacing w:after="0"/>
        <w:jc w:val="both"/>
        <w:rPr>
          <w:rFonts w:ascii="Arial" w:hAnsi="Arial" w:cs="Arial"/>
          <w:spacing w:val="-2"/>
          <w:sz w:val="20"/>
          <w:szCs w:val="20"/>
        </w:rPr>
      </w:pPr>
      <w:r w:rsidRPr="006C64D9">
        <w:rPr>
          <w:rFonts w:ascii="Arial" w:hAnsi="Arial" w:cs="Arial"/>
          <w:spacing w:val="-2"/>
          <w:sz w:val="20"/>
          <w:szCs w:val="20"/>
        </w:rPr>
        <w:t xml:space="preserve">The Company’s consolidated financial statements have been prepared on the basis of accounting principles applicable to a going concern, which assume the realization of assets and discharge of liabilities in the normal course of business.  </w:t>
      </w:r>
      <w:r>
        <w:rPr>
          <w:rFonts w:ascii="Arial" w:hAnsi="Arial" w:cs="Arial"/>
          <w:spacing w:val="-2"/>
          <w:sz w:val="20"/>
          <w:szCs w:val="20"/>
        </w:rPr>
        <w:t>The</w:t>
      </w:r>
      <w:r w:rsidRPr="006C64D9">
        <w:rPr>
          <w:rFonts w:ascii="Arial" w:hAnsi="Arial" w:cs="Arial"/>
          <w:spacing w:val="-2"/>
          <w:sz w:val="20"/>
          <w:szCs w:val="20"/>
        </w:rPr>
        <w:t xml:space="preserve"> consolidated financial statements do not give effect to any adjustments that would be necessary should the Company not be able to continue as a going concern. Such adjustments could be material.</w:t>
      </w:r>
    </w:p>
    <w:p w14:paraId="79E87C7B" w14:textId="77777777" w:rsidR="000A57E7" w:rsidRDefault="000A57E7" w:rsidP="003F6F1A">
      <w:pPr>
        <w:spacing w:after="0"/>
        <w:jc w:val="both"/>
        <w:rPr>
          <w:rFonts w:ascii="Arial" w:hAnsi="Arial" w:cs="Arial"/>
          <w:sz w:val="20"/>
          <w:szCs w:val="20"/>
        </w:rPr>
      </w:pPr>
    </w:p>
    <w:p w14:paraId="66FC63F5" w14:textId="77777777" w:rsidR="00291101" w:rsidRDefault="00291101" w:rsidP="003F6F1A">
      <w:pPr>
        <w:spacing w:after="0"/>
        <w:jc w:val="both"/>
        <w:rPr>
          <w:rFonts w:ascii="Arial" w:hAnsi="Arial" w:cs="Arial"/>
          <w:sz w:val="20"/>
          <w:szCs w:val="20"/>
        </w:rPr>
      </w:pPr>
    </w:p>
    <w:p w14:paraId="7B938FC8" w14:textId="77777777" w:rsidR="00291101" w:rsidRDefault="00291101" w:rsidP="003F6F1A">
      <w:pPr>
        <w:spacing w:after="0"/>
        <w:jc w:val="both"/>
        <w:rPr>
          <w:rFonts w:ascii="Arial" w:hAnsi="Arial" w:cs="Arial"/>
          <w:sz w:val="20"/>
          <w:szCs w:val="20"/>
        </w:rPr>
      </w:pPr>
    </w:p>
    <w:p w14:paraId="66FFED6E" w14:textId="77777777" w:rsidR="00291101" w:rsidRDefault="00291101" w:rsidP="003F6F1A">
      <w:pPr>
        <w:spacing w:after="0"/>
        <w:jc w:val="both"/>
        <w:rPr>
          <w:rFonts w:ascii="Arial" w:hAnsi="Arial" w:cs="Arial"/>
          <w:sz w:val="20"/>
          <w:szCs w:val="20"/>
        </w:rPr>
      </w:pPr>
    </w:p>
    <w:p w14:paraId="034485E2" w14:textId="77777777" w:rsidR="004164C5" w:rsidRDefault="004164C5" w:rsidP="003F6F1A">
      <w:pPr>
        <w:spacing w:after="0"/>
        <w:jc w:val="both"/>
        <w:rPr>
          <w:rFonts w:ascii="Arial" w:hAnsi="Arial" w:cs="Arial"/>
          <w:sz w:val="20"/>
          <w:szCs w:val="20"/>
        </w:rPr>
      </w:pPr>
    </w:p>
    <w:p w14:paraId="76D0D84F" w14:textId="77777777" w:rsidR="001F1660" w:rsidRDefault="008F357A" w:rsidP="003F6F1A">
      <w:pPr>
        <w:pStyle w:val="NormalWeb"/>
        <w:pBdr>
          <w:bottom w:val="single" w:sz="12" w:space="1" w:color="auto"/>
        </w:pBdr>
        <w:spacing w:before="0" w:beforeAutospacing="0" w:after="0" w:afterAutospacing="0"/>
        <w:rPr>
          <w:rFonts w:ascii="Arial" w:hAnsi="Arial" w:cs="Arial"/>
          <w:b/>
          <w:sz w:val="20"/>
          <w:szCs w:val="20"/>
        </w:rPr>
      </w:pPr>
      <w:r>
        <w:rPr>
          <w:rFonts w:ascii="Arial" w:hAnsi="Arial" w:cs="Arial"/>
          <w:b/>
          <w:sz w:val="20"/>
          <w:szCs w:val="20"/>
        </w:rPr>
        <w:t>Q</w:t>
      </w:r>
      <w:r w:rsidR="00291101">
        <w:rPr>
          <w:rFonts w:ascii="Arial" w:hAnsi="Arial" w:cs="Arial"/>
          <w:b/>
          <w:sz w:val="20"/>
          <w:szCs w:val="20"/>
        </w:rPr>
        <w:t>2</w:t>
      </w:r>
      <w:r>
        <w:rPr>
          <w:rFonts w:ascii="Arial" w:hAnsi="Arial" w:cs="Arial"/>
          <w:b/>
          <w:sz w:val="20"/>
          <w:szCs w:val="20"/>
        </w:rPr>
        <w:t xml:space="preserve"> </w:t>
      </w:r>
      <w:r w:rsidR="005811F3">
        <w:rPr>
          <w:rFonts w:ascii="Arial" w:hAnsi="Arial" w:cs="Arial"/>
          <w:b/>
          <w:sz w:val="20"/>
          <w:szCs w:val="20"/>
        </w:rPr>
        <w:t>201</w:t>
      </w:r>
      <w:r>
        <w:rPr>
          <w:rFonts w:ascii="Arial" w:hAnsi="Arial" w:cs="Arial"/>
          <w:b/>
          <w:sz w:val="20"/>
          <w:szCs w:val="20"/>
        </w:rPr>
        <w:t>9</w:t>
      </w:r>
      <w:r w:rsidR="005811F3">
        <w:rPr>
          <w:rFonts w:ascii="Arial" w:hAnsi="Arial" w:cs="Arial"/>
          <w:b/>
          <w:sz w:val="20"/>
          <w:szCs w:val="20"/>
        </w:rPr>
        <w:t xml:space="preserve"> CONSOLIDATED FINANCIAL HIGHLIGHTS</w:t>
      </w:r>
    </w:p>
    <w:p w14:paraId="45074B28" w14:textId="77777777" w:rsidR="005811F3" w:rsidRDefault="005811F3" w:rsidP="003F6F1A">
      <w:pPr>
        <w:pStyle w:val="NormalWeb"/>
        <w:spacing w:before="0" w:beforeAutospacing="0" w:after="0" w:afterAutospacing="0"/>
        <w:rPr>
          <w:rFonts w:ascii="Arial" w:hAnsi="Arial" w:cs="Arial"/>
          <w:b/>
          <w:sz w:val="20"/>
          <w:szCs w:val="20"/>
        </w:rPr>
      </w:pPr>
    </w:p>
    <w:p w14:paraId="43DB230F" w14:textId="77777777" w:rsidR="00C00F4C" w:rsidRPr="00D764D9" w:rsidRDefault="00FB59C4" w:rsidP="003F6F1A">
      <w:pPr>
        <w:pStyle w:val="NormalWeb"/>
        <w:numPr>
          <w:ilvl w:val="0"/>
          <w:numId w:val="35"/>
        </w:numPr>
        <w:spacing w:before="0" w:beforeAutospacing="0" w:after="0" w:afterAutospacing="0" w:line="259" w:lineRule="auto"/>
        <w:ind w:left="360"/>
        <w:jc w:val="both"/>
        <w:rPr>
          <w:rFonts w:ascii="Arial" w:hAnsi="Arial" w:cs="Arial"/>
          <w:sz w:val="20"/>
          <w:szCs w:val="20"/>
        </w:rPr>
      </w:pPr>
      <w:bookmarkStart w:id="1" w:name="_Hlk10041256"/>
      <w:r>
        <w:rPr>
          <w:rFonts w:ascii="Arial" w:hAnsi="Arial" w:cs="Arial"/>
          <w:sz w:val="20"/>
          <w:szCs w:val="20"/>
        </w:rPr>
        <w:t>4,299</w:t>
      </w:r>
      <w:r w:rsidR="00441C2D" w:rsidRPr="009E7418">
        <w:rPr>
          <w:rFonts w:ascii="Arial" w:hAnsi="Arial" w:cs="Arial"/>
          <w:sz w:val="20"/>
          <w:szCs w:val="20"/>
        </w:rPr>
        <w:t xml:space="preserve"> </w:t>
      </w:r>
      <w:r w:rsidR="00C00F4C" w:rsidRPr="006C64D9">
        <w:rPr>
          <w:rFonts w:ascii="Arial" w:hAnsi="Arial" w:cs="Arial"/>
          <w:sz w:val="20"/>
          <w:szCs w:val="20"/>
        </w:rPr>
        <w:t>patient visits</w:t>
      </w:r>
      <w:r w:rsidR="006C64D9" w:rsidRPr="006C64D9">
        <w:rPr>
          <w:rFonts w:ascii="Arial" w:hAnsi="Arial" w:cs="Arial"/>
          <w:sz w:val="20"/>
          <w:szCs w:val="20"/>
        </w:rPr>
        <w:t xml:space="preserve"> generating revenue of </w:t>
      </w:r>
      <w:r w:rsidR="00E27B44">
        <w:rPr>
          <w:rFonts w:ascii="Arial" w:hAnsi="Arial" w:cs="Arial"/>
          <w:sz w:val="20"/>
          <w:szCs w:val="20"/>
        </w:rPr>
        <w:t>$</w:t>
      </w:r>
      <w:r w:rsidR="00BD2307">
        <w:rPr>
          <w:rFonts w:ascii="Arial" w:hAnsi="Arial" w:cs="Arial"/>
          <w:sz w:val="20"/>
          <w:szCs w:val="20"/>
        </w:rPr>
        <w:t>591,024</w:t>
      </w:r>
      <w:r w:rsidR="006C64D9" w:rsidRPr="006C64D9">
        <w:rPr>
          <w:rFonts w:ascii="Arial" w:hAnsi="Arial" w:cs="Arial"/>
          <w:sz w:val="20"/>
          <w:szCs w:val="20"/>
        </w:rPr>
        <w:t xml:space="preserve">, compared to </w:t>
      </w:r>
      <w:r w:rsidR="00343C9F">
        <w:rPr>
          <w:rFonts w:ascii="Arial" w:hAnsi="Arial" w:cs="Arial"/>
          <w:sz w:val="20"/>
          <w:szCs w:val="20"/>
        </w:rPr>
        <w:t>2,187</w:t>
      </w:r>
      <w:r w:rsidR="00441C2D" w:rsidRPr="009E7418">
        <w:rPr>
          <w:rFonts w:ascii="Arial" w:hAnsi="Arial" w:cs="Arial"/>
          <w:sz w:val="20"/>
          <w:szCs w:val="20"/>
        </w:rPr>
        <w:t xml:space="preserve"> </w:t>
      </w:r>
      <w:r w:rsidR="006C64D9" w:rsidRPr="006C64D9">
        <w:rPr>
          <w:rFonts w:ascii="Arial" w:hAnsi="Arial" w:cs="Arial"/>
          <w:sz w:val="20"/>
          <w:szCs w:val="20"/>
        </w:rPr>
        <w:t>patient visits generating $</w:t>
      </w:r>
      <w:r w:rsidR="00291101">
        <w:rPr>
          <w:rFonts w:ascii="Arial" w:hAnsi="Arial" w:cs="Arial"/>
          <w:sz w:val="20"/>
          <w:szCs w:val="20"/>
        </w:rPr>
        <w:t>312,485</w:t>
      </w:r>
      <w:r w:rsidR="006C64D9" w:rsidRPr="006C64D9">
        <w:rPr>
          <w:rFonts w:ascii="Arial" w:hAnsi="Arial" w:cs="Arial"/>
          <w:sz w:val="20"/>
          <w:szCs w:val="20"/>
        </w:rPr>
        <w:t xml:space="preserve"> </w:t>
      </w:r>
      <w:r w:rsidR="006C64D9" w:rsidRPr="00D764D9">
        <w:rPr>
          <w:rFonts w:ascii="Arial" w:hAnsi="Arial" w:cs="Arial"/>
          <w:sz w:val="20"/>
          <w:szCs w:val="20"/>
        </w:rPr>
        <w:t xml:space="preserve">for </w:t>
      </w:r>
      <w:r w:rsidR="008F357A">
        <w:rPr>
          <w:rFonts w:ascii="Arial" w:hAnsi="Arial" w:cs="Arial"/>
          <w:sz w:val="20"/>
          <w:szCs w:val="20"/>
        </w:rPr>
        <w:t>Q</w:t>
      </w:r>
      <w:r w:rsidR="00291101">
        <w:rPr>
          <w:rFonts w:ascii="Arial" w:hAnsi="Arial" w:cs="Arial"/>
          <w:sz w:val="20"/>
          <w:szCs w:val="20"/>
        </w:rPr>
        <w:t>2</w:t>
      </w:r>
      <w:r w:rsidR="008F357A">
        <w:rPr>
          <w:rFonts w:ascii="Arial" w:hAnsi="Arial" w:cs="Arial"/>
          <w:sz w:val="20"/>
          <w:szCs w:val="20"/>
        </w:rPr>
        <w:t xml:space="preserve"> 2018</w:t>
      </w:r>
      <w:r w:rsidR="005973DB">
        <w:rPr>
          <w:rFonts w:ascii="Arial" w:hAnsi="Arial" w:cs="Arial"/>
          <w:sz w:val="20"/>
          <w:szCs w:val="20"/>
        </w:rPr>
        <w:t>.</w:t>
      </w:r>
    </w:p>
    <w:p w14:paraId="48DCD502" w14:textId="77777777" w:rsidR="006C64D9" w:rsidRPr="00D764D9" w:rsidRDefault="006C64D9" w:rsidP="003F6F1A">
      <w:pPr>
        <w:pStyle w:val="NormalWeb"/>
        <w:spacing w:before="0" w:beforeAutospacing="0" w:after="0" w:afterAutospacing="0" w:line="259" w:lineRule="auto"/>
        <w:ind w:left="360"/>
        <w:jc w:val="both"/>
        <w:rPr>
          <w:rFonts w:ascii="Arial" w:hAnsi="Arial" w:cs="Arial"/>
          <w:sz w:val="20"/>
          <w:szCs w:val="20"/>
        </w:rPr>
      </w:pPr>
    </w:p>
    <w:p w14:paraId="5AE49068" w14:textId="77777777" w:rsidR="005811F3" w:rsidRDefault="00C00F4C" w:rsidP="003F6F1A">
      <w:pPr>
        <w:pStyle w:val="NormalWeb"/>
        <w:numPr>
          <w:ilvl w:val="0"/>
          <w:numId w:val="35"/>
        </w:numPr>
        <w:spacing w:before="0" w:beforeAutospacing="0" w:after="0" w:afterAutospacing="0" w:line="259" w:lineRule="auto"/>
        <w:ind w:left="360"/>
        <w:jc w:val="both"/>
        <w:rPr>
          <w:rFonts w:ascii="Arial" w:hAnsi="Arial" w:cs="Arial"/>
          <w:sz w:val="20"/>
          <w:szCs w:val="20"/>
        </w:rPr>
      </w:pPr>
      <w:r w:rsidRPr="006C64D9">
        <w:rPr>
          <w:rFonts w:ascii="Arial" w:hAnsi="Arial" w:cs="Arial"/>
          <w:sz w:val="20"/>
          <w:szCs w:val="20"/>
        </w:rPr>
        <w:t>Net loss of $</w:t>
      </w:r>
      <w:r w:rsidR="00A95100" w:rsidRPr="00A95100">
        <w:rPr>
          <w:rFonts w:ascii="Arial" w:hAnsi="Arial" w:cs="Arial"/>
          <w:sz w:val="20"/>
          <w:szCs w:val="20"/>
        </w:rPr>
        <w:t>1,</w:t>
      </w:r>
      <w:r w:rsidR="00CD59DC">
        <w:rPr>
          <w:rFonts w:ascii="Arial" w:hAnsi="Arial" w:cs="Arial"/>
          <w:sz w:val="20"/>
          <w:szCs w:val="20"/>
        </w:rPr>
        <w:t>45</w:t>
      </w:r>
      <w:r w:rsidR="00D3689F">
        <w:rPr>
          <w:rFonts w:ascii="Arial" w:hAnsi="Arial" w:cs="Arial"/>
          <w:sz w:val="20"/>
          <w:szCs w:val="20"/>
        </w:rPr>
        <w:t>6</w:t>
      </w:r>
      <w:r w:rsidR="001A480E">
        <w:rPr>
          <w:rFonts w:ascii="Arial" w:hAnsi="Arial" w:cs="Arial"/>
          <w:sz w:val="20"/>
          <w:szCs w:val="20"/>
        </w:rPr>
        <w:t>,</w:t>
      </w:r>
      <w:r w:rsidR="00D3689F">
        <w:rPr>
          <w:rFonts w:ascii="Arial" w:hAnsi="Arial" w:cs="Arial"/>
          <w:sz w:val="20"/>
          <w:szCs w:val="20"/>
        </w:rPr>
        <w:t>505</w:t>
      </w:r>
      <w:r w:rsidRPr="006C64D9">
        <w:rPr>
          <w:rFonts w:ascii="Arial" w:hAnsi="Arial" w:cs="Arial"/>
          <w:sz w:val="20"/>
          <w:szCs w:val="20"/>
        </w:rPr>
        <w:t xml:space="preserve"> or $</w:t>
      </w:r>
      <w:r w:rsidR="00E27B44">
        <w:rPr>
          <w:rFonts w:ascii="Arial" w:hAnsi="Arial" w:cs="Arial"/>
          <w:sz w:val="20"/>
          <w:szCs w:val="20"/>
        </w:rPr>
        <w:t>0.0</w:t>
      </w:r>
      <w:r w:rsidR="00A95100">
        <w:rPr>
          <w:rFonts w:ascii="Arial" w:hAnsi="Arial" w:cs="Arial"/>
          <w:sz w:val="20"/>
          <w:szCs w:val="20"/>
        </w:rPr>
        <w:t>1</w:t>
      </w:r>
      <w:r w:rsidRPr="006C64D9">
        <w:rPr>
          <w:rFonts w:ascii="Arial" w:hAnsi="Arial" w:cs="Arial"/>
          <w:sz w:val="20"/>
          <w:szCs w:val="20"/>
        </w:rPr>
        <w:t xml:space="preserve"> per share, compared to $</w:t>
      </w:r>
      <w:r w:rsidR="00BD2307">
        <w:rPr>
          <w:rFonts w:ascii="Arial" w:hAnsi="Arial" w:cs="Arial"/>
          <w:sz w:val="20"/>
          <w:szCs w:val="20"/>
        </w:rPr>
        <w:t>3,915,443</w:t>
      </w:r>
      <w:r w:rsidRPr="006C64D9">
        <w:rPr>
          <w:rFonts w:ascii="Arial" w:hAnsi="Arial" w:cs="Arial"/>
          <w:sz w:val="20"/>
          <w:szCs w:val="20"/>
        </w:rPr>
        <w:t xml:space="preserve"> or $</w:t>
      </w:r>
      <w:r w:rsidR="00E27B44">
        <w:rPr>
          <w:rFonts w:ascii="Arial" w:hAnsi="Arial" w:cs="Arial"/>
          <w:sz w:val="20"/>
          <w:szCs w:val="20"/>
        </w:rPr>
        <w:t>0.0</w:t>
      </w:r>
      <w:r w:rsidR="00BD2307">
        <w:rPr>
          <w:rFonts w:ascii="Arial" w:hAnsi="Arial" w:cs="Arial"/>
          <w:sz w:val="20"/>
          <w:szCs w:val="20"/>
        </w:rPr>
        <w:t>6</w:t>
      </w:r>
      <w:r w:rsidRPr="006C64D9">
        <w:rPr>
          <w:rFonts w:ascii="Arial" w:hAnsi="Arial" w:cs="Arial"/>
          <w:sz w:val="20"/>
          <w:szCs w:val="20"/>
        </w:rPr>
        <w:t xml:space="preserve"> per share for </w:t>
      </w:r>
      <w:r w:rsidR="008F357A">
        <w:rPr>
          <w:rFonts w:ascii="Arial" w:hAnsi="Arial" w:cs="Arial"/>
          <w:sz w:val="20"/>
          <w:szCs w:val="20"/>
        </w:rPr>
        <w:t>Q</w:t>
      </w:r>
      <w:r w:rsidR="00291101">
        <w:rPr>
          <w:rFonts w:ascii="Arial" w:hAnsi="Arial" w:cs="Arial"/>
          <w:sz w:val="20"/>
          <w:szCs w:val="20"/>
        </w:rPr>
        <w:t>2</w:t>
      </w:r>
      <w:r w:rsidR="008F357A">
        <w:rPr>
          <w:rFonts w:ascii="Arial" w:hAnsi="Arial" w:cs="Arial"/>
          <w:sz w:val="20"/>
          <w:szCs w:val="20"/>
        </w:rPr>
        <w:t xml:space="preserve"> 2018</w:t>
      </w:r>
      <w:r w:rsidR="005973DB">
        <w:rPr>
          <w:rFonts w:ascii="Arial" w:hAnsi="Arial" w:cs="Arial"/>
          <w:sz w:val="20"/>
          <w:szCs w:val="20"/>
        </w:rPr>
        <w:t>.</w:t>
      </w:r>
    </w:p>
    <w:p w14:paraId="0D84C817" w14:textId="77777777" w:rsidR="00CD59DC" w:rsidRDefault="00CD59DC" w:rsidP="003F6F1A">
      <w:pPr>
        <w:pStyle w:val="ColorfulList-Accent11"/>
        <w:spacing w:line="259" w:lineRule="auto"/>
        <w:jc w:val="both"/>
        <w:rPr>
          <w:rFonts w:ascii="Arial" w:hAnsi="Arial" w:cs="Arial"/>
          <w:sz w:val="20"/>
          <w:szCs w:val="20"/>
        </w:rPr>
      </w:pPr>
    </w:p>
    <w:p w14:paraId="39FCD9D2" w14:textId="56BE66B3" w:rsidR="00CD59DC" w:rsidRDefault="00CD59DC" w:rsidP="003F6F1A">
      <w:pPr>
        <w:pStyle w:val="NormalWeb"/>
        <w:numPr>
          <w:ilvl w:val="0"/>
          <w:numId w:val="35"/>
        </w:numPr>
        <w:spacing w:before="0" w:beforeAutospacing="0" w:after="0" w:afterAutospacing="0" w:line="259" w:lineRule="auto"/>
        <w:ind w:left="360"/>
        <w:jc w:val="both"/>
        <w:rPr>
          <w:rFonts w:ascii="Arial" w:hAnsi="Arial" w:cs="Arial"/>
          <w:sz w:val="20"/>
          <w:szCs w:val="20"/>
        </w:rPr>
      </w:pPr>
      <w:r>
        <w:rPr>
          <w:rFonts w:ascii="Arial" w:hAnsi="Arial" w:cs="Arial"/>
          <w:sz w:val="20"/>
          <w:szCs w:val="20"/>
        </w:rPr>
        <w:t xml:space="preserve">Despite the addition of 6 </w:t>
      </w:r>
      <w:r w:rsidR="00FD4F52">
        <w:rPr>
          <w:rFonts w:ascii="Arial" w:hAnsi="Arial" w:cs="Arial"/>
          <w:sz w:val="20"/>
          <w:szCs w:val="20"/>
        </w:rPr>
        <w:t>c</w:t>
      </w:r>
      <w:r>
        <w:rPr>
          <w:rFonts w:ascii="Arial" w:hAnsi="Arial" w:cs="Arial"/>
          <w:sz w:val="20"/>
          <w:szCs w:val="20"/>
        </w:rPr>
        <w:t>linics with the acquisition of Sun Valley, operating expenses declined to $1,08</w:t>
      </w:r>
      <w:r w:rsidR="00D3689F">
        <w:rPr>
          <w:rFonts w:ascii="Arial" w:hAnsi="Arial" w:cs="Arial"/>
          <w:sz w:val="20"/>
          <w:szCs w:val="20"/>
        </w:rPr>
        <w:t>2</w:t>
      </w:r>
      <w:r>
        <w:rPr>
          <w:rFonts w:ascii="Arial" w:hAnsi="Arial" w:cs="Arial"/>
          <w:sz w:val="20"/>
          <w:szCs w:val="20"/>
        </w:rPr>
        <w:t>,</w:t>
      </w:r>
      <w:r w:rsidR="00D3689F">
        <w:rPr>
          <w:rFonts w:ascii="Arial" w:hAnsi="Arial" w:cs="Arial"/>
          <w:sz w:val="20"/>
          <w:szCs w:val="20"/>
        </w:rPr>
        <w:t>248</w:t>
      </w:r>
      <w:r w:rsidR="000A24FE">
        <w:rPr>
          <w:rFonts w:ascii="Arial" w:hAnsi="Arial" w:cs="Arial"/>
          <w:sz w:val="20"/>
          <w:szCs w:val="20"/>
        </w:rPr>
        <w:t>,</w:t>
      </w:r>
      <w:r>
        <w:rPr>
          <w:rFonts w:ascii="Arial" w:hAnsi="Arial" w:cs="Arial"/>
          <w:sz w:val="20"/>
          <w:szCs w:val="20"/>
        </w:rPr>
        <w:t xml:space="preserve"> compared to $1,722,957 for Q2 2018 due to aggressive headcount cuts and facility changes.</w:t>
      </w:r>
    </w:p>
    <w:p w14:paraId="343D215C" w14:textId="77777777" w:rsidR="006C64D9" w:rsidRPr="006C64D9" w:rsidRDefault="006C64D9" w:rsidP="003F6F1A">
      <w:pPr>
        <w:pStyle w:val="NormalWeb"/>
        <w:spacing w:before="0" w:beforeAutospacing="0" w:after="0" w:afterAutospacing="0" w:line="259" w:lineRule="auto"/>
        <w:jc w:val="both"/>
        <w:rPr>
          <w:rFonts w:ascii="Arial" w:hAnsi="Arial" w:cs="Arial"/>
          <w:sz w:val="20"/>
          <w:szCs w:val="20"/>
        </w:rPr>
      </w:pPr>
    </w:p>
    <w:p w14:paraId="2835989F" w14:textId="77777777" w:rsidR="00C00F4C" w:rsidRPr="00731EA5" w:rsidRDefault="00C00F4C" w:rsidP="003F6F1A">
      <w:pPr>
        <w:pStyle w:val="NormalWeb"/>
        <w:numPr>
          <w:ilvl w:val="0"/>
          <w:numId w:val="35"/>
        </w:numPr>
        <w:spacing w:before="0" w:beforeAutospacing="0" w:after="0" w:afterAutospacing="0" w:line="259" w:lineRule="auto"/>
        <w:ind w:left="360"/>
        <w:jc w:val="both"/>
        <w:rPr>
          <w:rFonts w:ascii="Arial" w:hAnsi="Arial" w:cs="Arial"/>
          <w:sz w:val="20"/>
          <w:szCs w:val="20"/>
        </w:rPr>
      </w:pPr>
      <w:r w:rsidRPr="006C64D9">
        <w:rPr>
          <w:rFonts w:ascii="Arial" w:hAnsi="Arial" w:cs="Arial"/>
          <w:sz w:val="20"/>
          <w:szCs w:val="20"/>
        </w:rPr>
        <w:t xml:space="preserve">Cash used in operating activities </w:t>
      </w:r>
      <w:r w:rsidR="00343C9F">
        <w:rPr>
          <w:rFonts w:ascii="Arial" w:hAnsi="Arial" w:cs="Arial"/>
          <w:sz w:val="20"/>
          <w:szCs w:val="20"/>
        </w:rPr>
        <w:t xml:space="preserve">for the six months ended June 30, 2019 </w:t>
      </w:r>
      <w:r w:rsidRPr="006C64D9">
        <w:rPr>
          <w:rFonts w:ascii="Arial" w:hAnsi="Arial" w:cs="Arial"/>
          <w:sz w:val="20"/>
          <w:szCs w:val="20"/>
        </w:rPr>
        <w:t>was $</w:t>
      </w:r>
      <w:r w:rsidR="00291101">
        <w:rPr>
          <w:rFonts w:ascii="Arial" w:hAnsi="Arial" w:cs="Arial"/>
          <w:sz w:val="20"/>
          <w:szCs w:val="20"/>
        </w:rPr>
        <w:t>1,</w:t>
      </w:r>
      <w:r w:rsidR="00CD59DC">
        <w:rPr>
          <w:rFonts w:ascii="Arial" w:hAnsi="Arial" w:cs="Arial"/>
          <w:sz w:val="20"/>
          <w:szCs w:val="20"/>
        </w:rPr>
        <w:t>33</w:t>
      </w:r>
      <w:r w:rsidR="00D3689F">
        <w:rPr>
          <w:rFonts w:ascii="Arial" w:hAnsi="Arial" w:cs="Arial"/>
          <w:sz w:val="20"/>
          <w:szCs w:val="20"/>
        </w:rPr>
        <w:t>1,950</w:t>
      </w:r>
      <w:r w:rsidRPr="006C64D9">
        <w:rPr>
          <w:rFonts w:ascii="Arial" w:hAnsi="Arial" w:cs="Arial"/>
          <w:sz w:val="20"/>
          <w:szCs w:val="20"/>
        </w:rPr>
        <w:t xml:space="preserve"> or </w:t>
      </w:r>
      <w:r w:rsidRPr="00731EA5">
        <w:rPr>
          <w:rFonts w:ascii="Arial" w:hAnsi="Arial" w:cs="Arial"/>
          <w:sz w:val="20"/>
          <w:szCs w:val="20"/>
        </w:rPr>
        <w:t>$</w:t>
      </w:r>
      <w:r w:rsidR="00652F1A">
        <w:rPr>
          <w:rFonts w:ascii="Arial" w:hAnsi="Arial" w:cs="Arial"/>
          <w:sz w:val="20"/>
          <w:szCs w:val="20"/>
        </w:rPr>
        <w:t>0.0</w:t>
      </w:r>
      <w:r w:rsidR="00291101">
        <w:rPr>
          <w:rFonts w:ascii="Arial" w:hAnsi="Arial" w:cs="Arial"/>
          <w:sz w:val="20"/>
          <w:szCs w:val="20"/>
        </w:rPr>
        <w:t>1</w:t>
      </w:r>
      <w:r w:rsidR="008F357A">
        <w:rPr>
          <w:rFonts w:ascii="Arial" w:hAnsi="Arial" w:cs="Arial"/>
          <w:sz w:val="20"/>
          <w:szCs w:val="20"/>
        </w:rPr>
        <w:t xml:space="preserve"> </w:t>
      </w:r>
      <w:r w:rsidRPr="00731EA5">
        <w:rPr>
          <w:rFonts w:ascii="Arial" w:hAnsi="Arial" w:cs="Arial"/>
          <w:sz w:val="20"/>
          <w:szCs w:val="20"/>
        </w:rPr>
        <w:t>per share, compared to $</w:t>
      </w:r>
      <w:r w:rsidR="00343C9F">
        <w:rPr>
          <w:rFonts w:ascii="Arial" w:hAnsi="Arial" w:cs="Arial"/>
          <w:sz w:val="20"/>
          <w:szCs w:val="20"/>
        </w:rPr>
        <w:t>2,358,949</w:t>
      </w:r>
      <w:r w:rsidRPr="00731EA5">
        <w:rPr>
          <w:rFonts w:ascii="Arial" w:hAnsi="Arial" w:cs="Arial"/>
          <w:sz w:val="20"/>
          <w:szCs w:val="20"/>
        </w:rPr>
        <w:t xml:space="preserve"> or $</w:t>
      </w:r>
      <w:r w:rsidR="00652F1A">
        <w:rPr>
          <w:rFonts w:ascii="Arial" w:hAnsi="Arial" w:cs="Arial"/>
          <w:sz w:val="20"/>
          <w:szCs w:val="20"/>
        </w:rPr>
        <w:t>0.0</w:t>
      </w:r>
      <w:r w:rsidR="00343C9F">
        <w:rPr>
          <w:rFonts w:ascii="Arial" w:hAnsi="Arial" w:cs="Arial"/>
          <w:sz w:val="20"/>
          <w:szCs w:val="20"/>
        </w:rPr>
        <w:t>4</w:t>
      </w:r>
      <w:r w:rsidRPr="00731EA5">
        <w:rPr>
          <w:rFonts w:ascii="Arial" w:hAnsi="Arial" w:cs="Arial"/>
          <w:sz w:val="20"/>
          <w:szCs w:val="20"/>
        </w:rPr>
        <w:t xml:space="preserve"> per share for </w:t>
      </w:r>
      <w:r w:rsidR="00343C9F">
        <w:rPr>
          <w:rFonts w:ascii="Arial" w:hAnsi="Arial" w:cs="Arial"/>
          <w:sz w:val="20"/>
          <w:szCs w:val="20"/>
        </w:rPr>
        <w:t>the six months ended June 30,</w:t>
      </w:r>
      <w:r w:rsidR="00296F04">
        <w:rPr>
          <w:rFonts w:ascii="Arial" w:hAnsi="Arial" w:cs="Arial"/>
          <w:sz w:val="20"/>
          <w:szCs w:val="20"/>
        </w:rPr>
        <w:t xml:space="preserve"> </w:t>
      </w:r>
      <w:r w:rsidR="008F357A">
        <w:rPr>
          <w:rFonts w:ascii="Arial" w:hAnsi="Arial" w:cs="Arial"/>
          <w:sz w:val="20"/>
          <w:szCs w:val="20"/>
        </w:rPr>
        <w:t>2018</w:t>
      </w:r>
      <w:r w:rsidR="005973DB">
        <w:rPr>
          <w:rFonts w:ascii="Arial" w:hAnsi="Arial" w:cs="Arial"/>
          <w:sz w:val="20"/>
          <w:szCs w:val="20"/>
        </w:rPr>
        <w:t>.</w:t>
      </w:r>
    </w:p>
    <w:bookmarkEnd w:id="1"/>
    <w:p w14:paraId="2B2CC934" w14:textId="77777777" w:rsidR="006C64D9" w:rsidRPr="006C64D9" w:rsidRDefault="006C64D9" w:rsidP="003F6F1A">
      <w:pPr>
        <w:pStyle w:val="NormalWeb"/>
        <w:spacing w:before="0" w:beforeAutospacing="0" w:after="0" w:afterAutospacing="0" w:line="259" w:lineRule="auto"/>
        <w:jc w:val="both"/>
        <w:rPr>
          <w:rFonts w:ascii="Arial" w:hAnsi="Arial" w:cs="Arial"/>
          <w:sz w:val="20"/>
          <w:szCs w:val="20"/>
        </w:rPr>
      </w:pPr>
    </w:p>
    <w:p w14:paraId="702FA7A1" w14:textId="77777777" w:rsidR="00C00F4C" w:rsidRPr="00B52C92" w:rsidRDefault="00C00F4C" w:rsidP="003F6F1A">
      <w:pPr>
        <w:pStyle w:val="NormalWeb"/>
        <w:numPr>
          <w:ilvl w:val="0"/>
          <w:numId w:val="35"/>
        </w:numPr>
        <w:spacing w:before="0" w:beforeAutospacing="0" w:after="0" w:afterAutospacing="0" w:line="259" w:lineRule="auto"/>
        <w:ind w:left="360"/>
        <w:jc w:val="both"/>
        <w:rPr>
          <w:rFonts w:ascii="Arial" w:hAnsi="Arial" w:cs="Arial"/>
          <w:sz w:val="20"/>
          <w:szCs w:val="20"/>
        </w:rPr>
      </w:pPr>
      <w:r w:rsidRPr="006C64D9">
        <w:rPr>
          <w:rFonts w:ascii="Arial" w:hAnsi="Arial" w:cs="Arial"/>
          <w:sz w:val="20"/>
          <w:szCs w:val="20"/>
        </w:rPr>
        <w:t xml:space="preserve">Cash at </w:t>
      </w:r>
      <w:r w:rsidR="00291101">
        <w:rPr>
          <w:rFonts w:ascii="Arial" w:hAnsi="Arial" w:cs="Arial"/>
          <w:sz w:val="20"/>
          <w:szCs w:val="20"/>
        </w:rPr>
        <w:t>June 30</w:t>
      </w:r>
      <w:r w:rsidRPr="006C64D9">
        <w:rPr>
          <w:rFonts w:ascii="Arial" w:hAnsi="Arial" w:cs="Arial"/>
          <w:sz w:val="20"/>
          <w:szCs w:val="20"/>
        </w:rPr>
        <w:t>, 201</w:t>
      </w:r>
      <w:r w:rsidR="008F357A">
        <w:rPr>
          <w:rFonts w:ascii="Arial" w:hAnsi="Arial" w:cs="Arial"/>
          <w:sz w:val="20"/>
          <w:szCs w:val="20"/>
        </w:rPr>
        <w:t>9</w:t>
      </w:r>
      <w:r w:rsidRPr="006C64D9">
        <w:rPr>
          <w:rFonts w:ascii="Arial" w:hAnsi="Arial" w:cs="Arial"/>
          <w:sz w:val="20"/>
          <w:szCs w:val="20"/>
        </w:rPr>
        <w:t xml:space="preserve"> of </w:t>
      </w:r>
      <w:r w:rsidRPr="00B52C92">
        <w:rPr>
          <w:rFonts w:ascii="Arial" w:hAnsi="Arial" w:cs="Arial"/>
          <w:sz w:val="20"/>
          <w:szCs w:val="20"/>
        </w:rPr>
        <w:t>$</w:t>
      </w:r>
      <w:r w:rsidR="002D7291">
        <w:rPr>
          <w:rFonts w:ascii="Arial" w:hAnsi="Arial" w:cs="Arial"/>
          <w:sz w:val="20"/>
          <w:szCs w:val="20"/>
        </w:rPr>
        <w:t>817,168</w:t>
      </w:r>
      <w:r w:rsidR="00800DF4" w:rsidRPr="00B52C92">
        <w:rPr>
          <w:rFonts w:ascii="Arial" w:hAnsi="Arial" w:cs="Arial"/>
          <w:sz w:val="20"/>
          <w:szCs w:val="20"/>
        </w:rPr>
        <w:t>.</w:t>
      </w:r>
    </w:p>
    <w:p w14:paraId="6F3EC039" w14:textId="77777777" w:rsidR="006C64D9" w:rsidRPr="00B52C92" w:rsidRDefault="006C64D9" w:rsidP="003F6F1A">
      <w:pPr>
        <w:pStyle w:val="NormalWeb"/>
        <w:spacing w:before="0" w:beforeAutospacing="0" w:after="0" w:afterAutospacing="0" w:line="259" w:lineRule="auto"/>
        <w:jc w:val="both"/>
        <w:rPr>
          <w:rFonts w:ascii="Arial" w:hAnsi="Arial" w:cs="Arial"/>
          <w:sz w:val="20"/>
          <w:szCs w:val="20"/>
        </w:rPr>
      </w:pPr>
    </w:p>
    <w:p w14:paraId="55614AE9" w14:textId="77777777" w:rsidR="00C00F4C" w:rsidRPr="00B52C92" w:rsidRDefault="00C00F4C" w:rsidP="003F6F1A">
      <w:pPr>
        <w:pStyle w:val="NormalWeb"/>
        <w:numPr>
          <w:ilvl w:val="0"/>
          <w:numId w:val="35"/>
        </w:numPr>
        <w:spacing w:before="0" w:beforeAutospacing="0" w:after="120" w:afterAutospacing="0" w:line="259" w:lineRule="auto"/>
        <w:ind w:left="357" w:hanging="357"/>
        <w:jc w:val="both"/>
        <w:rPr>
          <w:rFonts w:ascii="Arial" w:hAnsi="Arial" w:cs="Arial"/>
          <w:sz w:val="20"/>
          <w:szCs w:val="20"/>
        </w:rPr>
      </w:pPr>
      <w:r w:rsidRPr="00B52C92">
        <w:rPr>
          <w:rFonts w:ascii="Arial" w:hAnsi="Arial" w:cs="Arial"/>
          <w:sz w:val="20"/>
          <w:szCs w:val="20"/>
        </w:rPr>
        <w:t xml:space="preserve">Working capital </w:t>
      </w:r>
      <w:r w:rsidR="00800DF4" w:rsidRPr="00B52C92">
        <w:rPr>
          <w:rFonts w:ascii="Arial" w:hAnsi="Arial" w:cs="Arial"/>
          <w:sz w:val="20"/>
          <w:szCs w:val="20"/>
        </w:rPr>
        <w:t xml:space="preserve">deficit </w:t>
      </w:r>
      <w:r w:rsidRPr="00B52C92">
        <w:rPr>
          <w:rFonts w:ascii="Arial" w:hAnsi="Arial" w:cs="Arial"/>
          <w:sz w:val="20"/>
          <w:szCs w:val="20"/>
        </w:rPr>
        <w:t xml:space="preserve">at </w:t>
      </w:r>
      <w:r w:rsidR="00A95100">
        <w:rPr>
          <w:rFonts w:ascii="Arial" w:hAnsi="Arial" w:cs="Arial"/>
          <w:sz w:val="20"/>
          <w:szCs w:val="20"/>
        </w:rPr>
        <w:t>June</w:t>
      </w:r>
      <w:r w:rsidR="008F357A">
        <w:rPr>
          <w:rFonts w:ascii="Arial" w:hAnsi="Arial" w:cs="Arial"/>
          <w:sz w:val="20"/>
          <w:szCs w:val="20"/>
        </w:rPr>
        <w:t xml:space="preserve"> 3</w:t>
      </w:r>
      <w:r w:rsidR="00A95100">
        <w:rPr>
          <w:rFonts w:ascii="Arial" w:hAnsi="Arial" w:cs="Arial"/>
          <w:sz w:val="20"/>
          <w:szCs w:val="20"/>
        </w:rPr>
        <w:t>0</w:t>
      </w:r>
      <w:r w:rsidR="008F357A">
        <w:rPr>
          <w:rFonts w:ascii="Arial" w:hAnsi="Arial" w:cs="Arial"/>
          <w:sz w:val="20"/>
          <w:szCs w:val="20"/>
        </w:rPr>
        <w:t xml:space="preserve">, 2019 </w:t>
      </w:r>
      <w:r w:rsidRPr="00B52C92">
        <w:rPr>
          <w:rFonts w:ascii="Arial" w:hAnsi="Arial" w:cs="Arial"/>
          <w:sz w:val="20"/>
          <w:szCs w:val="20"/>
        </w:rPr>
        <w:t>of $</w:t>
      </w:r>
      <w:r w:rsidR="002D7291">
        <w:rPr>
          <w:rFonts w:ascii="Arial" w:hAnsi="Arial" w:cs="Arial"/>
          <w:sz w:val="20"/>
          <w:szCs w:val="20"/>
        </w:rPr>
        <w:t>2,936,926</w:t>
      </w:r>
      <w:r w:rsidR="00800DF4" w:rsidRPr="00B52C92">
        <w:rPr>
          <w:rFonts w:ascii="Arial" w:hAnsi="Arial" w:cs="Arial"/>
          <w:sz w:val="20"/>
          <w:szCs w:val="20"/>
        </w:rPr>
        <w:t>.</w:t>
      </w:r>
    </w:p>
    <w:p w14:paraId="10839E65" w14:textId="77777777" w:rsidR="005811F3" w:rsidRDefault="005811F3" w:rsidP="003F6F1A">
      <w:pPr>
        <w:pStyle w:val="NormalWeb"/>
        <w:spacing w:before="0" w:beforeAutospacing="0" w:after="0" w:afterAutospacing="0"/>
        <w:rPr>
          <w:rFonts w:ascii="Arial" w:hAnsi="Arial" w:cs="Arial"/>
          <w:b/>
          <w:sz w:val="20"/>
          <w:szCs w:val="20"/>
        </w:rPr>
      </w:pPr>
    </w:p>
    <w:p w14:paraId="246042B0" w14:textId="77777777" w:rsidR="00DF5EEB" w:rsidRDefault="00DF5EEB" w:rsidP="003F6F1A">
      <w:pPr>
        <w:pStyle w:val="NormalWeb"/>
        <w:pBdr>
          <w:bottom w:val="single" w:sz="12" w:space="1" w:color="auto"/>
        </w:pBdr>
        <w:spacing w:before="0" w:beforeAutospacing="0" w:after="0" w:afterAutospacing="0"/>
        <w:rPr>
          <w:rFonts w:ascii="Arial" w:hAnsi="Arial" w:cs="Arial"/>
          <w:b/>
          <w:sz w:val="20"/>
          <w:szCs w:val="20"/>
        </w:rPr>
      </w:pPr>
      <w:r>
        <w:rPr>
          <w:rFonts w:ascii="Arial" w:hAnsi="Arial" w:cs="Arial"/>
          <w:b/>
          <w:sz w:val="20"/>
          <w:szCs w:val="20"/>
        </w:rPr>
        <w:t>Q</w:t>
      </w:r>
      <w:r w:rsidR="00291101">
        <w:rPr>
          <w:rFonts w:ascii="Arial" w:hAnsi="Arial" w:cs="Arial"/>
          <w:b/>
          <w:sz w:val="20"/>
          <w:szCs w:val="20"/>
        </w:rPr>
        <w:t>2</w:t>
      </w:r>
      <w:r>
        <w:rPr>
          <w:rFonts w:ascii="Arial" w:hAnsi="Arial" w:cs="Arial"/>
          <w:b/>
          <w:sz w:val="20"/>
          <w:szCs w:val="20"/>
        </w:rPr>
        <w:t xml:space="preserve"> 2019 KEY DEVELOPMENTS</w:t>
      </w:r>
    </w:p>
    <w:p w14:paraId="1BEB240B" w14:textId="77777777" w:rsidR="00DF5EEB" w:rsidRDefault="00DF5EEB" w:rsidP="003F6F1A">
      <w:pPr>
        <w:spacing w:after="0"/>
        <w:jc w:val="both"/>
        <w:rPr>
          <w:rFonts w:ascii="Arial" w:hAnsi="Arial" w:cs="Arial"/>
          <w:b/>
          <w:i/>
          <w:sz w:val="20"/>
          <w:szCs w:val="20"/>
          <w:u w:val="single"/>
        </w:rPr>
      </w:pPr>
    </w:p>
    <w:p w14:paraId="26D28620" w14:textId="77777777" w:rsidR="00DF5EEB" w:rsidRDefault="00DF5EEB" w:rsidP="003F6F1A">
      <w:pPr>
        <w:spacing w:after="0"/>
        <w:jc w:val="both"/>
        <w:rPr>
          <w:rFonts w:ascii="Arial" w:hAnsi="Arial" w:cs="Arial"/>
          <w:spacing w:val="-2"/>
          <w:sz w:val="20"/>
          <w:szCs w:val="20"/>
        </w:rPr>
      </w:pPr>
      <w:r w:rsidRPr="00731EA5">
        <w:rPr>
          <w:rFonts w:ascii="Arial" w:hAnsi="Arial" w:cs="Arial"/>
          <w:b/>
          <w:i/>
          <w:sz w:val="20"/>
          <w:szCs w:val="20"/>
          <w:u w:val="single"/>
        </w:rPr>
        <w:t>Focus on CBD Product Sales</w:t>
      </w:r>
      <w:r w:rsidRPr="00731EA5">
        <w:rPr>
          <w:rFonts w:ascii="Arial" w:hAnsi="Arial" w:cs="Arial"/>
          <w:spacing w:val="-2"/>
          <w:sz w:val="20"/>
          <w:szCs w:val="20"/>
        </w:rPr>
        <w:t xml:space="preserve"> </w:t>
      </w:r>
    </w:p>
    <w:p w14:paraId="75704214" w14:textId="77777777" w:rsidR="00DF5EEB" w:rsidRDefault="00DF5EEB" w:rsidP="003F6F1A">
      <w:pPr>
        <w:spacing w:after="0"/>
        <w:jc w:val="both"/>
        <w:rPr>
          <w:rFonts w:ascii="Arial" w:hAnsi="Arial" w:cs="Arial"/>
          <w:spacing w:val="-2"/>
          <w:sz w:val="20"/>
          <w:szCs w:val="20"/>
        </w:rPr>
      </w:pPr>
    </w:p>
    <w:p w14:paraId="6EA3EBE7" w14:textId="42B9AAB3" w:rsidR="00DF5EEB" w:rsidRPr="00731EA5" w:rsidRDefault="00DF5EEB" w:rsidP="003F6F1A">
      <w:pPr>
        <w:spacing w:after="0"/>
        <w:jc w:val="both"/>
        <w:rPr>
          <w:rFonts w:ascii="Arial" w:hAnsi="Arial" w:cs="Arial"/>
          <w:spacing w:val="-2"/>
          <w:sz w:val="20"/>
          <w:szCs w:val="20"/>
        </w:rPr>
      </w:pPr>
      <w:r w:rsidRPr="00691C16">
        <w:rPr>
          <w:rFonts w:ascii="Arial" w:hAnsi="Arial" w:cs="Arial"/>
          <w:spacing w:val="-2"/>
          <w:sz w:val="20"/>
          <w:szCs w:val="20"/>
        </w:rPr>
        <w:t xml:space="preserve">Empower has commenced selling </w:t>
      </w:r>
      <w:r w:rsidRPr="00731EA5">
        <w:rPr>
          <w:rFonts w:ascii="Arial" w:hAnsi="Arial" w:cs="Arial"/>
          <w:spacing w:val="-2"/>
          <w:sz w:val="20"/>
          <w:szCs w:val="20"/>
        </w:rPr>
        <w:t xml:space="preserve">its proprietary line of </w:t>
      </w:r>
      <w:r w:rsidR="00B05C79" w:rsidRPr="007703A7">
        <w:rPr>
          <w:rFonts w:ascii="Arial" w:hAnsi="Arial" w:cs="Arial"/>
          <w:sz w:val="20"/>
          <w:szCs w:val="20"/>
        </w:rPr>
        <w:t>cannabidiol</w:t>
      </w:r>
      <w:r w:rsidR="00B05C79">
        <w:rPr>
          <w:rFonts w:ascii="Arial" w:hAnsi="Arial" w:cs="Arial"/>
          <w:spacing w:val="-2"/>
          <w:sz w:val="20"/>
          <w:szCs w:val="20"/>
        </w:rPr>
        <w:t xml:space="preserve"> (“CBD”) </w:t>
      </w:r>
      <w:r w:rsidRPr="00731EA5">
        <w:rPr>
          <w:rFonts w:ascii="Arial" w:hAnsi="Arial" w:cs="Arial"/>
          <w:spacing w:val="-2"/>
          <w:sz w:val="20"/>
          <w:szCs w:val="20"/>
        </w:rPr>
        <w:t>based products called SOLLIEVO</w:t>
      </w:r>
      <w:r>
        <w:rPr>
          <w:rFonts w:ascii="Arial" w:hAnsi="Arial" w:cs="Arial"/>
          <w:spacing w:val="-2"/>
          <w:sz w:val="20"/>
          <w:szCs w:val="20"/>
        </w:rPr>
        <w:t xml:space="preserve">, </w:t>
      </w:r>
      <w:r w:rsidRPr="005E2002">
        <w:rPr>
          <w:rFonts w:ascii="Arial" w:hAnsi="Arial" w:cs="Arial"/>
          <w:i/>
          <w:spacing w:val="-2"/>
          <w:sz w:val="20"/>
          <w:szCs w:val="20"/>
        </w:rPr>
        <w:t>Italian for Relief</w:t>
      </w:r>
      <w:r w:rsidRPr="00731EA5">
        <w:rPr>
          <w:rFonts w:ascii="Arial" w:hAnsi="Arial" w:cs="Arial"/>
          <w:spacing w:val="-2"/>
          <w:sz w:val="20"/>
          <w:szCs w:val="20"/>
        </w:rPr>
        <w:t xml:space="preserve">, </w:t>
      </w:r>
      <w:r w:rsidR="006653F4">
        <w:rPr>
          <w:rFonts w:ascii="Arial" w:hAnsi="Arial" w:cs="Arial"/>
          <w:spacing w:val="-2"/>
          <w:sz w:val="20"/>
          <w:szCs w:val="20"/>
        </w:rPr>
        <w:t xml:space="preserve">and the Sun Valley Science brand </w:t>
      </w:r>
      <w:r w:rsidRPr="00731EA5">
        <w:rPr>
          <w:rFonts w:ascii="Arial" w:hAnsi="Arial" w:cs="Arial"/>
          <w:spacing w:val="-2"/>
          <w:sz w:val="20"/>
          <w:szCs w:val="20"/>
        </w:rPr>
        <w:t xml:space="preserve">through its network of company-owned clinics in the United States. </w:t>
      </w:r>
      <w:proofErr w:type="spellStart"/>
      <w:r w:rsidRPr="00731EA5">
        <w:rPr>
          <w:rFonts w:ascii="Arial" w:hAnsi="Arial" w:cs="Arial"/>
          <w:spacing w:val="-2"/>
          <w:sz w:val="20"/>
          <w:szCs w:val="20"/>
        </w:rPr>
        <w:t>Empower’s</w:t>
      </w:r>
      <w:proofErr w:type="spellEnd"/>
      <w:r w:rsidRPr="00731EA5">
        <w:rPr>
          <w:rFonts w:ascii="Arial" w:hAnsi="Arial" w:cs="Arial"/>
          <w:spacing w:val="-2"/>
          <w:sz w:val="20"/>
          <w:szCs w:val="20"/>
        </w:rPr>
        <w:t xml:space="preserve"> patient base and customers </w:t>
      </w:r>
      <w:r w:rsidR="006653F4">
        <w:rPr>
          <w:rFonts w:ascii="Arial" w:hAnsi="Arial" w:cs="Arial"/>
          <w:spacing w:val="-2"/>
          <w:sz w:val="20"/>
          <w:szCs w:val="20"/>
        </w:rPr>
        <w:t>will be able to purchase</w:t>
      </w:r>
      <w:r w:rsidRPr="00731EA5">
        <w:rPr>
          <w:rFonts w:ascii="Arial" w:hAnsi="Arial" w:cs="Arial"/>
          <w:spacing w:val="-2"/>
          <w:sz w:val="20"/>
          <w:szCs w:val="20"/>
        </w:rPr>
        <w:t xml:space="preserve"> high margin derivative products, including CBD lotion, tinctures, spectrum oils, capsules, lozenges, patches, e-drinks, topical lotions, gel caps, hemp extract drops and pet elixir hemp extract drops. Patients and customers will be able to access </w:t>
      </w:r>
      <w:proofErr w:type="spellStart"/>
      <w:r w:rsidRPr="00731EA5">
        <w:rPr>
          <w:rFonts w:ascii="Arial" w:hAnsi="Arial" w:cs="Arial"/>
          <w:spacing w:val="-2"/>
          <w:sz w:val="20"/>
          <w:szCs w:val="20"/>
        </w:rPr>
        <w:t>Empower’s</w:t>
      </w:r>
      <w:proofErr w:type="spellEnd"/>
      <w:r w:rsidRPr="00731EA5">
        <w:rPr>
          <w:rFonts w:ascii="Arial" w:hAnsi="Arial" w:cs="Arial"/>
          <w:spacing w:val="-2"/>
          <w:sz w:val="20"/>
          <w:szCs w:val="20"/>
        </w:rPr>
        <w:t xml:space="preserve"> home delivery and e-commerce platform</w:t>
      </w:r>
      <w:r w:rsidR="006653F4">
        <w:rPr>
          <w:rFonts w:ascii="Arial" w:hAnsi="Arial" w:cs="Arial"/>
          <w:spacing w:val="-2"/>
          <w:sz w:val="20"/>
          <w:szCs w:val="20"/>
        </w:rPr>
        <w:t xml:space="preserve"> through its e-commerce store at </w:t>
      </w:r>
      <w:hyperlink r:id="rId11" w:history="1">
        <w:r w:rsidR="006653F4" w:rsidRPr="00F95CBF">
          <w:rPr>
            <w:rStyle w:val="Hyperlink"/>
            <w:rFonts w:ascii="Arial" w:hAnsi="Arial" w:cs="Arial"/>
            <w:spacing w:val="-2"/>
            <w:sz w:val="20"/>
            <w:szCs w:val="20"/>
          </w:rPr>
          <w:t>https://www.sunvalleyhealth.com/shop/</w:t>
        </w:r>
      </w:hyperlink>
      <w:r w:rsidR="006653F4">
        <w:rPr>
          <w:rFonts w:ascii="Arial" w:hAnsi="Arial" w:cs="Arial"/>
          <w:spacing w:val="-2"/>
          <w:sz w:val="20"/>
          <w:szCs w:val="20"/>
        </w:rPr>
        <w:t xml:space="preserve"> </w:t>
      </w:r>
    </w:p>
    <w:p w14:paraId="219DF9D3" w14:textId="77777777" w:rsidR="00343C9F" w:rsidRDefault="00343C9F" w:rsidP="003F6F1A">
      <w:pPr>
        <w:spacing w:after="0"/>
        <w:jc w:val="both"/>
        <w:rPr>
          <w:rFonts w:ascii="Arial" w:hAnsi="Arial" w:cs="Arial"/>
          <w:b/>
          <w:i/>
          <w:sz w:val="20"/>
          <w:szCs w:val="20"/>
          <w:u w:val="single"/>
        </w:rPr>
      </w:pPr>
    </w:p>
    <w:p w14:paraId="4485E5B3" w14:textId="77777777" w:rsidR="00E27B44" w:rsidRDefault="00E27B44" w:rsidP="003F6F1A">
      <w:pPr>
        <w:spacing w:after="0"/>
        <w:jc w:val="both"/>
        <w:rPr>
          <w:rFonts w:ascii="Arial" w:hAnsi="Arial" w:cs="Arial"/>
          <w:spacing w:val="-2"/>
          <w:sz w:val="20"/>
          <w:szCs w:val="20"/>
        </w:rPr>
      </w:pPr>
      <w:r w:rsidRPr="00731EA5">
        <w:rPr>
          <w:rFonts w:ascii="Arial" w:hAnsi="Arial" w:cs="Arial"/>
          <w:b/>
          <w:i/>
          <w:sz w:val="20"/>
          <w:szCs w:val="20"/>
          <w:u w:val="single"/>
        </w:rPr>
        <w:t>Intention to Launch CBD Extraction Facility</w:t>
      </w:r>
      <w:r w:rsidRPr="00731EA5">
        <w:rPr>
          <w:rFonts w:ascii="Arial" w:hAnsi="Arial" w:cs="Arial"/>
          <w:spacing w:val="-2"/>
          <w:sz w:val="20"/>
          <w:szCs w:val="20"/>
        </w:rPr>
        <w:t xml:space="preserve"> </w:t>
      </w:r>
    </w:p>
    <w:p w14:paraId="5FC9D9E5" w14:textId="77777777" w:rsidR="00E27B44" w:rsidRDefault="00E27B44" w:rsidP="003F6F1A">
      <w:pPr>
        <w:spacing w:after="0"/>
        <w:jc w:val="both"/>
        <w:rPr>
          <w:rFonts w:ascii="Arial" w:hAnsi="Arial" w:cs="Arial"/>
          <w:spacing w:val="-2"/>
          <w:sz w:val="20"/>
          <w:szCs w:val="20"/>
        </w:rPr>
      </w:pPr>
    </w:p>
    <w:p w14:paraId="5DB9062C" w14:textId="21CE2FA2" w:rsidR="00E27B44" w:rsidRDefault="00E27B44" w:rsidP="003F6F1A">
      <w:pPr>
        <w:spacing w:after="0"/>
        <w:jc w:val="both"/>
        <w:rPr>
          <w:rFonts w:ascii="Arial" w:hAnsi="Arial" w:cs="Arial"/>
          <w:spacing w:val="-2"/>
          <w:sz w:val="20"/>
          <w:szCs w:val="20"/>
        </w:rPr>
      </w:pPr>
      <w:r w:rsidRPr="00731EA5">
        <w:rPr>
          <w:rFonts w:ascii="Arial" w:hAnsi="Arial" w:cs="Arial"/>
          <w:spacing w:val="-2"/>
          <w:sz w:val="20"/>
          <w:szCs w:val="20"/>
        </w:rPr>
        <w:t>The Company intends to open a fully functioning hemp-based CBD extraction facility in greater Portland, Oregon in 2019, with the first extraction system expected to have the capacity to produce 6,000 kilograms of extracted product per year. The 5,000 sq. ft. facility in Sandy,</w:t>
      </w:r>
      <w:r>
        <w:rPr>
          <w:rFonts w:ascii="Arial" w:hAnsi="Arial" w:cs="Arial"/>
          <w:spacing w:val="-2"/>
          <w:sz w:val="20"/>
          <w:szCs w:val="20"/>
        </w:rPr>
        <w:t xml:space="preserve"> Oregon</w:t>
      </w:r>
      <w:r w:rsidRPr="00731EA5">
        <w:rPr>
          <w:rFonts w:ascii="Arial" w:hAnsi="Arial" w:cs="Arial"/>
          <w:spacing w:val="-2"/>
          <w:sz w:val="20"/>
          <w:szCs w:val="20"/>
        </w:rPr>
        <w:t xml:space="preserve"> has now been secured through a </w:t>
      </w:r>
      <w:r w:rsidRPr="000317FF">
        <w:rPr>
          <w:rFonts w:ascii="Arial" w:hAnsi="Arial"/>
          <w:spacing w:val="-2"/>
          <w:sz w:val="20"/>
        </w:rPr>
        <w:t>5-year</w:t>
      </w:r>
      <w:r w:rsidRPr="00731EA5">
        <w:rPr>
          <w:rFonts w:ascii="Arial" w:hAnsi="Arial" w:cs="Arial"/>
          <w:spacing w:val="-2"/>
          <w:sz w:val="20"/>
          <w:szCs w:val="20"/>
        </w:rPr>
        <w:t xml:space="preserve"> lease agreement and preparations are underway to begin licensing and permit requirements to commence operations in 2019.</w:t>
      </w:r>
      <w:r w:rsidR="006653F4">
        <w:rPr>
          <w:rFonts w:ascii="Arial" w:hAnsi="Arial" w:cs="Arial"/>
          <w:spacing w:val="-2"/>
          <w:sz w:val="20"/>
          <w:szCs w:val="20"/>
        </w:rPr>
        <w:t xml:space="preserve"> The Company received its hemp-handlers license from the Oregon Department of Agriculture on August </w:t>
      </w:r>
      <w:r w:rsidR="00FC70F1">
        <w:rPr>
          <w:rFonts w:ascii="Arial" w:hAnsi="Arial" w:cs="Arial"/>
          <w:spacing w:val="-2"/>
          <w:sz w:val="20"/>
          <w:szCs w:val="20"/>
        </w:rPr>
        <w:t>6</w:t>
      </w:r>
      <w:r w:rsidR="006653F4">
        <w:rPr>
          <w:rFonts w:ascii="Arial" w:hAnsi="Arial" w:cs="Arial"/>
          <w:spacing w:val="-2"/>
          <w:sz w:val="20"/>
          <w:szCs w:val="20"/>
        </w:rPr>
        <w:t>, 2019 allowing the new next phase of build-out, architectural design and building permit applications to commence.</w:t>
      </w:r>
    </w:p>
    <w:p w14:paraId="1E2EB9FA" w14:textId="77777777" w:rsidR="00E27B44" w:rsidRPr="00C14FA4" w:rsidRDefault="00E27B44" w:rsidP="003F6F1A">
      <w:pPr>
        <w:spacing w:after="0"/>
        <w:jc w:val="both"/>
        <w:rPr>
          <w:rFonts w:ascii="Arial" w:hAnsi="Arial" w:cs="Arial"/>
          <w:spacing w:val="-2"/>
          <w:sz w:val="18"/>
          <w:szCs w:val="20"/>
        </w:rPr>
      </w:pPr>
    </w:p>
    <w:p w14:paraId="01A16632" w14:textId="77777777" w:rsidR="00E27B44" w:rsidRDefault="00E27B44" w:rsidP="003F6F1A">
      <w:pPr>
        <w:spacing w:after="0"/>
        <w:jc w:val="both"/>
        <w:rPr>
          <w:rFonts w:ascii="Arial" w:hAnsi="Arial" w:cs="Arial"/>
          <w:spacing w:val="-2"/>
          <w:sz w:val="20"/>
          <w:szCs w:val="20"/>
        </w:rPr>
      </w:pPr>
      <w:r w:rsidRPr="00731EA5">
        <w:rPr>
          <w:rFonts w:ascii="Arial" w:hAnsi="Arial" w:cs="Arial"/>
          <w:b/>
          <w:i/>
          <w:sz w:val="20"/>
          <w:szCs w:val="20"/>
          <w:u w:val="single"/>
        </w:rPr>
        <w:t>Acquisition of Sun Valley Clinics</w:t>
      </w:r>
      <w:r w:rsidRPr="00731EA5">
        <w:rPr>
          <w:rFonts w:ascii="Arial" w:hAnsi="Arial" w:cs="Arial"/>
          <w:spacing w:val="-2"/>
          <w:sz w:val="20"/>
          <w:szCs w:val="20"/>
        </w:rPr>
        <w:t xml:space="preserve"> </w:t>
      </w:r>
    </w:p>
    <w:p w14:paraId="27DA2C63" w14:textId="77777777" w:rsidR="00E27B44" w:rsidRPr="00C14FA4" w:rsidRDefault="00E27B44" w:rsidP="003F6F1A">
      <w:pPr>
        <w:spacing w:after="0"/>
        <w:jc w:val="both"/>
        <w:rPr>
          <w:rFonts w:ascii="Arial" w:hAnsi="Arial" w:cs="Arial"/>
          <w:spacing w:val="-2"/>
          <w:sz w:val="18"/>
          <w:szCs w:val="20"/>
        </w:rPr>
      </w:pPr>
    </w:p>
    <w:p w14:paraId="77E5897C" w14:textId="77777777" w:rsidR="00CD59DC" w:rsidRDefault="00E27B44" w:rsidP="003F6F1A">
      <w:pPr>
        <w:spacing w:after="0"/>
        <w:jc w:val="both"/>
        <w:rPr>
          <w:rFonts w:ascii="Arial" w:hAnsi="Arial" w:cs="Arial"/>
          <w:spacing w:val="-2"/>
          <w:sz w:val="20"/>
          <w:szCs w:val="20"/>
        </w:rPr>
      </w:pPr>
      <w:r w:rsidRPr="00731EA5">
        <w:rPr>
          <w:rFonts w:ascii="Arial" w:hAnsi="Arial" w:cs="Arial"/>
          <w:spacing w:val="-2"/>
          <w:sz w:val="20"/>
          <w:szCs w:val="20"/>
        </w:rPr>
        <w:t xml:space="preserve">Empower has completed the acquisition of the business of Sun Valley Certification Clinics Holdings LLC (“Sun Valley”), including its interests in certain affiliates, by way of a share acquisition. Sun Valley operates a network of professional medical cannabis and pain management practices, with five clinics in Arizona, one clinic in Las Vegas, a tele-medicine platform serving California, and a fully developed franchise business model for the domestic </w:t>
      </w:r>
      <w:r>
        <w:rPr>
          <w:rFonts w:ascii="Arial" w:hAnsi="Arial" w:cs="Arial"/>
          <w:spacing w:val="-2"/>
          <w:sz w:val="20"/>
          <w:szCs w:val="20"/>
        </w:rPr>
        <w:t xml:space="preserve">and international medical </w:t>
      </w:r>
      <w:r w:rsidRPr="00731EA5">
        <w:rPr>
          <w:rFonts w:ascii="Arial" w:hAnsi="Arial" w:cs="Arial"/>
          <w:spacing w:val="-2"/>
          <w:sz w:val="20"/>
          <w:szCs w:val="20"/>
        </w:rPr>
        <w:t xml:space="preserve">cannabis industry. </w:t>
      </w:r>
    </w:p>
    <w:p w14:paraId="3BD8563E" w14:textId="77777777" w:rsidR="00CD59DC" w:rsidRDefault="00CD59DC" w:rsidP="003F6F1A">
      <w:pPr>
        <w:spacing w:after="0"/>
        <w:jc w:val="both"/>
        <w:rPr>
          <w:rFonts w:ascii="Arial" w:hAnsi="Arial" w:cs="Arial"/>
          <w:spacing w:val="-2"/>
          <w:sz w:val="20"/>
          <w:szCs w:val="20"/>
        </w:rPr>
      </w:pPr>
    </w:p>
    <w:p w14:paraId="757151E0" w14:textId="77777777" w:rsidR="00FD4F52" w:rsidRDefault="00FD4F52" w:rsidP="003F6F1A">
      <w:pPr>
        <w:spacing w:after="0"/>
        <w:jc w:val="both"/>
        <w:rPr>
          <w:rFonts w:ascii="Arial" w:hAnsi="Arial" w:cs="Arial"/>
          <w:spacing w:val="-2"/>
          <w:sz w:val="20"/>
          <w:szCs w:val="20"/>
        </w:rPr>
      </w:pPr>
    </w:p>
    <w:p w14:paraId="718ACE38" w14:textId="77777777" w:rsidR="00AC41B8" w:rsidRDefault="00AC41B8" w:rsidP="003F6F1A">
      <w:pPr>
        <w:spacing w:after="0"/>
        <w:jc w:val="both"/>
        <w:rPr>
          <w:rFonts w:ascii="Arial" w:hAnsi="Arial" w:cs="Arial"/>
          <w:spacing w:val="-2"/>
          <w:sz w:val="20"/>
          <w:szCs w:val="20"/>
        </w:rPr>
      </w:pPr>
    </w:p>
    <w:p w14:paraId="71011DB2" w14:textId="348BC82A" w:rsidR="00E27B44" w:rsidRDefault="00E27B44" w:rsidP="003F6F1A">
      <w:pPr>
        <w:spacing w:after="0"/>
        <w:jc w:val="both"/>
        <w:rPr>
          <w:rFonts w:ascii="Arial" w:hAnsi="Arial" w:cs="Arial"/>
          <w:spacing w:val="-2"/>
          <w:sz w:val="20"/>
          <w:szCs w:val="20"/>
        </w:rPr>
      </w:pPr>
      <w:r w:rsidRPr="00731EA5">
        <w:rPr>
          <w:rFonts w:ascii="Arial" w:hAnsi="Arial" w:cs="Arial"/>
          <w:spacing w:val="-2"/>
          <w:sz w:val="20"/>
          <w:szCs w:val="20"/>
        </w:rPr>
        <w:t>The current Sun Valley clinic locations are:</w:t>
      </w:r>
    </w:p>
    <w:p w14:paraId="52DD3557" w14:textId="77777777" w:rsidR="00CD59DC" w:rsidRDefault="00CD59DC" w:rsidP="003F6F1A">
      <w:pPr>
        <w:spacing w:after="0"/>
        <w:jc w:val="both"/>
        <w:rPr>
          <w:rFonts w:ascii="Arial" w:hAnsi="Arial" w:cs="Arial"/>
          <w:spacing w:val="-2"/>
          <w:sz w:val="20"/>
          <w:szCs w:val="20"/>
        </w:rPr>
      </w:pPr>
    </w:p>
    <w:p w14:paraId="0B54383B" w14:textId="77777777" w:rsidR="00E27B44" w:rsidRPr="00DA4360" w:rsidRDefault="00E27B44" w:rsidP="003F6F1A">
      <w:pPr>
        <w:pStyle w:val="ColorfulList-Accent11"/>
        <w:numPr>
          <w:ilvl w:val="0"/>
          <w:numId w:val="36"/>
        </w:numPr>
        <w:jc w:val="both"/>
        <w:rPr>
          <w:rFonts w:ascii="Arial" w:eastAsia="Calibri" w:hAnsi="Arial" w:cs="Arial"/>
          <w:spacing w:val="-2"/>
          <w:sz w:val="20"/>
          <w:szCs w:val="20"/>
        </w:rPr>
      </w:pPr>
      <w:r w:rsidRPr="00DA4360">
        <w:rPr>
          <w:rFonts w:ascii="Arial" w:eastAsia="Calibri" w:hAnsi="Arial" w:cs="Arial"/>
          <w:spacing w:val="-2"/>
          <w:sz w:val="20"/>
          <w:szCs w:val="20"/>
        </w:rPr>
        <w:t xml:space="preserve">4218 W Dunlap Ave, Phoenix, AZ </w:t>
      </w:r>
    </w:p>
    <w:p w14:paraId="38FDD8F2" w14:textId="77777777" w:rsidR="00E27B44" w:rsidRPr="00DA4360" w:rsidRDefault="00E27B44" w:rsidP="003F6F1A">
      <w:pPr>
        <w:pStyle w:val="ColorfulList-Accent11"/>
        <w:numPr>
          <w:ilvl w:val="0"/>
          <w:numId w:val="36"/>
        </w:numPr>
        <w:jc w:val="both"/>
        <w:rPr>
          <w:rFonts w:ascii="Arial" w:eastAsia="Calibri" w:hAnsi="Arial" w:cs="Arial"/>
          <w:spacing w:val="-2"/>
          <w:sz w:val="20"/>
          <w:szCs w:val="20"/>
        </w:rPr>
      </w:pPr>
      <w:r w:rsidRPr="00DA4360">
        <w:rPr>
          <w:rFonts w:ascii="Arial" w:eastAsia="Calibri" w:hAnsi="Arial" w:cs="Arial"/>
          <w:spacing w:val="-2"/>
          <w:sz w:val="20"/>
          <w:szCs w:val="20"/>
        </w:rPr>
        <w:t>12801 W Bell Rd #145, Surprise, AZ</w:t>
      </w:r>
    </w:p>
    <w:p w14:paraId="7D788783" w14:textId="77777777" w:rsidR="00E27B44" w:rsidRPr="00DA4360" w:rsidRDefault="00E27B44" w:rsidP="003F6F1A">
      <w:pPr>
        <w:pStyle w:val="ColorfulList-Accent11"/>
        <w:numPr>
          <w:ilvl w:val="0"/>
          <w:numId w:val="36"/>
        </w:numPr>
        <w:jc w:val="both"/>
        <w:rPr>
          <w:rFonts w:ascii="Arial" w:eastAsia="Calibri" w:hAnsi="Arial" w:cs="Arial"/>
          <w:spacing w:val="-2"/>
          <w:sz w:val="20"/>
          <w:szCs w:val="20"/>
        </w:rPr>
      </w:pPr>
      <w:r w:rsidRPr="00DA4360">
        <w:rPr>
          <w:rFonts w:ascii="Arial" w:eastAsia="Calibri" w:hAnsi="Arial" w:cs="Arial"/>
          <w:spacing w:val="-2"/>
          <w:sz w:val="20"/>
          <w:szCs w:val="20"/>
        </w:rPr>
        <w:t>4015 E Bell Rd #130, Phoenix, AZ</w:t>
      </w:r>
    </w:p>
    <w:p w14:paraId="13F3B75C" w14:textId="77777777" w:rsidR="00E27B44" w:rsidRPr="00DA4360" w:rsidRDefault="00E27B44" w:rsidP="003F6F1A">
      <w:pPr>
        <w:pStyle w:val="ColorfulList-Accent11"/>
        <w:numPr>
          <w:ilvl w:val="0"/>
          <w:numId w:val="36"/>
        </w:numPr>
        <w:jc w:val="both"/>
        <w:rPr>
          <w:rFonts w:ascii="Arial" w:eastAsia="Calibri" w:hAnsi="Arial" w:cs="Arial"/>
          <w:spacing w:val="-2"/>
          <w:sz w:val="20"/>
          <w:szCs w:val="20"/>
        </w:rPr>
      </w:pPr>
      <w:r w:rsidRPr="00DA4360">
        <w:rPr>
          <w:rFonts w:ascii="Arial" w:eastAsia="Calibri" w:hAnsi="Arial" w:cs="Arial"/>
          <w:spacing w:val="-2"/>
          <w:sz w:val="20"/>
          <w:szCs w:val="20"/>
        </w:rPr>
        <w:t>2011 E University Dr, Mesa, AZ</w:t>
      </w:r>
    </w:p>
    <w:p w14:paraId="07CE0730" w14:textId="77777777" w:rsidR="00E27B44" w:rsidRPr="00DA4360" w:rsidRDefault="00E27B44" w:rsidP="003F6F1A">
      <w:pPr>
        <w:pStyle w:val="ColorfulList-Accent11"/>
        <w:numPr>
          <w:ilvl w:val="0"/>
          <w:numId w:val="36"/>
        </w:numPr>
        <w:jc w:val="both"/>
        <w:rPr>
          <w:rFonts w:ascii="Arial" w:eastAsia="Calibri" w:hAnsi="Arial" w:cs="Arial"/>
          <w:spacing w:val="-2"/>
          <w:sz w:val="20"/>
          <w:szCs w:val="20"/>
        </w:rPr>
      </w:pPr>
      <w:r w:rsidRPr="00DA4360">
        <w:rPr>
          <w:rFonts w:ascii="Arial" w:eastAsia="Calibri" w:hAnsi="Arial" w:cs="Arial"/>
          <w:spacing w:val="-2"/>
          <w:sz w:val="20"/>
          <w:szCs w:val="20"/>
        </w:rPr>
        <w:t>7074 E Speedway Blvd, Tucson, AZ</w:t>
      </w:r>
    </w:p>
    <w:p w14:paraId="05F669D9" w14:textId="77777777" w:rsidR="00E27B44" w:rsidRPr="00CF76E9" w:rsidRDefault="00E27B44" w:rsidP="003F6F1A">
      <w:pPr>
        <w:pStyle w:val="ColorfulList-Accent11"/>
        <w:numPr>
          <w:ilvl w:val="0"/>
          <w:numId w:val="36"/>
        </w:numPr>
        <w:jc w:val="both"/>
        <w:rPr>
          <w:rFonts w:ascii="Arial" w:hAnsi="Arial" w:cs="Arial"/>
          <w:spacing w:val="-2"/>
          <w:sz w:val="20"/>
          <w:szCs w:val="20"/>
        </w:rPr>
      </w:pPr>
      <w:r w:rsidRPr="00CF76E9">
        <w:rPr>
          <w:rFonts w:ascii="Arial" w:hAnsi="Arial" w:cs="Arial"/>
          <w:spacing w:val="-2"/>
          <w:sz w:val="20"/>
          <w:szCs w:val="20"/>
        </w:rPr>
        <w:t>2550 S Rainbow Blvd, Las Vegas, NV</w:t>
      </w:r>
    </w:p>
    <w:p w14:paraId="59476027" w14:textId="77777777" w:rsidR="00CD59DC" w:rsidRDefault="00CD59DC" w:rsidP="003F6F1A">
      <w:pPr>
        <w:spacing w:after="0"/>
        <w:jc w:val="both"/>
        <w:rPr>
          <w:rFonts w:ascii="Arial" w:hAnsi="Arial" w:cs="Arial"/>
          <w:spacing w:val="-2"/>
          <w:sz w:val="20"/>
          <w:szCs w:val="20"/>
        </w:rPr>
      </w:pPr>
    </w:p>
    <w:p w14:paraId="2240AC75" w14:textId="4512B42A" w:rsidR="00343C9F" w:rsidRPr="00343C9F" w:rsidRDefault="00343C9F" w:rsidP="003F6F1A">
      <w:pPr>
        <w:spacing w:after="0"/>
        <w:jc w:val="both"/>
        <w:rPr>
          <w:rFonts w:ascii="Arial" w:hAnsi="Arial" w:cs="Arial"/>
          <w:spacing w:val="-2"/>
          <w:sz w:val="20"/>
          <w:szCs w:val="20"/>
        </w:rPr>
      </w:pPr>
      <w:r w:rsidRPr="00343C9F">
        <w:rPr>
          <w:rFonts w:ascii="Arial" w:hAnsi="Arial" w:cs="Arial"/>
          <w:spacing w:val="-2"/>
          <w:sz w:val="20"/>
          <w:szCs w:val="20"/>
        </w:rPr>
        <w:t>The Company is consolidating its clinic operations under one consistent brand</w:t>
      </w:r>
      <w:r>
        <w:rPr>
          <w:rFonts w:ascii="Arial" w:hAnsi="Arial" w:cs="Arial"/>
          <w:spacing w:val="-2"/>
          <w:sz w:val="20"/>
          <w:szCs w:val="20"/>
        </w:rPr>
        <w:t xml:space="preserve"> by </w:t>
      </w:r>
      <w:r w:rsidRPr="00343C9F">
        <w:rPr>
          <w:rFonts w:ascii="Arial" w:hAnsi="Arial" w:cs="Arial"/>
          <w:spacing w:val="-2"/>
          <w:sz w:val="20"/>
          <w:szCs w:val="20"/>
        </w:rPr>
        <w:t>merging the existing clinic operations of</w:t>
      </w:r>
      <w:r>
        <w:rPr>
          <w:rFonts w:ascii="Arial" w:hAnsi="Arial" w:cs="Arial"/>
          <w:spacing w:val="-2"/>
          <w:sz w:val="20"/>
          <w:szCs w:val="20"/>
        </w:rPr>
        <w:t xml:space="preserve"> </w:t>
      </w:r>
      <w:r w:rsidRPr="00343C9F">
        <w:rPr>
          <w:rFonts w:ascii="Arial" w:hAnsi="Arial" w:cs="Arial"/>
          <w:spacing w:val="-2"/>
          <w:sz w:val="20"/>
          <w:szCs w:val="20"/>
        </w:rPr>
        <w:t xml:space="preserve">Sun Valley in Arizona and Nevada </w:t>
      </w:r>
      <w:r>
        <w:rPr>
          <w:rFonts w:ascii="Arial" w:hAnsi="Arial" w:cs="Arial"/>
          <w:spacing w:val="-2"/>
          <w:sz w:val="20"/>
          <w:szCs w:val="20"/>
        </w:rPr>
        <w:t xml:space="preserve">with the </w:t>
      </w:r>
      <w:r w:rsidRPr="00343C9F">
        <w:rPr>
          <w:rFonts w:ascii="Arial" w:hAnsi="Arial" w:cs="Arial"/>
          <w:spacing w:val="-2"/>
          <w:sz w:val="20"/>
          <w:szCs w:val="20"/>
        </w:rPr>
        <w:t>existing physical and mobile clinic operations of Empower Clinics in Washington State and Oregon State</w:t>
      </w:r>
      <w:r w:rsidR="006653F4">
        <w:rPr>
          <w:rFonts w:ascii="Arial" w:hAnsi="Arial" w:cs="Arial"/>
          <w:spacing w:val="-2"/>
          <w:sz w:val="20"/>
          <w:szCs w:val="20"/>
        </w:rPr>
        <w:t xml:space="preserve"> under the brand of Sun Valley Health with the website </w:t>
      </w:r>
      <w:hyperlink r:id="rId12" w:history="1">
        <w:r w:rsidR="006653F4" w:rsidRPr="00F95CBF">
          <w:rPr>
            <w:rStyle w:val="Hyperlink"/>
            <w:rFonts w:ascii="Arial" w:hAnsi="Arial" w:cs="Arial"/>
            <w:spacing w:val="-2"/>
            <w:sz w:val="20"/>
            <w:szCs w:val="20"/>
          </w:rPr>
          <w:t>www.sunvalleyhealth.com</w:t>
        </w:r>
      </w:hyperlink>
      <w:r w:rsidR="00691C16">
        <w:rPr>
          <w:rFonts w:ascii="Arial" w:hAnsi="Arial" w:cs="Arial"/>
          <w:spacing w:val="-2"/>
          <w:sz w:val="20"/>
          <w:szCs w:val="20"/>
        </w:rPr>
        <w:t>.</w:t>
      </w:r>
      <w:r w:rsidR="006653F4">
        <w:rPr>
          <w:rFonts w:ascii="Arial" w:hAnsi="Arial" w:cs="Arial"/>
          <w:spacing w:val="-2"/>
          <w:sz w:val="20"/>
          <w:szCs w:val="20"/>
        </w:rPr>
        <w:t xml:space="preserve"> </w:t>
      </w:r>
    </w:p>
    <w:p w14:paraId="2624DAC0" w14:textId="77777777" w:rsidR="00343C9F" w:rsidRDefault="00343C9F" w:rsidP="003F6F1A">
      <w:pPr>
        <w:spacing w:after="0"/>
        <w:jc w:val="both"/>
        <w:rPr>
          <w:rFonts w:ascii="Arial" w:hAnsi="Arial" w:cs="Arial"/>
          <w:b/>
          <w:i/>
          <w:sz w:val="20"/>
          <w:szCs w:val="20"/>
          <w:u w:val="single"/>
        </w:rPr>
      </w:pPr>
    </w:p>
    <w:p w14:paraId="6EE8ADD8" w14:textId="77777777" w:rsidR="00343C9F" w:rsidRDefault="00343C9F" w:rsidP="003F6F1A">
      <w:pPr>
        <w:spacing w:after="0"/>
        <w:jc w:val="both"/>
        <w:rPr>
          <w:rFonts w:ascii="Arial" w:hAnsi="Arial" w:cs="Arial"/>
          <w:b/>
          <w:i/>
          <w:sz w:val="20"/>
          <w:szCs w:val="20"/>
          <w:u w:val="single"/>
        </w:rPr>
      </w:pPr>
      <w:r>
        <w:rPr>
          <w:rFonts w:ascii="Arial" w:hAnsi="Arial" w:cs="Arial"/>
          <w:b/>
          <w:i/>
          <w:sz w:val="20"/>
          <w:szCs w:val="20"/>
          <w:u w:val="single"/>
        </w:rPr>
        <w:t>Franchise Program</w:t>
      </w:r>
    </w:p>
    <w:p w14:paraId="6F623D37" w14:textId="77777777" w:rsidR="00343C9F" w:rsidRDefault="00343C9F" w:rsidP="003F6F1A">
      <w:pPr>
        <w:spacing w:after="0"/>
        <w:jc w:val="both"/>
        <w:rPr>
          <w:rFonts w:ascii="Arial" w:hAnsi="Arial" w:cs="Arial"/>
          <w:b/>
          <w:i/>
          <w:sz w:val="20"/>
          <w:szCs w:val="20"/>
          <w:u w:val="single"/>
        </w:rPr>
      </w:pPr>
    </w:p>
    <w:p w14:paraId="26D349AA" w14:textId="77777777" w:rsidR="00FD4F52" w:rsidRPr="00C8580E" w:rsidRDefault="00FD4F52" w:rsidP="003F6F1A">
      <w:pPr>
        <w:spacing w:after="0"/>
        <w:jc w:val="both"/>
        <w:rPr>
          <w:rFonts w:ascii="Arial" w:hAnsi="Arial" w:cs="Arial"/>
          <w:sz w:val="20"/>
          <w:szCs w:val="20"/>
          <w:lang w:val="en-CA"/>
        </w:rPr>
      </w:pPr>
      <w:r>
        <w:rPr>
          <w:rFonts w:ascii="Arial" w:hAnsi="Arial" w:cs="Arial"/>
          <w:sz w:val="20"/>
          <w:szCs w:val="20"/>
          <w:lang w:val="en-CA"/>
        </w:rPr>
        <w:t xml:space="preserve">As part of the Sun Valley acquisition, the Company is launching a nationwide Sun Valley Health franchise model allowing for easy and fast nationwide scalability that will increase the distribution of </w:t>
      </w:r>
      <w:proofErr w:type="spellStart"/>
      <w:r>
        <w:rPr>
          <w:rFonts w:ascii="Arial" w:hAnsi="Arial" w:cs="Arial"/>
          <w:sz w:val="20"/>
          <w:szCs w:val="20"/>
          <w:lang w:val="en-CA"/>
        </w:rPr>
        <w:t>Sollievo</w:t>
      </w:r>
      <w:proofErr w:type="spellEnd"/>
      <w:r>
        <w:rPr>
          <w:rFonts w:ascii="Arial" w:hAnsi="Arial" w:cs="Arial"/>
          <w:sz w:val="20"/>
          <w:szCs w:val="20"/>
          <w:lang w:val="en-CA"/>
        </w:rPr>
        <w:t xml:space="preserve"> and Sun Valley CBD products, to access many more patients and consumers in new and developing markets for the Company. </w:t>
      </w:r>
      <w:r w:rsidRPr="00C8580E">
        <w:rPr>
          <w:rFonts w:ascii="Arial" w:hAnsi="Arial" w:cs="Arial"/>
          <w:sz w:val="20"/>
          <w:szCs w:val="20"/>
          <w:lang w:val="en-CA"/>
        </w:rPr>
        <w:t xml:space="preserve">Franchisees </w:t>
      </w:r>
      <w:r>
        <w:rPr>
          <w:rFonts w:ascii="Arial" w:hAnsi="Arial" w:cs="Arial"/>
          <w:sz w:val="20"/>
          <w:szCs w:val="20"/>
          <w:lang w:val="en-CA"/>
        </w:rPr>
        <w:t xml:space="preserve">will </w:t>
      </w:r>
      <w:r w:rsidRPr="00C8580E">
        <w:rPr>
          <w:rFonts w:ascii="Arial" w:hAnsi="Arial" w:cs="Arial"/>
          <w:sz w:val="20"/>
          <w:szCs w:val="20"/>
          <w:lang w:val="en-CA"/>
        </w:rPr>
        <w:t xml:space="preserve">retain rights to specific territories to open and operate </w:t>
      </w:r>
      <w:r>
        <w:rPr>
          <w:rFonts w:ascii="Arial" w:hAnsi="Arial" w:cs="Arial"/>
          <w:sz w:val="20"/>
          <w:szCs w:val="20"/>
          <w:lang w:val="en-CA"/>
        </w:rPr>
        <w:t>Sun Valley Health</w:t>
      </w:r>
      <w:r w:rsidRPr="00C8580E">
        <w:rPr>
          <w:rFonts w:ascii="Arial" w:hAnsi="Arial" w:cs="Arial"/>
          <w:sz w:val="20"/>
          <w:szCs w:val="20"/>
          <w:lang w:val="en-CA"/>
        </w:rPr>
        <w:t xml:space="preserve"> clinics and sell CBD products in clinics and to local sales regions</w:t>
      </w:r>
      <w:r>
        <w:rPr>
          <w:rFonts w:ascii="Arial" w:hAnsi="Arial" w:cs="Arial"/>
          <w:sz w:val="20"/>
          <w:szCs w:val="20"/>
          <w:lang w:val="en-CA"/>
        </w:rPr>
        <w:t xml:space="preserve">. </w:t>
      </w:r>
      <w:r w:rsidRPr="00C8580E">
        <w:rPr>
          <w:rFonts w:ascii="Arial" w:hAnsi="Arial" w:cs="Arial"/>
          <w:sz w:val="20"/>
          <w:szCs w:val="20"/>
          <w:lang w:val="en-CA"/>
        </w:rPr>
        <w:t xml:space="preserve">Empower receives upfront franchise fees, ongoing clinic royalties, product royalties and ownership </w:t>
      </w:r>
      <w:r>
        <w:rPr>
          <w:rFonts w:ascii="Arial" w:hAnsi="Arial" w:cs="Arial"/>
          <w:sz w:val="20"/>
          <w:szCs w:val="20"/>
          <w:lang w:val="en-CA"/>
        </w:rPr>
        <w:t>of patient database information.</w:t>
      </w:r>
    </w:p>
    <w:p w14:paraId="12BDBAC7" w14:textId="77777777" w:rsidR="00FD4F52" w:rsidRDefault="00FD4F52" w:rsidP="003F6F1A">
      <w:pPr>
        <w:spacing w:after="0"/>
        <w:jc w:val="both"/>
        <w:rPr>
          <w:rFonts w:ascii="Arial" w:hAnsi="Arial" w:cs="Arial"/>
          <w:spacing w:val="-2"/>
          <w:sz w:val="20"/>
          <w:szCs w:val="20"/>
        </w:rPr>
      </w:pPr>
    </w:p>
    <w:p w14:paraId="13B32ABB" w14:textId="799683EC" w:rsidR="00343C9F" w:rsidRPr="00343C9F" w:rsidRDefault="00FD4F52" w:rsidP="003F6F1A">
      <w:pPr>
        <w:spacing w:after="0"/>
        <w:jc w:val="both"/>
        <w:rPr>
          <w:rFonts w:ascii="Arial" w:hAnsi="Arial" w:cs="Arial"/>
          <w:spacing w:val="-2"/>
          <w:sz w:val="20"/>
          <w:szCs w:val="20"/>
        </w:rPr>
      </w:pPr>
      <w:r>
        <w:rPr>
          <w:rFonts w:ascii="Arial" w:hAnsi="Arial" w:cs="Arial"/>
          <w:spacing w:val="-2"/>
          <w:sz w:val="20"/>
          <w:szCs w:val="20"/>
        </w:rPr>
        <w:t>During Q2 2019, t</w:t>
      </w:r>
      <w:r w:rsidR="00343C9F">
        <w:rPr>
          <w:rFonts w:ascii="Arial" w:hAnsi="Arial" w:cs="Arial"/>
          <w:spacing w:val="-2"/>
          <w:sz w:val="20"/>
          <w:szCs w:val="20"/>
        </w:rPr>
        <w:t xml:space="preserve">he Company </w:t>
      </w:r>
      <w:r w:rsidR="00343C9F" w:rsidRPr="00343C9F">
        <w:rPr>
          <w:rFonts w:ascii="Arial" w:hAnsi="Arial" w:cs="Arial"/>
          <w:spacing w:val="-2"/>
          <w:sz w:val="20"/>
          <w:szCs w:val="20"/>
        </w:rPr>
        <w:t>launch</w:t>
      </w:r>
      <w:r w:rsidR="00343C9F">
        <w:rPr>
          <w:rFonts w:ascii="Arial" w:hAnsi="Arial" w:cs="Arial"/>
          <w:spacing w:val="-2"/>
          <w:sz w:val="20"/>
          <w:szCs w:val="20"/>
        </w:rPr>
        <w:t>ed</w:t>
      </w:r>
      <w:r w:rsidR="00343C9F" w:rsidRPr="00343C9F">
        <w:rPr>
          <w:rFonts w:ascii="Arial" w:hAnsi="Arial" w:cs="Arial"/>
          <w:spacing w:val="-2"/>
          <w:sz w:val="20"/>
          <w:szCs w:val="20"/>
        </w:rPr>
        <w:t xml:space="preserve"> </w:t>
      </w:r>
      <w:r>
        <w:rPr>
          <w:rFonts w:ascii="Arial" w:hAnsi="Arial" w:cs="Arial"/>
          <w:spacing w:val="-2"/>
          <w:sz w:val="20"/>
          <w:szCs w:val="20"/>
        </w:rPr>
        <w:t xml:space="preserve">the </w:t>
      </w:r>
      <w:r w:rsidR="00343C9F" w:rsidRPr="00343C9F">
        <w:rPr>
          <w:rFonts w:ascii="Arial" w:hAnsi="Arial" w:cs="Arial"/>
          <w:spacing w:val="-2"/>
          <w:sz w:val="20"/>
          <w:szCs w:val="20"/>
        </w:rPr>
        <w:t>nationwide Sun Valley Health franchise program</w:t>
      </w:r>
      <w:r w:rsidR="00343C9F">
        <w:rPr>
          <w:rFonts w:ascii="Arial" w:hAnsi="Arial" w:cs="Arial"/>
          <w:spacing w:val="-2"/>
          <w:sz w:val="20"/>
          <w:szCs w:val="20"/>
        </w:rPr>
        <w:t xml:space="preserve"> and has received its first signed franchise application</w:t>
      </w:r>
      <w:r w:rsidR="006653F4">
        <w:rPr>
          <w:rFonts w:ascii="Arial" w:hAnsi="Arial" w:cs="Arial"/>
          <w:spacing w:val="-2"/>
          <w:sz w:val="20"/>
          <w:szCs w:val="20"/>
        </w:rPr>
        <w:t>s and has sent out preliminary Franchise Disclosure Documents (FDD) to perspective franchise applicants.</w:t>
      </w:r>
    </w:p>
    <w:p w14:paraId="5B7AF184" w14:textId="77777777" w:rsidR="00343C9F" w:rsidRPr="00731EA5" w:rsidRDefault="00343C9F" w:rsidP="003F6F1A">
      <w:pPr>
        <w:spacing w:after="0"/>
        <w:jc w:val="both"/>
        <w:rPr>
          <w:rFonts w:ascii="Arial" w:hAnsi="Arial" w:cs="Arial"/>
          <w:spacing w:val="-2"/>
          <w:sz w:val="20"/>
          <w:szCs w:val="20"/>
        </w:rPr>
      </w:pPr>
    </w:p>
    <w:p w14:paraId="16904DE4" w14:textId="77777777" w:rsidR="00E27B44" w:rsidRDefault="00E27B44" w:rsidP="003F6F1A">
      <w:pPr>
        <w:spacing w:after="0"/>
        <w:jc w:val="both"/>
        <w:rPr>
          <w:rFonts w:ascii="Arial" w:hAnsi="Arial" w:cs="Arial"/>
          <w:spacing w:val="-2"/>
          <w:sz w:val="20"/>
          <w:szCs w:val="20"/>
        </w:rPr>
      </w:pPr>
      <w:r w:rsidRPr="00731EA5">
        <w:rPr>
          <w:rFonts w:ascii="Arial" w:hAnsi="Arial" w:cs="Arial"/>
          <w:b/>
          <w:i/>
          <w:sz w:val="20"/>
          <w:szCs w:val="20"/>
          <w:u w:val="single"/>
        </w:rPr>
        <w:t>CBD Market Demand</w:t>
      </w:r>
      <w:r w:rsidRPr="00731EA5">
        <w:rPr>
          <w:rFonts w:ascii="Arial" w:hAnsi="Arial" w:cs="Arial"/>
          <w:spacing w:val="-2"/>
          <w:sz w:val="20"/>
          <w:szCs w:val="20"/>
        </w:rPr>
        <w:t xml:space="preserve"> </w:t>
      </w:r>
    </w:p>
    <w:p w14:paraId="3908DDC0" w14:textId="77777777" w:rsidR="00E27B44" w:rsidRDefault="00E27B44" w:rsidP="003F6F1A">
      <w:pPr>
        <w:spacing w:after="0"/>
        <w:jc w:val="both"/>
        <w:rPr>
          <w:rFonts w:ascii="Arial" w:hAnsi="Arial" w:cs="Arial"/>
          <w:spacing w:val="-2"/>
          <w:sz w:val="20"/>
          <w:szCs w:val="20"/>
        </w:rPr>
      </w:pPr>
    </w:p>
    <w:p w14:paraId="242FD1E3" w14:textId="3432F556" w:rsidR="00E27B44" w:rsidRPr="00731EA5" w:rsidRDefault="00E27B44" w:rsidP="003F6F1A">
      <w:pPr>
        <w:spacing w:after="0"/>
        <w:jc w:val="both"/>
        <w:rPr>
          <w:rFonts w:ascii="Arial" w:hAnsi="Arial" w:cs="Arial"/>
          <w:spacing w:val="-2"/>
          <w:sz w:val="20"/>
          <w:szCs w:val="20"/>
        </w:rPr>
      </w:pPr>
      <w:r w:rsidRPr="00731EA5">
        <w:rPr>
          <w:rFonts w:ascii="Arial" w:hAnsi="Arial" w:cs="Arial"/>
          <w:spacing w:val="-2"/>
          <w:sz w:val="20"/>
          <w:szCs w:val="20"/>
        </w:rPr>
        <w:t>The passing in the United States of the US$867 billion Agriculture Improvement Act (the “Farm Bill”) has legalized hemp and hemp-based products. Recent reports and studies</w:t>
      </w:r>
      <w:r w:rsidR="00F17EB0">
        <w:rPr>
          <w:rFonts w:ascii="Arial" w:hAnsi="Arial" w:cs="Arial"/>
          <w:spacing w:val="-2"/>
          <w:sz w:val="20"/>
          <w:szCs w:val="20"/>
        </w:rPr>
        <w:t xml:space="preserve"> from the Brightfield Group</w:t>
      </w:r>
      <w:r w:rsidRPr="00731EA5">
        <w:rPr>
          <w:rFonts w:ascii="Arial" w:hAnsi="Arial" w:cs="Arial"/>
          <w:spacing w:val="-2"/>
          <w:sz w:val="20"/>
          <w:szCs w:val="20"/>
        </w:rPr>
        <w:t xml:space="preserve"> indicate the approval of the Farm Bill could create a US$2</w:t>
      </w:r>
      <w:r w:rsidR="00F17EB0">
        <w:rPr>
          <w:rFonts w:ascii="Arial" w:hAnsi="Arial" w:cs="Arial"/>
          <w:spacing w:val="-2"/>
          <w:sz w:val="20"/>
          <w:szCs w:val="20"/>
        </w:rPr>
        <w:t>3.7</w:t>
      </w:r>
      <w:r w:rsidRPr="00731EA5">
        <w:rPr>
          <w:rFonts w:ascii="Arial" w:hAnsi="Arial" w:cs="Arial"/>
          <w:spacing w:val="-2"/>
          <w:sz w:val="20"/>
          <w:szCs w:val="20"/>
        </w:rPr>
        <w:t xml:space="preserve"> billion industry by 202</w:t>
      </w:r>
      <w:r w:rsidR="00F17EB0">
        <w:rPr>
          <w:rFonts w:ascii="Arial" w:hAnsi="Arial" w:cs="Arial"/>
          <w:spacing w:val="-2"/>
          <w:sz w:val="20"/>
          <w:szCs w:val="20"/>
        </w:rPr>
        <w:t>3</w:t>
      </w:r>
      <w:r w:rsidRPr="00731EA5">
        <w:rPr>
          <w:rFonts w:ascii="Arial" w:hAnsi="Arial" w:cs="Arial"/>
          <w:spacing w:val="-2"/>
          <w:sz w:val="20"/>
          <w:szCs w:val="20"/>
        </w:rPr>
        <w:t>.</w:t>
      </w:r>
    </w:p>
    <w:p w14:paraId="5993C1B6" w14:textId="77777777" w:rsidR="00E27B44" w:rsidRPr="00731EA5" w:rsidRDefault="00E27B44" w:rsidP="003F6F1A">
      <w:pPr>
        <w:spacing w:after="0"/>
        <w:jc w:val="both"/>
        <w:rPr>
          <w:rFonts w:ascii="Arial" w:hAnsi="Arial" w:cs="Arial"/>
          <w:spacing w:val="-2"/>
          <w:sz w:val="20"/>
          <w:szCs w:val="20"/>
        </w:rPr>
      </w:pPr>
    </w:p>
    <w:p w14:paraId="147B5191" w14:textId="77777777" w:rsidR="00E27B44" w:rsidRDefault="00E27B44" w:rsidP="003F6F1A">
      <w:pPr>
        <w:spacing w:after="0"/>
        <w:jc w:val="both"/>
        <w:rPr>
          <w:rFonts w:ascii="Arial" w:hAnsi="Arial" w:cs="Arial"/>
          <w:spacing w:val="-2"/>
          <w:sz w:val="20"/>
          <w:szCs w:val="20"/>
        </w:rPr>
      </w:pPr>
      <w:r w:rsidRPr="00731EA5">
        <w:rPr>
          <w:rFonts w:ascii="Arial" w:hAnsi="Arial" w:cs="Arial"/>
          <w:b/>
          <w:i/>
          <w:sz w:val="20"/>
          <w:szCs w:val="20"/>
          <w:u w:val="single"/>
        </w:rPr>
        <w:t>Increased Patient Access</w:t>
      </w:r>
      <w:r w:rsidRPr="00731EA5">
        <w:rPr>
          <w:rFonts w:ascii="Arial" w:hAnsi="Arial" w:cs="Arial"/>
          <w:spacing w:val="-2"/>
          <w:sz w:val="20"/>
          <w:szCs w:val="20"/>
        </w:rPr>
        <w:t xml:space="preserve"> </w:t>
      </w:r>
    </w:p>
    <w:p w14:paraId="59F4D11C" w14:textId="77777777" w:rsidR="00E27B44" w:rsidRDefault="00E27B44" w:rsidP="003F6F1A">
      <w:pPr>
        <w:spacing w:after="0"/>
        <w:jc w:val="both"/>
        <w:rPr>
          <w:rFonts w:ascii="Arial" w:hAnsi="Arial" w:cs="Arial"/>
          <w:spacing w:val="-2"/>
          <w:sz w:val="20"/>
          <w:szCs w:val="20"/>
        </w:rPr>
      </w:pPr>
    </w:p>
    <w:p w14:paraId="20070A2C" w14:textId="77777777" w:rsidR="00E27B44" w:rsidRPr="00731EA5" w:rsidRDefault="00E27B44" w:rsidP="003F6F1A">
      <w:pPr>
        <w:spacing w:after="0"/>
        <w:jc w:val="both"/>
        <w:rPr>
          <w:rFonts w:ascii="Arial" w:hAnsi="Arial" w:cs="Arial"/>
          <w:spacing w:val="-2"/>
          <w:sz w:val="20"/>
          <w:szCs w:val="20"/>
        </w:rPr>
      </w:pPr>
      <w:r w:rsidRPr="00731EA5">
        <w:rPr>
          <w:rFonts w:ascii="Arial" w:hAnsi="Arial" w:cs="Arial"/>
          <w:spacing w:val="-2"/>
          <w:sz w:val="20"/>
          <w:szCs w:val="20"/>
        </w:rPr>
        <w:t xml:space="preserve">With a rapidly expanding company-owned clinic network and significant expansion opportunity </w:t>
      </w:r>
      <w:r>
        <w:rPr>
          <w:rFonts w:ascii="Arial" w:hAnsi="Arial" w:cs="Arial"/>
          <w:spacing w:val="-2"/>
          <w:sz w:val="20"/>
          <w:szCs w:val="20"/>
        </w:rPr>
        <w:t>with</w:t>
      </w:r>
      <w:r w:rsidRPr="00731EA5">
        <w:rPr>
          <w:rFonts w:ascii="Arial" w:hAnsi="Arial" w:cs="Arial"/>
          <w:spacing w:val="-2"/>
          <w:sz w:val="20"/>
          <w:szCs w:val="20"/>
        </w:rPr>
        <w:t xml:space="preserve"> the successful acquisition of Sun Valley </w:t>
      </w:r>
      <w:r>
        <w:rPr>
          <w:rFonts w:ascii="Arial" w:hAnsi="Arial" w:cs="Arial"/>
          <w:spacing w:val="-2"/>
          <w:sz w:val="20"/>
          <w:szCs w:val="20"/>
        </w:rPr>
        <w:t xml:space="preserve">Clinics and the roll-out of the Sun Valley </w:t>
      </w:r>
      <w:r w:rsidRPr="00731EA5">
        <w:rPr>
          <w:rFonts w:ascii="Arial" w:hAnsi="Arial" w:cs="Arial"/>
          <w:spacing w:val="-2"/>
          <w:sz w:val="20"/>
          <w:szCs w:val="20"/>
        </w:rPr>
        <w:t>franchise model, Empower anticipates it will grow its total patient list substantially in the years ahead. This is expected to provide greater opportunity for treatment analysis using artificial intelligence (AI)</w:t>
      </w:r>
      <w:r>
        <w:rPr>
          <w:rFonts w:ascii="Arial" w:hAnsi="Arial" w:cs="Arial"/>
          <w:spacing w:val="-2"/>
          <w:sz w:val="20"/>
          <w:szCs w:val="20"/>
        </w:rPr>
        <w:t xml:space="preserve"> data collection and analysis</w:t>
      </w:r>
      <w:r w:rsidRPr="00731EA5">
        <w:rPr>
          <w:rFonts w:ascii="Arial" w:hAnsi="Arial" w:cs="Arial"/>
          <w:spacing w:val="-2"/>
          <w:sz w:val="20"/>
          <w:szCs w:val="20"/>
        </w:rPr>
        <w:t xml:space="preserve">. </w:t>
      </w:r>
      <w:r w:rsidR="00781EEE">
        <w:rPr>
          <w:rFonts w:ascii="Arial" w:hAnsi="Arial" w:cs="Arial"/>
          <w:spacing w:val="-2"/>
          <w:sz w:val="20"/>
          <w:szCs w:val="20"/>
        </w:rPr>
        <w:t>The objective is to utilize the current 165,000 patients and data associated with their consultations with our physicians, to potentially begin to determine measurable and quantifiable data on medical cannabis treatment option efficacy.</w:t>
      </w:r>
    </w:p>
    <w:p w14:paraId="491DFC25" w14:textId="77777777" w:rsidR="00E27B44" w:rsidRPr="00731EA5" w:rsidRDefault="00E27B44" w:rsidP="003F6F1A">
      <w:pPr>
        <w:spacing w:after="0"/>
        <w:jc w:val="both"/>
        <w:rPr>
          <w:rFonts w:ascii="Arial" w:hAnsi="Arial" w:cs="Arial"/>
          <w:spacing w:val="-2"/>
          <w:sz w:val="20"/>
          <w:szCs w:val="20"/>
        </w:rPr>
      </w:pPr>
    </w:p>
    <w:p w14:paraId="1E5F0032" w14:textId="77777777" w:rsidR="00E27B44" w:rsidRDefault="00E27B44" w:rsidP="003F6F1A">
      <w:pPr>
        <w:spacing w:after="0"/>
        <w:jc w:val="both"/>
        <w:rPr>
          <w:rFonts w:ascii="Arial" w:hAnsi="Arial" w:cs="Arial"/>
          <w:spacing w:val="-2"/>
          <w:sz w:val="20"/>
          <w:szCs w:val="20"/>
        </w:rPr>
      </w:pPr>
      <w:r w:rsidRPr="00731EA5">
        <w:rPr>
          <w:rFonts w:ascii="Arial" w:hAnsi="Arial" w:cs="Arial"/>
          <w:b/>
          <w:i/>
          <w:sz w:val="20"/>
          <w:szCs w:val="20"/>
          <w:u w:val="single"/>
        </w:rPr>
        <w:t>Market Leading Technology</w:t>
      </w:r>
      <w:r w:rsidRPr="00731EA5">
        <w:rPr>
          <w:rFonts w:ascii="Arial" w:hAnsi="Arial" w:cs="Arial"/>
          <w:spacing w:val="-2"/>
          <w:sz w:val="20"/>
          <w:szCs w:val="20"/>
        </w:rPr>
        <w:t xml:space="preserve"> </w:t>
      </w:r>
    </w:p>
    <w:p w14:paraId="3D972F18" w14:textId="77777777" w:rsidR="00E27B44" w:rsidRDefault="00E27B44" w:rsidP="003F6F1A">
      <w:pPr>
        <w:spacing w:after="0"/>
        <w:jc w:val="both"/>
        <w:rPr>
          <w:rFonts w:ascii="Arial" w:hAnsi="Arial" w:cs="Arial"/>
          <w:spacing w:val="-2"/>
          <w:sz w:val="20"/>
          <w:szCs w:val="20"/>
        </w:rPr>
      </w:pPr>
    </w:p>
    <w:p w14:paraId="6BF676A5" w14:textId="77777777" w:rsidR="00E27B44" w:rsidRPr="00731EA5" w:rsidRDefault="00E27B44" w:rsidP="003F6F1A">
      <w:pPr>
        <w:spacing w:after="0"/>
        <w:jc w:val="both"/>
        <w:rPr>
          <w:rFonts w:ascii="Arial" w:hAnsi="Arial" w:cs="Arial"/>
          <w:spacing w:val="-2"/>
          <w:sz w:val="20"/>
          <w:szCs w:val="20"/>
        </w:rPr>
      </w:pPr>
      <w:r w:rsidRPr="00731EA5">
        <w:rPr>
          <w:rFonts w:ascii="Arial" w:hAnsi="Arial" w:cs="Arial"/>
          <w:spacing w:val="-2"/>
          <w:sz w:val="20"/>
          <w:szCs w:val="20"/>
        </w:rPr>
        <w:t>Empower utilizes a market-leading patient electronic management and POS system that is HIPAA compliant and provides insight to patient care. The Company supports remote patients using its tele-medicine portal, enabling patients who are unable to come to a location to benefit from a doctor consultation.</w:t>
      </w:r>
    </w:p>
    <w:p w14:paraId="69328A5B" w14:textId="77777777" w:rsidR="00E27B44" w:rsidRDefault="00E27B44" w:rsidP="003F6F1A">
      <w:pPr>
        <w:pStyle w:val="NormalWeb"/>
        <w:spacing w:before="0" w:beforeAutospacing="0" w:after="0" w:afterAutospacing="0"/>
        <w:rPr>
          <w:rFonts w:ascii="Arial" w:hAnsi="Arial" w:cs="Arial"/>
          <w:b/>
          <w:sz w:val="20"/>
          <w:szCs w:val="20"/>
        </w:rPr>
      </w:pPr>
    </w:p>
    <w:p w14:paraId="52F2ACFC" w14:textId="77777777" w:rsidR="00FD4F52" w:rsidRDefault="00FD4F52" w:rsidP="003F6F1A">
      <w:pPr>
        <w:pStyle w:val="NormalWeb"/>
        <w:spacing w:before="0" w:beforeAutospacing="0" w:after="0" w:afterAutospacing="0"/>
        <w:rPr>
          <w:rFonts w:ascii="Arial" w:hAnsi="Arial" w:cs="Arial"/>
          <w:b/>
          <w:sz w:val="20"/>
          <w:szCs w:val="20"/>
        </w:rPr>
      </w:pPr>
    </w:p>
    <w:p w14:paraId="627B7030" w14:textId="77777777" w:rsidR="00AC41B8" w:rsidRDefault="00AC41B8" w:rsidP="003F6F1A">
      <w:pPr>
        <w:spacing w:after="0"/>
        <w:jc w:val="both"/>
        <w:rPr>
          <w:rFonts w:ascii="Arial" w:hAnsi="Arial" w:cs="Arial"/>
          <w:b/>
          <w:i/>
          <w:sz w:val="20"/>
          <w:szCs w:val="20"/>
          <w:u w:val="single"/>
        </w:rPr>
      </w:pPr>
    </w:p>
    <w:p w14:paraId="66171A58" w14:textId="6CE32E7D" w:rsidR="00E27B44" w:rsidRDefault="00E27B44" w:rsidP="003F6F1A">
      <w:pPr>
        <w:spacing w:after="0"/>
        <w:jc w:val="both"/>
      </w:pPr>
      <w:r>
        <w:rPr>
          <w:rFonts w:ascii="Arial" w:hAnsi="Arial" w:cs="Arial"/>
          <w:b/>
          <w:i/>
          <w:sz w:val="20"/>
          <w:szCs w:val="20"/>
          <w:u w:val="single"/>
        </w:rPr>
        <w:t>Subsequent Share Transactions</w:t>
      </w:r>
    </w:p>
    <w:p w14:paraId="71DDDDF0" w14:textId="2B6C3C87" w:rsidR="00E36959" w:rsidRDefault="00E27B44" w:rsidP="003F6F1A">
      <w:pPr>
        <w:autoSpaceDE w:val="0"/>
        <w:autoSpaceDN w:val="0"/>
        <w:adjustRightInd w:val="0"/>
        <w:spacing w:after="0" w:line="276" w:lineRule="auto"/>
        <w:jc w:val="both"/>
        <w:rPr>
          <w:rFonts w:ascii="Arial" w:hAnsi="Arial" w:cs="Arial"/>
          <w:spacing w:val="-2"/>
          <w:sz w:val="20"/>
          <w:szCs w:val="20"/>
        </w:rPr>
      </w:pPr>
      <w:r>
        <w:rPr>
          <w:rFonts w:ascii="Arial" w:hAnsi="Arial" w:cs="Arial"/>
          <w:sz w:val="20"/>
          <w:szCs w:val="20"/>
        </w:rPr>
        <w:br/>
      </w:r>
      <w:bookmarkStart w:id="2" w:name="_Hlk16520936"/>
      <w:r w:rsidR="00E36959">
        <w:rPr>
          <w:rFonts w:ascii="Arial" w:hAnsi="Arial" w:cs="Arial"/>
          <w:spacing w:val="-2"/>
          <w:sz w:val="20"/>
          <w:szCs w:val="20"/>
        </w:rPr>
        <w:t xml:space="preserve">On July 30, 2019, pursuant to a </w:t>
      </w:r>
      <w:r w:rsidR="00FF01C4">
        <w:rPr>
          <w:rFonts w:ascii="Arial" w:hAnsi="Arial" w:cs="Arial"/>
          <w:spacing w:val="-2"/>
          <w:sz w:val="20"/>
          <w:szCs w:val="20"/>
        </w:rPr>
        <w:t xml:space="preserve">prior </w:t>
      </w:r>
      <w:r w:rsidR="00E36959">
        <w:rPr>
          <w:rFonts w:ascii="Arial" w:hAnsi="Arial" w:cs="Arial"/>
          <w:spacing w:val="-2"/>
          <w:sz w:val="20"/>
          <w:szCs w:val="20"/>
        </w:rPr>
        <w:t>marketing services agreement</w:t>
      </w:r>
      <w:r w:rsidR="00FF01C4">
        <w:rPr>
          <w:rFonts w:ascii="Arial" w:hAnsi="Arial" w:cs="Arial"/>
          <w:spacing w:val="-2"/>
          <w:sz w:val="20"/>
          <w:szCs w:val="20"/>
        </w:rPr>
        <w:t xml:space="preserve"> entered into on September 10, 2017</w:t>
      </w:r>
      <w:r w:rsidR="00E36959">
        <w:rPr>
          <w:rFonts w:ascii="Arial" w:hAnsi="Arial" w:cs="Arial"/>
          <w:spacing w:val="-2"/>
          <w:sz w:val="20"/>
          <w:szCs w:val="20"/>
        </w:rPr>
        <w:t>, the Company issued 3,746,080 common share purchase warrants. Each warrant entitles the holder to acquire one common share at a price of C$0.31 ($0.24) for a period of thirty</w:t>
      </w:r>
      <w:r w:rsidR="00D242CC">
        <w:rPr>
          <w:rFonts w:ascii="Arial" w:hAnsi="Arial" w:cs="Arial"/>
          <w:spacing w:val="-2"/>
          <w:sz w:val="20"/>
          <w:szCs w:val="20"/>
        </w:rPr>
        <w:t>-</w:t>
      </w:r>
      <w:r w:rsidR="00E36959">
        <w:rPr>
          <w:rFonts w:ascii="Arial" w:hAnsi="Arial" w:cs="Arial"/>
          <w:spacing w:val="-2"/>
          <w:sz w:val="20"/>
          <w:szCs w:val="20"/>
        </w:rPr>
        <w:t xml:space="preserve">seven months following the date of issuance. </w:t>
      </w:r>
    </w:p>
    <w:p w14:paraId="6BC2E74B" w14:textId="77777777" w:rsidR="00D242CC" w:rsidRDefault="00D242CC" w:rsidP="003F6F1A">
      <w:pPr>
        <w:autoSpaceDE w:val="0"/>
        <w:autoSpaceDN w:val="0"/>
        <w:adjustRightInd w:val="0"/>
        <w:spacing w:after="0" w:line="276" w:lineRule="auto"/>
        <w:jc w:val="both"/>
        <w:rPr>
          <w:rFonts w:ascii="Arial" w:hAnsi="Arial" w:cs="Arial"/>
          <w:spacing w:val="-2"/>
          <w:sz w:val="20"/>
          <w:szCs w:val="20"/>
        </w:rPr>
      </w:pPr>
    </w:p>
    <w:p w14:paraId="1F5A89BF" w14:textId="1FAC3B3B" w:rsidR="00D3689F" w:rsidRDefault="00D3689F" w:rsidP="003F6F1A">
      <w:pPr>
        <w:autoSpaceDE w:val="0"/>
        <w:autoSpaceDN w:val="0"/>
        <w:adjustRightInd w:val="0"/>
        <w:spacing w:after="0" w:line="276" w:lineRule="auto"/>
        <w:jc w:val="both"/>
        <w:rPr>
          <w:rFonts w:ascii="Arial" w:hAnsi="Arial" w:cs="Arial"/>
          <w:spacing w:val="-2"/>
          <w:sz w:val="20"/>
          <w:szCs w:val="20"/>
        </w:rPr>
      </w:pPr>
      <w:r w:rsidRPr="00AC41B8">
        <w:rPr>
          <w:rFonts w:ascii="Arial" w:hAnsi="Arial" w:cs="Arial"/>
          <w:spacing w:val="-2"/>
          <w:sz w:val="20"/>
          <w:szCs w:val="20"/>
        </w:rPr>
        <w:t>On August 7, 2019, the Company cancelled 2,000,000 common shares with a deemed price of C$0.31 ($0.24) per common share</w:t>
      </w:r>
      <w:r w:rsidR="003E0848" w:rsidRPr="00AC41B8">
        <w:rPr>
          <w:rFonts w:ascii="Arial" w:hAnsi="Arial" w:cs="Arial"/>
          <w:spacing w:val="-2"/>
          <w:sz w:val="20"/>
          <w:szCs w:val="20"/>
        </w:rPr>
        <w:t xml:space="preserve">. </w:t>
      </w:r>
      <w:r w:rsidRPr="00AC41B8">
        <w:rPr>
          <w:rFonts w:ascii="Arial" w:hAnsi="Arial" w:cs="Arial"/>
          <w:spacing w:val="-2"/>
          <w:sz w:val="20"/>
          <w:szCs w:val="20"/>
        </w:rPr>
        <w:t>The common shares were reacquired and cancelled as the Company cancelled the marketing services agreement, pursuant to which the common shares</w:t>
      </w:r>
      <w:r w:rsidR="003E0848" w:rsidRPr="00AC41B8">
        <w:rPr>
          <w:rFonts w:ascii="Arial" w:hAnsi="Arial" w:cs="Arial"/>
          <w:spacing w:val="-2"/>
          <w:sz w:val="20"/>
          <w:szCs w:val="20"/>
        </w:rPr>
        <w:t xml:space="preserve"> and warrants</w:t>
      </w:r>
      <w:r w:rsidRPr="00AC41B8">
        <w:rPr>
          <w:rFonts w:ascii="Arial" w:hAnsi="Arial" w:cs="Arial"/>
          <w:spacing w:val="-2"/>
          <w:sz w:val="20"/>
          <w:szCs w:val="20"/>
        </w:rPr>
        <w:t xml:space="preserve"> were originally issued, due to non-performance of services by the marketing company.</w:t>
      </w:r>
      <w:r w:rsidR="00AC41B8" w:rsidRPr="00AC41B8">
        <w:rPr>
          <w:rFonts w:ascii="Arial" w:hAnsi="Arial" w:cs="Arial"/>
          <w:spacing w:val="-2"/>
          <w:sz w:val="20"/>
          <w:szCs w:val="20"/>
        </w:rPr>
        <w:t xml:space="preserve"> Pursuant to the marketing services agreement, the Company also issued </w:t>
      </w:r>
      <w:r w:rsidR="00AC41B8" w:rsidRPr="005D4546">
        <w:rPr>
          <w:rFonts w:ascii="Arial" w:hAnsi="Arial" w:cs="Arial"/>
          <w:spacing w:val="-2"/>
          <w:sz w:val="20"/>
          <w:szCs w:val="20"/>
        </w:rPr>
        <w:t>2,000</w:t>
      </w:r>
      <w:r w:rsidR="00AC41B8">
        <w:rPr>
          <w:rFonts w:ascii="Arial" w:hAnsi="Arial" w:cs="Arial"/>
          <w:spacing w:val="-2"/>
          <w:sz w:val="20"/>
          <w:szCs w:val="20"/>
        </w:rPr>
        <w:t xml:space="preserve">,000 </w:t>
      </w:r>
      <w:r w:rsidR="005D4546">
        <w:rPr>
          <w:rFonts w:ascii="Arial" w:hAnsi="Arial" w:cs="Arial"/>
          <w:spacing w:val="-2"/>
          <w:sz w:val="20"/>
          <w:szCs w:val="20"/>
        </w:rPr>
        <w:t xml:space="preserve">common share purchase </w:t>
      </w:r>
      <w:r w:rsidR="00AC41B8">
        <w:rPr>
          <w:rFonts w:ascii="Arial" w:hAnsi="Arial" w:cs="Arial"/>
          <w:spacing w:val="-2"/>
          <w:sz w:val="20"/>
          <w:szCs w:val="20"/>
        </w:rPr>
        <w:t xml:space="preserve">warrants with a conversion price of C$0.36 ($0.28). The 2,000,000 </w:t>
      </w:r>
      <w:r w:rsidR="005D4546">
        <w:rPr>
          <w:rFonts w:ascii="Arial" w:hAnsi="Arial" w:cs="Arial"/>
          <w:spacing w:val="-2"/>
          <w:sz w:val="20"/>
          <w:szCs w:val="20"/>
        </w:rPr>
        <w:t xml:space="preserve">common share purchase </w:t>
      </w:r>
      <w:r w:rsidR="00AC41B8">
        <w:rPr>
          <w:rFonts w:ascii="Arial" w:hAnsi="Arial" w:cs="Arial"/>
          <w:spacing w:val="-2"/>
          <w:sz w:val="20"/>
          <w:szCs w:val="20"/>
        </w:rPr>
        <w:t>warrants expired on June 11, 2019.</w:t>
      </w:r>
    </w:p>
    <w:p w14:paraId="16EB000C" w14:textId="77777777" w:rsidR="00D242CC" w:rsidRDefault="00D242CC" w:rsidP="003F6F1A">
      <w:pPr>
        <w:autoSpaceDE w:val="0"/>
        <w:autoSpaceDN w:val="0"/>
        <w:adjustRightInd w:val="0"/>
        <w:spacing w:after="0" w:line="276" w:lineRule="auto"/>
        <w:jc w:val="both"/>
        <w:rPr>
          <w:rFonts w:ascii="Arial" w:hAnsi="Arial" w:cs="Arial"/>
          <w:spacing w:val="-2"/>
          <w:sz w:val="20"/>
          <w:szCs w:val="20"/>
        </w:rPr>
      </w:pPr>
    </w:p>
    <w:p w14:paraId="6064E349" w14:textId="0D3F954F" w:rsidR="005D4546" w:rsidRDefault="005D4546" w:rsidP="003F6F1A">
      <w:pPr>
        <w:autoSpaceDE w:val="0"/>
        <w:autoSpaceDN w:val="0"/>
        <w:adjustRightInd w:val="0"/>
        <w:spacing w:after="0" w:line="276" w:lineRule="auto"/>
        <w:jc w:val="both"/>
        <w:rPr>
          <w:rFonts w:ascii="Arial" w:hAnsi="Arial" w:cs="Arial"/>
          <w:spacing w:val="-2"/>
          <w:sz w:val="20"/>
          <w:szCs w:val="20"/>
        </w:rPr>
      </w:pPr>
      <w:r>
        <w:rPr>
          <w:rFonts w:ascii="Arial" w:hAnsi="Arial" w:cs="Arial"/>
          <w:spacing w:val="-2"/>
          <w:sz w:val="20"/>
          <w:szCs w:val="20"/>
        </w:rPr>
        <w:t xml:space="preserve">On August 9, 2019, pursuant to the conversion of convertible debentures with a face value of </w:t>
      </w:r>
      <w:r w:rsidR="00E36959">
        <w:rPr>
          <w:rFonts w:ascii="Arial" w:hAnsi="Arial" w:cs="Arial"/>
          <w:spacing w:val="-2"/>
          <w:sz w:val="20"/>
          <w:szCs w:val="20"/>
        </w:rPr>
        <w:t>C</w:t>
      </w:r>
      <w:r>
        <w:rPr>
          <w:rFonts w:ascii="Arial" w:hAnsi="Arial" w:cs="Arial"/>
          <w:spacing w:val="-2"/>
          <w:sz w:val="20"/>
          <w:szCs w:val="20"/>
        </w:rPr>
        <w:t xml:space="preserve">$110,000 </w:t>
      </w:r>
      <w:r w:rsidR="00E36959">
        <w:rPr>
          <w:rFonts w:ascii="Arial" w:hAnsi="Arial" w:cs="Arial"/>
          <w:spacing w:val="-2"/>
          <w:sz w:val="20"/>
          <w:szCs w:val="20"/>
        </w:rPr>
        <w:t xml:space="preserve">($83,200) </w:t>
      </w:r>
      <w:r>
        <w:rPr>
          <w:rFonts w:ascii="Arial" w:hAnsi="Arial" w:cs="Arial"/>
          <w:spacing w:val="-2"/>
          <w:sz w:val="20"/>
          <w:szCs w:val="20"/>
        </w:rPr>
        <w:t xml:space="preserve">and accrued interest of </w:t>
      </w:r>
      <w:r w:rsidR="00E36959">
        <w:rPr>
          <w:rFonts w:ascii="Arial" w:hAnsi="Arial" w:cs="Arial"/>
          <w:spacing w:val="-2"/>
          <w:sz w:val="20"/>
          <w:szCs w:val="20"/>
        </w:rPr>
        <w:t>C</w:t>
      </w:r>
      <w:r>
        <w:rPr>
          <w:rFonts w:ascii="Arial" w:hAnsi="Arial" w:cs="Arial"/>
          <w:spacing w:val="-2"/>
          <w:sz w:val="20"/>
          <w:szCs w:val="20"/>
        </w:rPr>
        <w:t>$2</w:t>
      </w:r>
      <w:r w:rsidR="00E36959">
        <w:rPr>
          <w:rFonts w:ascii="Arial" w:hAnsi="Arial" w:cs="Arial"/>
          <w:spacing w:val="-2"/>
          <w:sz w:val="20"/>
          <w:szCs w:val="20"/>
        </w:rPr>
        <w:t>,</w:t>
      </w:r>
      <w:r>
        <w:rPr>
          <w:rFonts w:ascii="Arial" w:hAnsi="Arial" w:cs="Arial"/>
          <w:spacing w:val="-2"/>
          <w:sz w:val="20"/>
          <w:szCs w:val="20"/>
        </w:rPr>
        <w:t>007</w:t>
      </w:r>
      <w:r w:rsidR="00E36959">
        <w:rPr>
          <w:rFonts w:ascii="Arial" w:hAnsi="Arial" w:cs="Arial"/>
          <w:spacing w:val="-2"/>
          <w:sz w:val="20"/>
          <w:szCs w:val="20"/>
        </w:rPr>
        <w:t xml:space="preserve"> ($1,518)</w:t>
      </w:r>
      <w:r>
        <w:rPr>
          <w:rFonts w:ascii="Arial" w:hAnsi="Arial" w:cs="Arial"/>
          <w:spacing w:val="-2"/>
          <w:sz w:val="20"/>
          <w:szCs w:val="20"/>
        </w:rPr>
        <w:t xml:space="preserve">, the company issued 1,018,245 common shares and 1,018,245 common share purchase warrants. Each warrant entitles the holder to acquire one common share at a price of </w:t>
      </w:r>
      <w:r w:rsidR="00E36959">
        <w:rPr>
          <w:rFonts w:ascii="Arial" w:hAnsi="Arial" w:cs="Arial"/>
          <w:spacing w:val="-2"/>
          <w:sz w:val="20"/>
          <w:szCs w:val="20"/>
        </w:rPr>
        <w:t>C</w:t>
      </w:r>
      <w:r>
        <w:rPr>
          <w:rFonts w:ascii="Arial" w:hAnsi="Arial" w:cs="Arial"/>
          <w:spacing w:val="-2"/>
          <w:sz w:val="20"/>
          <w:szCs w:val="20"/>
        </w:rPr>
        <w:t>$0.16 ($</w:t>
      </w:r>
      <w:r w:rsidR="00E36959">
        <w:rPr>
          <w:rFonts w:ascii="Arial" w:hAnsi="Arial" w:cs="Arial"/>
          <w:spacing w:val="-2"/>
          <w:sz w:val="20"/>
          <w:szCs w:val="20"/>
        </w:rPr>
        <w:t>0.12) for a period of two years following the closing date of the conversion.</w:t>
      </w:r>
      <w:r>
        <w:rPr>
          <w:rFonts w:ascii="Arial" w:hAnsi="Arial" w:cs="Arial"/>
          <w:spacing w:val="-2"/>
          <w:sz w:val="20"/>
          <w:szCs w:val="20"/>
        </w:rPr>
        <w:t xml:space="preserve"> </w:t>
      </w:r>
    </w:p>
    <w:p w14:paraId="5B4FB943" w14:textId="026B78A4" w:rsidR="00D242CC" w:rsidRDefault="00D242CC" w:rsidP="003F6F1A">
      <w:pPr>
        <w:autoSpaceDE w:val="0"/>
        <w:autoSpaceDN w:val="0"/>
        <w:adjustRightInd w:val="0"/>
        <w:spacing w:after="0" w:line="276" w:lineRule="auto"/>
        <w:jc w:val="both"/>
        <w:rPr>
          <w:rFonts w:ascii="Arial" w:hAnsi="Arial" w:cs="Arial"/>
          <w:spacing w:val="-2"/>
          <w:sz w:val="20"/>
          <w:szCs w:val="20"/>
        </w:rPr>
      </w:pPr>
    </w:p>
    <w:bookmarkEnd w:id="2"/>
    <w:p w14:paraId="6F632DD0" w14:textId="77777777" w:rsidR="00E27B44" w:rsidRDefault="00FD4F52" w:rsidP="003F6F1A">
      <w:pPr>
        <w:pStyle w:val="NormalWeb"/>
        <w:pBdr>
          <w:bottom w:val="single" w:sz="12" w:space="1" w:color="auto"/>
        </w:pBdr>
        <w:spacing w:before="0" w:beforeAutospacing="0" w:after="0" w:afterAutospacing="0"/>
        <w:rPr>
          <w:rFonts w:ascii="Arial" w:hAnsi="Arial" w:cs="Arial"/>
          <w:b/>
          <w:sz w:val="20"/>
          <w:szCs w:val="20"/>
        </w:rPr>
      </w:pPr>
      <w:r>
        <w:rPr>
          <w:rFonts w:ascii="Arial" w:hAnsi="Arial" w:cs="Arial"/>
          <w:b/>
          <w:sz w:val="20"/>
          <w:szCs w:val="20"/>
        </w:rPr>
        <w:t>O</w:t>
      </w:r>
      <w:r w:rsidR="00E27B44">
        <w:rPr>
          <w:rFonts w:ascii="Arial" w:hAnsi="Arial" w:cs="Arial"/>
          <w:b/>
          <w:sz w:val="20"/>
          <w:szCs w:val="20"/>
        </w:rPr>
        <w:t>VERVIEW OF THE BUSINESS</w:t>
      </w:r>
    </w:p>
    <w:p w14:paraId="4AE18510" w14:textId="77777777" w:rsidR="00E27B44" w:rsidRPr="00C90A0A" w:rsidRDefault="00E27B44" w:rsidP="003F6F1A">
      <w:pPr>
        <w:pStyle w:val="NormalWeb"/>
        <w:spacing w:before="0" w:beforeAutospacing="0" w:after="0" w:afterAutospacing="0"/>
        <w:rPr>
          <w:rFonts w:ascii="Arial" w:hAnsi="Arial" w:cs="Arial"/>
          <w:b/>
          <w:sz w:val="20"/>
          <w:szCs w:val="20"/>
        </w:rPr>
      </w:pPr>
    </w:p>
    <w:p w14:paraId="48BAA46F" w14:textId="77777777" w:rsidR="00E27B44" w:rsidRDefault="00E27B44" w:rsidP="003F6F1A">
      <w:pPr>
        <w:spacing w:after="0"/>
        <w:jc w:val="both"/>
        <w:rPr>
          <w:rFonts w:ascii="Arial" w:hAnsi="Arial" w:cs="Arial"/>
          <w:sz w:val="20"/>
          <w:szCs w:val="20"/>
        </w:rPr>
      </w:pPr>
      <w:r w:rsidRPr="00C90A0A">
        <w:rPr>
          <w:rFonts w:ascii="Arial" w:hAnsi="Arial" w:cs="Arial"/>
          <w:sz w:val="20"/>
          <w:szCs w:val="20"/>
        </w:rPr>
        <w:t xml:space="preserve">The Company is a British Columbia incorporated Canadian company which operates a growing network of physician-staffed medical </w:t>
      </w:r>
      <w:r>
        <w:rPr>
          <w:rFonts w:ascii="Arial" w:hAnsi="Arial" w:cs="Arial"/>
          <w:sz w:val="20"/>
          <w:szCs w:val="20"/>
        </w:rPr>
        <w:t xml:space="preserve">certification </w:t>
      </w:r>
      <w:r w:rsidRPr="00C90A0A">
        <w:rPr>
          <w:rFonts w:ascii="Arial" w:hAnsi="Arial" w:cs="Arial"/>
          <w:sz w:val="20"/>
          <w:szCs w:val="20"/>
        </w:rPr>
        <w:t xml:space="preserve">clinics with a primary focus on enabling patients to improve and protect their health. </w:t>
      </w:r>
    </w:p>
    <w:p w14:paraId="3B430633" w14:textId="77777777" w:rsidR="00424DA7" w:rsidRDefault="00424DA7" w:rsidP="003F6F1A">
      <w:pPr>
        <w:spacing w:after="0"/>
        <w:jc w:val="both"/>
        <w:rPr>
          <w:rFonts w:ascii="Arial" w:hAnsi="Arial" w:cs="Arial"/>
          <w:sz w:val="20"/>
          <w:szCs w:val="20"/>
        </w:rPr>
      </w:pPr>
    </w:p>
    <w:p w14:paraId="15519E22" w14:textId="77777777" w:rsidR="00E27B44" w:rsidRPr="009E7418" w:rsidRDefault="00E27B44" w:rsidP="003F6F1A">
      <w:pPr>
        <w:spacing w:after="0"/>
        <w:jc w:val="both"/>
        <w:rPr>
          <w:rFonts w:ascii="Arial" w:hAnsi="Arial" w:cs="Arial"/>
          <w:sz w:val="20"/>
          <w:szCs w:val="20"/>
          <w:lang w:val="en-CA"/>
        </w:rPr>
      </w:pPr>
      <w:r w:rsidRPr="00CC3B7F">
        <w:rPr>
          <w:rFonts w:ascii="Arial" w:hAnsi="Arial" w:cs="Arial"/>
          <w:sz w:val="20"/>
          <w:szCs w:val="20"/>
          <w:lang w:val="en-CA"/>
        </w:rPr>
        <w:t xml:space="preserve">The new Empower Clinics is a growth focused, vertically integrated CBD Life Sciences company committed to improving patients’ lives with products, technology and health systems, through a network of medical clinics across the US. </w:t>
      </w:r>
    </w:p>
    <w:p w14:paraId="772C3C64" w14:textId="77777777" w:rsidR="00B05C79" w:rsidRPr="00C90A0A" w:rsidRDefault="00B05C79" w:rsidP="003F6F1A">
      <w:pPr>
        <w:spacing w:after="0"/>
        <w:jc w:val="both"/>
        <w:rPr>
          <w:rFonts w:ascii="Arial" w:hAnsi="Arial" w:cs="Arial"/>
          <w:sz w:val="20"/>
          <w:szCs w:val="20"/>
        </w:rPr>
      </w:pPr>
    </w:p>
    <w:p w14:paraId="7715B173" w14:textId="77777777" w:rsidR="00E27B44" w:rsidRPr="007703A7" w:rsidRDefault="00E27B44" w:rsidP="003F6F1A">
      <w:pPr>
        <w:spacing w:after="0"/>
        <w:jc w:val="both"/>
        <w:rPr>
          <w:rFonts w:ascii="Arial" w:hAnsi="Arial" w:cs="Arial"/>
          <w:sz w:val="20"/>
          <w:szCs w:val="20"/>
        </w:rPr>
      </w:pPr>
      <w:r w:rsidRPr="007703A7">
        <w:rPr>
          <w:rFonts w:ascii="Arial" w:hAnsi="Arial" w:cs="Arial"/>
          <w:sz w:val="20"/>
          <w:szCs w:val="20"/>
        </w:rPr>
        <w:t xml:space="preserve">It is expected that </w:t>
      </w:r>
      <w:proofErr w:type="spellStart"/>
      <w:r w:rsidRPr="007703A7">
        <w:rPr>
          <w:rFonts w:ascii="Arial" w:hAnsi="Arial" w:cs="Arial"/>
          <w:sz w:val="20"/>
          <w:szCs w:val="20"/>
        </w:rPr>
        <w:t>Empower’s</w:t>
      </w:r>
      <w:proofErr w:type="spellEnd"/>
      <w:r w:rsidRPr="007703A7">
        <w:rPr>
          <w:rFonts w:ascii="Arial" w:hAnsi="Arial" w:cs="Arial"/>
          <w:sz w:val="20"/>
          <w:szCs w:val="20"/>
        </w:rPr>
        <w:t xml:space="preserve"> proprietary product line “</w:t>
      </w:r>
      <w:proofErr w:type="spellStart"/>
      <w:r w:rsidRPr="007703A7">
        <w:rPr>
          <w:rFonts w:ascii="Arial" w:hAnsi="Arial" w:cs="Arial"/>
          <w:sz w:val="20"/>
          <w:szCs w:val="20"/>
        </w:rPr>
        <w:t>Sollievo</w:t>
      </w:r>
      <w:proofErr w:type="spellEnd"/>
      <w:r w:rsidRPr="007703A7">
        <w:rPr>
          <w:rFonts w:ascii="Arial" w:hAnsi="Arial" w:cs="Arial"/>
          <w:sz w:val="20"/>
          <w:szCs w:val="20"/>
        </w:rPr>
        <w:t>” will offer patients a variety of delivery methods of doctor recommended CBD based products in its clinics, online and a</w:t>
      </w:r>
      <w:r>
        <w:rPr>
          <w:rFonts w:ascii="Arial" w:hAnsi="Arial" w:cs="Arial"/>
          <w:sz w:val="20"/>
          <w:szCs w:val="20"/>
        </w:rPr>
        <w:t>t major retailers. With over 165</w:t>
      </w:r>
      <w:r w:rsidRPr="007703A7">
        <w:rPr>
          <w:rFonts w:ascii="Arial" w:hAnsi="Arial" w:cs="Arial"/>
          <w:sz w:val="20"/>
          <w:szCs w:val="20"/>
        </w:rPr>
        <w:t>,000 patients</w:t>
      </w:r>
      <w:r>
        <w:rPr>
          <w:rFonts w:ascii="Arial" w:hAnsi="Arial" w:cs="Arial"/>
          <w:sz w:val="20"/>
          <w:szCs w:val="20"/>
        </w:rPr>
        <w:t xml:space="preserve"> in its database</w:t>
      </w:r>
      <w:r w:rsidRPr="007703A7">
        <w:rPr>
          <w:rFonts w:ascii="Arial" w:hAnsi="Arial" w:cs="Arial"/>
          <w:sz w:val="20"/>
          <w:szCs w:val="20"/>
        </w:rPr>
        <w:t>, an expanding clinic footprint, a focus on new technologies, including tele-medicine, and an expanded product development strategy, Empower is undertaking new growth initiatives to be positioned as a vertically integrated, diverse, market-leading service provider for complex patient requirements in 2019 and beyond.</w:t>
      </w:r>
    </w:p>
    <w:p w14:paraId="164582FD" w14:textId="77777777" w:rsidR="00E27B44" w:rsidRPr="00C90A0A" w:rsidRDefault="00E27B44" w:rsidP="003F6F1A">
      <w:pPr>
        <w:spacing w:after="0"/>
        <w:jc w:val="both"/>
        <w:rPr>
          <w:rFonts w:ascii="Arial" w:hAnsi="Arial" w:cs="Arial"/>
          <w:sz w:val="20"/>
          <w:szCs w:val="20"/>
        </w:rPr>
      </w:pPr>
    </w:p>
    <w:p w14:paraId="03BEE148" w14:textId="1171BEFE" w:rsidR="00E27B44" w:rsidRDefault="00E27B44" w:rsidP="003F6F1A">
      <w:pPr>
        <w:spacing w:after="0"/>
        <w:jc w:val="both"/>
        <w:rPr>
          <w:rFonts w:ascii="Arial" w:hAnsi="Arial" w:cs="Arial"/>
          <w:sz w:val="20"/>
          <w:szCs w:val="20"/>
        </w:rPr>
      </w:pPr>
      <w:r w:rsidRPr="00C90A0A">
        <w:rPr>
          <w:rFonts w:ascii="Arial" w:hAnsi="Arial" w:cs="Arial"/>
          <w:sz w:val="20"/>
          <w:szCs w:val="20"/>
        </w:rPr>
        <w:t xml:space="preserve">The Company currently operates </w:t>
      </w:r>
      <w:r w:rsidR="002C5615" w:rsidRPr="00691C16">
        <w:rPr>
          <w:rFonts w:ascii="Arial" w:hAnsi="Arial" w:cs="Arial"/>
          <w:sz w:val="20"/>
          <w:szCs w:val="20"/>
        </w:rPr>
        <w:t>9</w:t>
      </w:r>
      <w:r w:rsidRPr="00691C16">
        <w:rPr>
          <w:rFonts w:ascii="Arial" w:hAnsi="Arial" w:cs="Arial"/>
          <w:sz w:val="20"/>
          <w:szCs w:val="20"/>
        </w:rPr>
        <w:t xml:space="preserve"> physical clinics locations</w:t>
      </w:r>
      <w:r>
        <w:rPr>
          <w:rFonts w:ascii="Arial" w:hAnsi="Arial" w:cs="Arial"/>
          <w:sz w:val="20"/>
          <w:szCs w:val="20"/>
        </w:rPr>
        <w:t xml:space="preserve"> and multiple mobile clinics in the State of Oregon that in combination serve patients</w:t>
      </w:r>
      <w:r w:rsidRPr="00C90A0A">
        <w:rPr>
          <w:rFonts w:ascii="Arial" w:hAnsi="Arial" w:cs="Arial"/>
          <w:sz w:val="20"/>
          <w:szCs w:val="20"/>
        </w:rPr>
        <w:t xml:space="preserve"> across the states of Oregon</w:t>
      </w:r>
      <w:r>
        <w:rPr>
          <w:rFonts w:ascii="Arial" w:hAnsi="Arial" w:cs="Arial"/>
          <w:sz w:val="20"/>
          <w:szCs w:val="20"/>
        </w:rPr>
        <w:t>,</w:t>
      </w:r>
      <w:r w:rsidRPr="00C90A0A">
        <w:rPr>
          <w:rFonts w:ascii="Arial" w:hAnsi="Arial" w:cs="Arial"/>
          <w:sz w:val="20"/>
          <w:szCs w:val="20"/>
        </w:rPr>
        <w:t xml:space="preserve"> Washington</w:t>
      </w:r>
      <w:r>
        <w:rPr>
          <w:rFonts w:ascii="Arial" w:hAnsi="Arial" w:cs="Arial"/>
          <w:sz w:val="20"/>
          <w:szCs w:val="20"/>
        </w:rPr>
        <w:t>, Arizona, Nevada and operates a tele-medicine platform to serve patients in California.</w:t>
      </w:r>
      <w:r w:rsidRPr="00C90A0A">
        <w:rPr>
          <w:rFonts w:ascii="Arial" w:hAnsi="Arial" w:cs="Arial"/>
          <w:sz w:val="20"/>
          <w:szCs w:val="20"/>
        </w:rPr>
        <w:t xml:space="preserve"> </w:t>
      </w:r>
    </w:p>
    <w:p w14:paraId="4CD53191" w14:textId="77777777" w:rsidR="00E27B44" w:rsidRPr="00C90A0A" w:rsidRDefault="00E27B44" w:rsidP="003F6F1A">
      <w:pPr>
        <w:spacing w:after="0"/>
        <w:jc w:val="both"/>
        <w:rPr>
          <w:rFonts w:ascii="Arial" w:hAnsi="Arial" w:cs="Arial"/>
          <w:sz w:val="20"/>
          <w:szCs w:val="20"/>
        </w:rPr>
      </w:pPr>
    </w:p>
    <w:p w14:paraId="29DB5A2C" w14:textId="022184D0" w:rsidR="00E27B44" w:rsidRPr="00C8580E" w:rsidRDefault="00E27B44" w:rsidP="003F6F1A">
      <w:pPr>
        <w:spacing w:after="0"/>
        <w:jc w:val="both"/>
        <w:rPr>
          <w:rFonts w:ascii="Arial" w:hAnsi="Arial" w:cs="Arial"/>
          <w:sz w:val="20"/>
          <w:szCs w:val="20"/>
          <w:lang w:val="en-CA"/>
        </w:rPr>
      </w:pPr>
      <w:r>
        <w:rPr>
          <w:rFonts w:ascii="Arial" w:hAnsi="Arial" w:cs="Arial"/>
          <w:sz w:val="20"/>
          <w:szCs w:val="20"/>
          <w:lang w:val="en-CA"/>
        </w:rPr>
        <w:t xml:space="preserve">As part of the Sun Valley acquisition, the Company is launching a franchise model allowing for easy and fast nationwide scalability that will increase the distribution of </w:t>
      </w:r>
      <w:proofErr w:type="spellStart"/>
      <w:r>
        <w:rPr>
          <w:rFonts w:ascii="Arial" w:hAnsi="Arial" w:cs="Arial"/>
          <w:sz w:val="20"/>
          <w:szCs w:val="20"/>
          <w:lang w:val="en-CA"/>
        </w:rPr>
        <w:t>Sollievo</w:t>
      </w:r>
      <w:proofErr w:type="spellEnd"/>
      <w:r w:rsidR="002C5615">
        <w:rPr>
          <w:rFonts w:ascii="Arial" w:hAnsi="Arial" w:cs="Arial"/>
          <w:sz w:val="20"/>
          <w:szCs w:val="20"/>
          <w:lang w:val="en-CA"/>
        </w:rPr>
        <w:t>,</w:t>
      </w:r>
      <w:r>
        <w:rPr>
          <w:rFonts w:ascii="Arial" w:hAnsi="Arial" w:cs="Arial"/>
          <w:sz w:val="20"/>
          <w:szCs w:val="20"/>
          <w:lang w:val="en-CA"/>
        </w:rPr>
        <w:t xml:space="preserve"> Sun Valley </w:t>
      </w:r>
      <w:r w:rsidR="002C5615">
        <w:rPr>
          <w:rFonts w:ascii="Arial" w:hAnsi="Arial" w:cs="Arial"/>
          <w:sz w:val="20"/>
          <w:szCs w:val="20"/>
          <w:lang w:val="en-CA"/>
        </w:rPr>
        <w:t xml:space="preserve">Science </w:t>
      </w:r>
      <w:r>
        <w:rPr>
          <w:rFonts w:ascii="Arial" w:hAnsi="Arial" w:cs="Arial"/>
          <w:sz w:val="20"/>
          <w:szCs w:val="20"/>
          <w:lang w:val="en-CA"/>
        </w:rPr>
        <w:t>CBD products</w:t>
      </w:r>
      <w:r w:rsidR="002C5615">
        <w:rPr>
          <w:rFonts w:ascii="Arial" w:hAnsi="Arial" w:cs="Arial"/>
          <w:sz w:val="20"/>
          <w:szCs w:val="20"/>
          <w:lang w:val="en-CA"/>
        </w:rPr>
        <w:t xml:space="preserve"> and premium wellness products and supplements,</w:t>
      </w:r>
      <w:r>
        <w:rPr>
          <w:rFonts w:ascii="Arial" w:hAnsi="Arial" w:cs="Arial"/>
          <w:sz w:val="20"/>
          <w:szCs w:val="20"/>
          <w:lang w:val="en-CA"/>
        </w:rPr>
        <w:t xml:space="preserve"> to access many more patients and consumers in new and developing markets for the Company. </w:t>
      </w:r>
      <w:r w:rsidRPr="00C8580E">
        <w:rPr>
          <w:rFonts w:ascii="Arial" w:hAnsi="Arial" w:cs="Arial"/>
          <w:sz w:val="20"/>
          <w:szCs w:val="20"/>
          <w:lang w:val="en-CA"/>
        </w:rPr>
        <w:t xml:space="preserve">Franchisees </w:t>
      </w:r>
      <w:r>
        <w:rPr>
          <w:rFonts w:ascii="Arial" w:hAnsi="Arial" w:cs="Arial"/>
          <w:sz w:val="20"/>
          <w:szCs w:val="20"/>
          <w:lang w:val="en-CA"/>
        </w:rPr>
        <w:t xml:space="preserve">will </w:t>
      </w:r>
      <w:r w:rsidRPr="00C8580E">
        <w:rPr>
          <w:rFonts w:ascii="Arial" w:hAnsi="Arial" w:cs="Arial"/>
          <w:sz w:val="20"/>
          <w:szCs w:val="20"/>
          <w:lang w:val="en-CA"/>
        </w:rPr>
        <w:t xml:space="preserve">retain rights to specific territories to open and operate </w:t>
      </w:r>
      <w:r>
        <w:rPr>
          <w:rFonts w:ascii="Arial" w:hAnsi="Arial" w:cs="Arial"/>
          <w:sz w:val="20"/>
          <w:szCs w:val="20"/>
          <w:lang w:val="en-CA"/>
        </w:rPr>
        <w:t>Sun Valley Health</w:t>
      </w:r>
      <w:r w:rsidRPr="00C8580E">
        <w:rPr>
          <w:rFonts w:ascii="Arial" w:hAnsi="Arial" w:cs="Arial"/>
          <w:sz w:val="20"/>
          <w:szCs w:val="20"/>
          <w:lang w:val="en-CA"/>
        </w:rPr>
        <w:t xml:space="preserve"> clinics and sell CBD products in clinics and to local sales regions</w:t>
      </w:r>
      <w:r>
        <w:rPr>
          <w:rFonts w:ascii="Arial" w:hAnsi="Arial" w:cs="Arial"/>
          <w:sz w:val="20"/>
          <w:szCs w:val="20"/>
          <w:lang w:val="en-CA"/>
        </w:rPr>
        <w:t xml:space="preserve">. </w:t>
      </w:r>
      <w:r w:rsidRPr="00C8580E">
        <w:rPr>
          <w:rFonts w:ascii="Arial" w:hAnsi="Arial" w:cs="Arial"/>
          <w:sz w:val="20"/>
          <w:szCs w:val="20"/>
          <w:lang w:val="en-CA"/>
        </w:rPr>
        <w:t xml:space="preserve">Empower receives upfront franchise fees, ongoing clinic royalties, product royalties and ownership </w:t>
      </w:r>
      <w:r>
        <w:rPr>
          <w:rFonts w:ascii="Arial" w:hAnsi="Arial" w:cs="Arial"/>
          <w:sz w:val="20"/>
          <w:szCs w:val="20"/>
          <w:lang w:val="en-CA"/>
        </w:rPr>
        <w:t>of patient database information.</w:t>
      </w:r>
    </w:p>
    <w:p w14:paraId="5F1F234C" w14:textId="6E537010" w:rsidR="000B3720" w:rsidRDefault="00B05C79" w:rsidP="003F6F1A">
      <w:pPr>
        <w:spacing w:after="0"/>
        <w:jc w:val="both"/>
        <w:rPr>
          <w:rFonts w:ascii="Arial" w:hAnsi="Arial" w:cs="Arial"/>
          <w:sz w:val="20"/>
          <w:szCs w:val="20"/>
          <w:lang w:val="en-CA"/>
        </w:rPr>
      </w:pPr>
      <w:r>
        <w:rPr>
          <w:rFonts w:ascii="Arial" w:hAnsi="Arial" w:cs="Arial"/>
          <w:sz w:val="20"/>
          <w:szCs w:val="20"/>
          <w:lang w:val="en-CA"/>
        </w:rPr>
        <w:lastRenderedPageBreak/>
        <w:br/>
      </w:r>
      <w:r w:rsidR="00E27B44">
        <w:rPr>
          <w:rFonts w:ascii="Arial" w:hAnsi="Arial" w:cs="Arial"/>
          <w:sz w:val="20"/>
          <w:szCs w:val="20"/>
          <w:lang w:val="en-CA"/>
        </w:rPr>
        <w:t xml:space="preserve">The Company </w:t>
      </w:r>
      <w:r w:rsidR="00E27B44" w:rsidRPr="000B495A">
        <w:rPr>
          <w:rFonts w:ascii="Arial" w:hAnsi="Arial" w:cs="Arial"/>
          <w:sz w:val="20"/>
          <w:szCs w:val="20"/>
          <w:lang w:val="en-CA"/>
        </w:rPr>
        <w:t>owns the proprietary formulations for the</w:t>
      </w:r>
      <w:r w:rsidR="002C5615">
        <w:rPr>
          <w:rFonts w:ascii="Arial" w:hAnsi="Arial" w:cs="Arial"/>
          <w:sz w:val="20"/>
          <w:szCs w:val="20"/>
          <w:lang w:val="en-CA"/>
        </w:rPr>
        <w:t xml:space="preserve"> </w:t>
      </w:r>
      <w:proofErr w:type="spellStart"/>
      <w:r w:rsidR="002C5615">
        <w:rPr>
          <w:rFonts w:ascii="Arial" w:hAnsi="Arial" w:cs="Arial"/>
          <w:sz w:val="20"/>
          <w:szCs w:val="20"/>
          <w:lang w:val="en-CA"/>
        </w:rPr>
        <w:t>Sollievo</w:t>
      </w:r>
      <w:proofErr w:type="spellEnd"/>
      <w:r w:rsidR="002C5615">
        <w:rPr>
          <w:rFonts w:ascii="Arial" w:hAnsi="Arial" w:cs="Arial"/>
          <w:sz w:val="20"/>
          <w:szCs w:val="20"/>
          <w:lang w:val="en-CA"/>
        </w:rPr>
        <w:t xml:space="preserve"> line of</w:t>
      </w:r>
      <w:r w:rsidR="00E27B44" w:rsidRPr="000B495A">
        <w:rPr>
          <w:rFonts w:ascii="Arial" w:hAnsi="Arial" w:cs="Arial"/>
          <w:sz w:val="20"/>
          <w:szCs w:val="20"/>
          <w:lang w:val="en-CA"/>
        </w:rPr>
        <w:t xml:space="preserve"> products </w:t>
      </w:r>
      <w:r w:rsidR="00E27B44">
        <w:rPr>
          <w:rFonts w:ascii="Arial" w:hAnsi="Arial" w:cs="Arial"/>
          <w:sz w:val="20"/>
          <w:szCs w:val="20"/>
          <w:lang w:val="en-CA"/>
        </w:rPr>
        <w:t>and the Company intends to invest in developing these formulations to become a market leading hemp-derived CBD based product distributor.</w:t>
      </w:r>
      <w:r w:rsidR="00E27B44" w:rsidRPr="000B495A">
        <w:rPr>
          <w:rFonts w:ascii="Arial" w:hAnsi="Arial" w:cs="Arial"/>
          <w:sz w:val="20"/>
          <w:szCs w:val="20"/>
          <w:lang w:val="en-CA"/>
        </w:rPr>
        <w:t xml:space="preserve"> </w:t>
      </w:r>
      <w:r w:rsidR="00E27B44">
        <w:rPr>
          <w:rFonts w:ascii="Arial" w:hAnsi="Arial" w:cs="Arial"/>
          <w:sz w:val="20"/>
          <w:szCs w:val="20"/>
          <w:lang w:val="en-CA"/>
        </w:rPr>
        <w:t>Distribution of products will naturally fit into the Company’s clinic strategy with the development of retail-like kiosks</w:t>
      </w:r>
      <w:r w:rsidR="002C5615">
        <w:rPr>
          <w:rFonts w:ascii="Arial" w:hAnsi="Arial" w:cs="Arial"/>
          <w:sz w:val="20"/>
          <w:szCs w:val="20"/>
          <w:lang w:val="en-CA"/>
        </w:rPr>
        <w:t xml:space="preserve"> and professional product display counters</w:t>
      </w:r>
      <w:r w:rsidR="00E27B44">
        <w:rPr>
          <w:rFonts w:ascii="Arial" w:hAnsi="Arial" w:cs="Arial"/>
          <w:sz w:val="20"/>
          <w:szCs w:val="20"/>
          <w:lang w:val="en-CA"/>
        </w:rPr>
        <w:t xml:space="preserve"> in clinics </w:t>
      </w:r>
      <w:r w:rsidR="002C5615">
        <w:rPr>
          <w:rFonts w:ascii="Arial" w:hAnsi="Arial" w:cs="Arial"/>
          <w:sz w:val="20"/>
          <w:szCs w:val="20"/>
          <w:lang w:val="en-CA"/>
        </w:rPr>
        <w:t xml:space="preserve">and </w:t>
      </w:r>
      <w:r w:rsidR="00E27B44">
        <w:rPr>
          <w:rFonts w:ascii="Arial" w:hAnsi="Arial" w:cs="Arial"/>
          <w:sz w:val="20"/>
          <w:szCs w:val="20"/>
          <w:lang w:val="en-CA"/>
        </w:rPr>
        <w:t>as a standard feature in franchises n</w:t>
      </w:r>
      <w:r w:rsidR="00E27B44" w:rsidRPr="000B495A">
        <w:rPr>
          <w:rFonts w:ascii="Arial" w:hAnsi="Arial" w:cs="Arial"/>
          <w:sz w:val="20"/>
          <w:szCs w:val="20"/>
          <w:lang w:val="en-CA"/>
        </w:rPr>
        <w:t>ationwide</w:t>
      </w:r>
      <w:r w:rsidR="00E27B44">
        <w:rPr>
          <w:rFonts w:ascii="Arial" w:hAnsi="Arial" w:cs="Arial"/>
          <w:sz w:val="20"/>
          <w:szCs w:val="20"/>
          <w:lang w:val="en-CA"/>
        </w:rPr>
        <w:t>.</w:t>
      </w:r>
      <w:r w:rsidR="00E27B44" w:rsidRPr="000B495A">
        <w:rPr>
          <w:rFonts w:ascii="Arial" w:hAnsi="Arial" w:cs="Arial"/>
          <w:sz w:val="20"/>
          <w:szCs w:val="20"/>
          <w:lang w:val="en-CA"/>
        </w:rPr>
        <w:t xml:space="preserve"> </w:t>
      </w:r>
      <w:r w:rsidR="00E27B44">
        <w:rPr>
          <w:rFonts w:ascii="Arial" w:hAnsi="Arial" w:cs="Arial"/>
          <w:sz w:val="20"/>
          <w:szCs w:val="20"/>
          <w:lang w:val="en-CA"/>
        </w:rPr>
        <w:t>E</w:t>
      </w:r>
      <w:r w:rsidR="00E27B44" w:rsidRPr="000B495A">
        <w:rPr>
          <w:rFonts w:ascii="Arial" w:hAnsi="Arial" w:cs="Arial"/>
          <w:sz w:val="20"/>
          <w:szCs w:val="20"/>
          <w:lang w:val="en-CA"/>
        </w:rPr>
        <w:t xml:space="preserve">-commerce </w:t>
      </w:r>
      <w:r w:rsidR="00E27B44">
        <w:rPr>
          <w:rFonts w:ascii="Arial" w:hAnsi="Arial" w:cs="Arial"/>
          <w:sz w:val="20"/>
          <w:szCs w:val="20"/>
          <w:lang w:val="en-CA"/>
        </w:rPr>
        <w:t>will be an important distribution channel going forward providing patients and general consumers the opportunity to access and purchase Company products</w:t>
      </w:r>
      <w:r w:rsidR="002C5615">
        <w:rPr>
          <w:rFonts w:ascii="Arial" w:hAnsi="Arial" w:cs="Arial"/>
          <w:sz w:val="20"/>
          <w:szCs w:val="20"/>
          <w:lang w:val="en-CA"/>
        </w:rPr>
        <w:t xml:space="preserve"> online</w:t>
      </w:r>
      <w:r w:rsidR="00E27B44">
        <w:rPr>
          <w:rFonts w:ascii="Arial" w:hAnsi="Arial" w:cs="Arial"/>
          <w:sz w:val="20"/>
          <w:szCs w:val="20"/>
          <w:lang w:val="en-CA"/>
        </w:rPr>
        <w:t xml:space="preserve">. </w:t>
      </w:r>
      <w:proofErr w:type="spellStart"/>
      <w:r w:rsidR="00E27B44" w:rsidRPr="000B495A">
        <w:rPr>
          <w:rFonts w:ascii="Arial" w:hAnsi="Arial" w:cs="Arial"/>
          <w:sz w:val="20"/>
          <w:szCs w:val="20"/>
          <w:lang w:val="en-CA"/>
        </w:rPr>
        <w:t>Sollievo</w:t>
      </w:r>
      <w:proofErr w:type="spellEnd"/>
      <w:r w:rsidR="00E27B44" w:rsidRPr="000B495A">
        <w:rPr>
          <w:rFonts w:ascii="Arial" w:hAnsi="Arial" w:cs="Arial"/>
          <w:sz w:val="20"/>
          <w:szCs w:val="20"/>
          <w:lang w:val="en-CA"/>
        </w:rPr>
        <w:t xml:space="preserve"> products include lotions and balms, tinctures, gel caps, pain patches and an e-drink, all at vario</w:t>
      </w:r>
      <w:r w:rsidR="00E27B44">
        <w:rPr>
          <w:rFonts w:ascii="Arial" w:hAnsi="Arial" w:cs="Arial"/>
          <w:sz w:val="20"/>
          <w:szCs w:val="20"/>
          <w:lang w:val="en-CA"/>
        </w:rPr>
        <w:t>us phases of R&amp;D and production.</w:t>
      </w:r>
    </w:p>
    <w:p w14:paraId="11FF0C47" w14:textId="77777777" w:rsidR="000B3720" w:rsidRDefault="000B3720" w:rsidP="003F6F1A">
      <w:pPr>
        <w:spacing w:after="0"/>
        <w:jc w:val="both"/>
        <w:rPr>
          <w:rFonts w:ascii="Arial" w:hAnsi="Arial" w:cs="Arial"/>
          <w:sz w:val="20"/>
          <w:szCs w:val="20"/>
          <w:lang w:val="en-CA"/>
        </w:rPr>
      </w:pPr>
    </w:p>
    <w:p w14:paraId="5998954D" w14:textId="03E2D11F" w:rsidR="00E27B44" w:rsidRPr="00DF5FF5" w:rsidRDefault="00E27B44" w:rsidP="003F6F1A">
      <w:pPr>
        <w:spacing w:after="0"/>
        <w:jc w:val="both"/>
        <w:rPr>
          <w:rFonts w:ascii="Arial" w:hAnsi="Arial" w:cs="Arial"/>
          <w:sz w:val="20"/>
          <w:szCs w:val="20"/>
          <w:lang w:val="en-CA"/>
        </w:rPr>
      </w:pPr>
      <w:r>
        <w:rPr>
          <w:rFonts w:ascii="Arial" w:hAnsi="Arial" w:cs="Arial"/>
          <w:sz w:val="20"/>
          <w:szCs w:val="20"/>
          <w:lang w:val="en-CA"/>
        </w:rPr>
        <w:t>The Company</w:t>
      </w:r>
      <w:r w:rsidRPr="00DF5FF5">
        <w:rPr>
          <w:rFonts w:ascii="Arial" w:hAnsi="Arial" w:cs="Arial"/>
          <w:sz w:val="20"/>
          <w:szCs w:val="20"/>
          <w:lang w:val="en-CA"/>
        </w:rPr>
        <w:t xml:space="preserve"> has developed a proprietary software</w:t>
      </w:r>
      <w:r>
        <w:rPr>
          <w:rFonts w:ascii="Arial" w:hAnsi="Arial" w:cs="Arial"/>
          <w:sz w:val="20"/>
          <w:szCs w:val="20"/>
          <w:lang w:val="en-CA"/>
        </w:rPr>
        <w:t xml:space="preserve"> platform</w:t>
      </w:r>
      <w:r w:rsidRPr="00DF5FF5">
        <w:rPr>
          <w:rFonts w:ascii="Arial" w:hAnsi="Arial" w:cs="Arial"/>
          <w:sz w:val="20"/>
          <w:szCs w:val="20"/>
          <w:lang w:val="en-CA"/>
        </w:rPr>
        <w:t xml:space="preserve"> to manage patients through the medical </w:t>
      </w:r>
      <w:r>
        <w:rPr>
          <w:rFonts w:ascii="Arial" w:hAnsi="Arial" w:cs="Arial"/>
          <w:sz w:val="20"/>
          <w:szCs w:val="20"/>
          <w:lang w:val="en-CA"/>
        </w:rPr>
        <w:t>certification</w:t>
      </w:r>
      <w:r w:rsidRPr="00DF5FF5">
        <w:rPr>
          <w:rFonts w:ascii="Arial" w:hAnsi="Arial" w:cs="Arial"/>
          <w:sz w:val="20"/>
          <w:szCs w:val="20"/>
          <w:lang w:val="en-CA"/>
        </w:rPr>
        <w:t xml:space="preserve"> process</w:t>
      </w:r>
      <w:r>
        <w:rPr>
          <w:rFonts w:ascii="Arial" w:hAnsi="Arial" w:cs="Arial"/>
          <w:sz w:val="20"/>
          <w:szCs w:val="20"/>
          <w:lang w:val="en-CA"/>
        </w:rPr>
        <w:t xml:space="preserve"> that is a</w:t>
      </w:r>
      <w:r w:rsidRPr="00DF5FF5">
        <w:rPr>
          <w:rFonts w:ascii="Arial" w:hAnsi="Arial" w:cs="Arial"/>
          <w:sz w:val="20"/>
          <w:szCs w:val="20"/>
          <w:lang w:val="en-CA"/>
        </w:rPr>
        <w:t xml:space="preserve"> HIPAA compliant Electronic Health Record system and patient management portal</w:t>
      </w:r>
      <w:r>
        <w:rPr>
          <w:rFonts w:ascii="Arial" w:hAnsi="Arial" w:cs="Arial"/>
          <w:sz w:val="20"/>
          <w:szCs w:val="20"/>
          <w:lang w:val="en-CA"/>
        </w:rPr>
        <w:t>. It provides improved management of patients while improving the ability of our doctors, admins and staff to treat and serve patients needs. The t</w:t>
      </w:r>
      <w:r w:rsidRPr="00DF5FF5">
        <w:rPr>
          <w:rFonts w:ascii="Arial" w:hAnsi="Arial" w:cs="Arial"/>
          <w:sz w:val="20"/>
          <w:szCs w:val="20"/>
          <w:lang w:val="en-CA"/>
        </w:rPr>
        <w:t xml:space="preserve">ele-medicine platform </w:t>
      </w:r>
      <w:r>
        <w:rPr>
          <w:rFonts w:ascii="Arial" w:hAnsi="Arial" w:cs="Arial"/>
          <w:sz w:val="20"/>
          <w:szCs w:val="20"/>
          <w:lang w:val="en-CA"/>
        </w:rPr>
        <w:t xml:space="preserve">allows patients to register and select an appointment time to conduct a private consultation with one of </w:t>
      </w:r>
      <w:r w:rsidR="002C5615">
        <w:rPr>
          <w:rFonts w:ascii="Arial" w:hAnsi="Arial" w:cs="Arial"/>
          <w:sz w:val="20"/>
          <w:szCs w:val="20"/>
          <w:lang w:val="en-CA"/>
        </w:rPr>
        <w:t>our</w:t>
      </w:r>
      <w:r>
        <w:rPr>
          <w:rFonts w:ascii="Arial" w:hAnsi="Arial" w:cs="Arial"/>
          <w:sz w:val="20"/>
          <w:szCs w:val="20"/>
          <w:lang w:val="en-CA"/>
        </w:rPr>
        <w:t xml:space="preserve"> physicians</w:t>
      </w:r>
      <w:r w:rsidR="002C5615">
        <w:rPr>
          <w:rFonts w:ascii="Arial" w:hAnsi="Arial" w:cs="Arial"/>
          <w:sz w:val="20"/>
          <w:szCs w:val="20"/>
          <w:lang w:val="en-CA"/>
        </w:rPr>
        <w:t xml:space="preserve">, </w:t>
      </w:r>
      <w:r>
        <w:rPr>
          <w:rFonts w:ascii="Arial" w:hAnsi="Arial" w:cs="Arial"/>
          <w:sz w:val="20"/>
          <w:szCs w:val="20"/>
          <w:lang w:val="en-CA"/>
        </w:rPr>
        <w:t>remotely through a secure</w:t>
      </w:r>
      <w:r w:rsidR="002C5615">
        <w:rPr>
          <w:rFonts w:ascii="Arial" w:hAnsi="Arial" w:cs="Arial"/>
          <w:sz w:val="20"/>
          <w:szCs w:val="20"/>
          <w:lang w:val="en-CA"/>
        </w:rPr>
        <w:t xml:space="preserve"> </w:t>
      </w:r>
      <w:r>
        <w:rPr>
          <w:rFonts w:ascii="Arial" w:hAnsi="Arial" w:cs="Arial"/>
          <w:sz w:val="20"/>
          <w:szCs w:val="20"/>
          <w:lang w:val="en-CA"/>
        </w:rPr>
        <w:t>video</w:t>
      </w:r>
      <w:r w:rsidR="002C5615">
        <w:rPr>
          <w:rFonts w:ascii="Arial" w:hAnsi="Arial" w:cs="Arial"/>
          <w:sz w:val="20"/>
          <w:szCs w:val="20"/>
          <w:lang w:val="en-CA"/>
        </w:rPr>
        <w:t xml:space="preserve"> </w:t>
      </w:r>
      <w:r>
        <w:rPr>
          <w:rFonts w:ascii="Arial" w:hAnsi="Arial" w:cs="Arial"/>
          <w:sz w:val="20"/>
          <w:szCs w:val="20"/>
          <w:lang w:val="en-CA"/>
        </w:rPr>
        <w:t>link, thereby extending the reach of our clinic operations beyond the physical clinic</w:t>
      </w:r>
      <w:r w:rsidR="002C5615">
        <w:rPr>
          <w:rFonts w:ascii="Arial" w:hAnsi="Arial" w:cs="Arial"/>
          <w:sz w:val="20"/>
          <w:szCs w:val="20"/>
          <w:lang w:val="en-CA"/>
        </w:rPr>
        <w:t>.</w:t>
      </w:r>
      <w:r>
        <w:rPr>
          <w:rFonts w:ascii="Arial" w:hAnsi="Arial" w:cs="Arial"/>
          <w:sz w:val="20"/>
          <w:szCs w:val="20"/>
          <w:lang w:val="en-CA"/>
        </w:rPr>
        <w:t xml:space="preserve"> We believe going forward, greater demand for professional consultations will evolve the service offering for Compan</w:t>
      </w:r>
      <w:r w:rsidR="002C5615">
        <w:rPr>
          <w:rFonts w:ascii="Arial" w:hAnsi="Arial" w:cs="Arial"/>
          <w:sz w:val="20"/>
          <w:szCs w:val="20"/>
          <w:lang w:val="en-CA"/>
        </w:rPr>
        <w:t>y</w:t>
      </w:r>
      <w:r>
        <w:rPr>
          <w:rFonts w:ascii="Arial" w:hAnsi="Arial" w:cs="Arial"/>
          <w:sz w:val="20"/>
          <w:szCs w:val="20"/>
          <w:lang w:val="en-CA"/>
        </w:rPr>
        <w:t xml:space="preserve"> owned clinics and for franchisees throughout our network.</w:t>
      </w:r>
    </w:p>
    <w:p w14:paraId="4DA48F60" w14:textId="77777777" w:rsidR="00D3689F" w:rsidRDefault="00D3689F" w:rsidP="003F6F1A">
      <w:pPr>
        <w:spacing w:after="0"/>
        <w:jc w:val="both"/>
        <w:rPr>
          <w:rFonts w:ascii="Arial" w:hAnsi="Arial" w:cs="Arial"/>
          <w:sz w:val="20"/>
          <w:szCs w:val="20"/>
          <w:lang w:val="en-CA"/>
        </w:rPr>
      </w:pPr>
    </w:p>
    <w:p w14:paraId="3D1D3F00" w14:textId="53934241" w:rsidR="00E27B44" w:rsidRPr="00DF5FF5" w:rsidRDefault="00E27B44" w:rsidP="003F6F1A">
      <w:pPr>
        <w:spacing w:after="0"/>
        <w:jc w:val="both"/>
        <w:rPr>
          <w:rFonts w:ascii="Arial" w:hAnsi="Arial" w:cs="Arial"/>
          <w:sz w:val="20"/>
          <w:szCs w:val="20"/>
          <w:lang w:val="en-CA"/>
        </w:rPr>
      </w:pPr>
      <w:r w:rsidRPr="00DF5FF5">
        <w:rPr>
          <w:rFonts w:ascii="Arial" w:hAnsi="Arial" w:cs="Arial"/>
          <w:sz w:val="20"/>
          <w:szCs w:val="20"/>
          <w:lang w:val="en-CA"/>
        </w:rPr>
        <w:t>E-commerce platform</w:t>
      </w:r>
      <w:r>
        <w:rPr>
          <w:rFonts w:ascii="Arial" w:hAnsi="Arial" w:cs="Arial"/>
          <w:sz w:val="20"/>
          <w:szCs w:val="20"/>
          <w:lang w:val="en-CA"/>
        </w:rPr>
        <w:t>s</w:t>
      </w:r>
      <w:r w:rsidRPr="00DF5FF5">
        <w:rPr>
          <w:rFonts w:ascii="Arial" w:hAnsi="Arial" w:cs="Arial"/>
          <w:sz w:val="20"/>
          <w:szCs w:val="20"/>
          <w:lang w:val="en-CA"/>
        </w:rPr>
        <w:t xml:space="preserve"> for </w:t>
      </w:r>
      <w:proofErr w:type="spellStart"/>
      <w:r w:rsidRPr="00DF5FF5">
        <w:rPr>
          <w:rFonts w:ascii="Arial" w:hAnsi="Arial" w:cs="Arial"/>
          <w:sz w:val="20"/>
          <w:szCs w:val="20"/>
          <w:lang w:val="en-CA"/>
        </w:rPr>
        <w:t>Sollievo</w:t>
      </w:r>
      <w:proofErr w:type="spellEnd"/>
      <w:r w:rsidRPr="00DF5FF5">
        <w:rPr>
          <w:rFonts w:ascii="Arial" w:hAnsi="Arial" w:cs="Arial"/>
          <w:sz w:val="20"/>
          <w:szCs w:val="20"/>
          <w:lang w:val="en-CA"/>
        </w:rPr>
        <w:t xml:space="preserve"> an</w:t>
      </w:r>
      <w:r>
        <w:rPr>
          <w:rFonts w:ascii="Arial" w:hAnsi="Arial" w:cs="Arial"/>
          <w:sz w:val="20"/>
          <w:szCs w:val="20"/>
          <w:lang w:val="en-CA"/>
        </w:rPr>
        <w:t>d Sun Valley CBD product l</w:t>
      </w:r>
      <w:r w:rsidRPr="00DF5FF5">
        <w:rPr>
          <w:rFonts w:ascii="Arial" w:hAnsi="Arial" w:cs="Arial"/>
          <w:sz w:val="20"/>
          <w:szCs w:val="20"/>
          <w:lang w:val="en-CA"/>
        </w:rPr>
        <w:t>ines</w:t>
      </w:r>
      <w:r>
        <w:rPr>
          <w:rFonts w:ascii="Arial" w:hAnsi="Arial" w:cs="Arial"/>
          <w:sz w:val="20"/>
          <w:szCs w:val="20"/>
          <w:lang w:val="en-CA"/>
        </w:rPr>
        <w:t xml:space="preserve"> present a developing opportunity for the Company and our network of future franchise partners. </w:t>
      </w:r>
      <w:r w:rsidRPr="003B0546">
        <w:rPr>
          <w:rFonts w:ascii="Arial" w:hAnsi="Arial" w:cs="Arial"/>
          <w:sz w:val="20"/>
          <w:szCs w:val="20"/>
        </w:rPr>
        <w:t xml:space="preserve">The passing in the United States of the US$867 billion </w:t>
      </w:r>
      <w:r w:rsidRPr="003B0546">
        <w:rPr>
          <w:rFonts w:ascii="Arial" w:hAnsi="Arial" w:cs="Arial"/>
          <w:i/>
          <w:sz w:val="20"/>
          <w:szCs w:val="20"/>
        </w:rPr>
        <w:t xml:space="preserve">Agriculture Improvement Act </w:t>
      </w:r>
      <w:r w:rsidRPr="003B0546">
        <w:rPr>
          <w:rFonts w:ascii="Arial" w:hAnsi="Arial" w:cs="Arial"/>
          <w:sz w:val="20"/>
          <w:szCs w:val="20"/>
        </w:rPr>
        <w:t xml:space="preserve">has legalized hemp and hemp-based products. Recent reports and studies </w:t>
      </w:r>
      <w:r w:rsidR="00F17EB0">
        <w:rPr>
          <w:rFonts w:ascii="Arial" w:hAnsi="Arial" w:cs="Arial"/>
          <w:sz w:val="20"/>
          <w:szCs w:val="20"/>
        </w:rPr>
        <w:t xml:space="preserve">from the Brightfield Group </w:t>
      </w:r>
      <w:r w:rsidRPr="003B0546">
        <w:rPr>
          <w:rFonts w:ascii="Arial" w:hAnsi="Arial" w:cs="Arial"/>
          <w:sz w:val="20"/>
          <w:szCs w:val="20"/>
        </w:rPr>
        <w:t>indicate the approval of the Farm Bill could create a US$2</w:t>
      </w:r>
      <w:r w:rsidR="000B3720">
        <w:rPr>
          <w:rFonts w:ascii="Arial" w:hAnsi="Arial" w:cs="Arial"/>
          <w:sz w:val="20"/>
          <w:szCs w:val="20"/>
        </w:rPr>
        <w:t>3.7</w:t>
      </w:r>
      <w:r w:rsidRPr="003B0546">
        <w:rPr>
          <w:rFonts w:ascii="Arial" w:hAnsi="Arial" w:cs="Arial"/>
          <w:sz w:val="20"/>
          <w:szCs w:val="20"/>
        </w:rPr>
        <w:t xml:space="preserve"> billion industry by 202</w:t>
      </w:r>
      <w:r w:rsidR="00F17EB0">
        <w:rPr>
          <w:rFonts w:ascii="Arial" w:hAnsi="Arial" w:cs="Arial"/>
          <w:sz w:val="20"/>
          <w:szCs w:val="20"/>
        </w:rPr>
        <w:t>3</w:t>
      </w:r>
      <w:r w:rsidRPr="003B0546">
        <w:rPr>
          <w:rFonts w:ascii="Arial" w:hAnsi="Arial" w:cs="Arial"/>
          <w:sz w:val="20"/>
          <w:szCs w:val="20"/>
        </w:rPr>
        <w:t>.</w:t>
      </w:r>
      <w:r w:rsidRPr="00DF5FF5">
        <w:rPr>
          <w:rFonts w:ascii="Arial" w:hAnsi="Arial" w:cs="Arial"/>
          <w:sz w:val="20"/>
          <w:szCs w:val="20"/>
          <w:lang w:val="en-CA"/>
        </w:rPr>
        <w:t xml:space="preserve"> </w:t>
      </w:r>
      <w:r>
        <w:rPr>
          <w:rFonts w:ascii="Arial" w:hAnsi="Arial" w:cs="Arial"/>
          <w:sz w:val="20"/>
          <w:szCs w:val="20"/>
          <w:lang w:val="en-CA"/>
        </w:rPr>
        <w:t>Online distribution channels supported by strong social media presence, influencer strategies and the ability to reach a wide-array of consumers, will provide the Company new growth opportunities with greater overall brand awareness.</w:t>
      </w:r>
    </w:p>
    <w:p w14:paraId="2606B6C6" w14:textId="77777777" w:rsidR="00E27B44" w:rsidRDefault="00B05C79" w:rsidP="003F6F1A">
      <w:pPr>
        <w:spacing w:after="0"/>
        <w:jc w:val="both"/>
        <w:rPr>
          <w:rFonts w:ascii="Arial" w:hAnsi="Arial" w:cs="Arial"/>
          <w:sz w:val="20"/>
          <w:szCs w:val="20"/>
          <w:lang w:val="en-CA"/>
        </w:rPr>
      </w:pPr>
      <w:r>
        <w:rPr>
          <w:rFonts w:ascii="Arial" w:hAnsi="Arial" w:cs="Arial"/>
          <w:sz w:val="20"/>
          <w:szCs w:val="20"/>
          <w:lang w:val="en-CA"/>
        </w:rPr>
        <w:br/>
      </w:r>
      <w:r w:rsidR="00E27B44" w:rsidRPr="00F772B5">
        <w:rPr>
          <w:rFonts w:ascii="Arial" w:hAnsi="Arial" w:cs="Arial"/>
          <w:sz w:val="20"/>
          <w:szCs w:val="20"/>
          <w:lang w:val="en-CA"/>
        </w:rPr>
        <w:t>Empower will open its first CBD extraction facility in</w:t>
      </w:r>
      <w:r w:rsidR="00E27B44">
        <w:rPr>
          <w:rFonts w:ascii="Arial" w:hAnsi="Arial" w:cs="Arial"/>
          <w:sz w:val="20"/>
          <w:szCs w:val="20"/>
          <w:lang w:val="en-CA"/>
        </w:rPr>
        <w:t xml:space="preserve"> greater </w:t>
      </w:r>
      <w:r w:rsidR="00E27B44" w:rsidRPr="00F772B5">
        <w:rPr>
          <w:rFonts w:ascii="Arial" w:hAnsi="Arial" w:cs="Arial"/>
          <w:sz w:val="20"/>
          <w:szCs w:val="20"/>
          <w:lang w:val="en-CA"/>
        </w:rPr>
        <w:t>Portland, Oregon</w:t>
      </w:r>
      <w:r>
        <w:rPr>
          <w:rFonts w:ascii="Arial" w:hAnsi="Arial" w:cs="Arial"/>
          <w:sz w:val="20"/>
          <w:szCs w:val="20"/>
          <w:lang w:val="en-CA"/>
        </w:rPr>
        <w:t xml:space="preserve">. The Company took </w:t>
      </w:r>
      <w:r w:rsidR="00E27B44">
        <w:rPr>
          <w:rFonts w:ascii="Arial" w:hAnsi="Arial" w:cs="Arial"/>
          <w:sz w:val="20"/>
          <w:szCs w:val="20"/>
          <w:lang w:val="en-CA"/>
        </w:rPr>
        <w:t xml:space="preserve">possession </w:t>
      </w:r>
      <w:r>
        <w:rPr>
          <w:rFonts w:ascii="Arial" w:hAnsi="Arial" w:cs="Arial"/>
          <w:sz w:val="20"/>
          <w:szCs w:val="20"/>
          <w:lang w:val="en-CA"/>
        </w:rPr>
        <w:t xml:space="preserve">on </w:t>
      </w:r>
      <w:r w:rsidR="00E27B44">
        <w:rPr>
          <w:rFonts w:ascii="Arial" w:hAnsi="Arial" w:cs="Arial"/>
          <w:sz w:val="20"/>
          <w:szCs w:val="20"/>
          <w:lang w:val="en-CA"/>
        </w:rPr>
        <w:t xml:space="preserve">June 1, 2019 </w:t>
      </w:r>
      <w:r>
        <w:rPr>
          <w:rFonts w:ascii="Arial" w:hAnsi="Arial" w:cs="Arial"/>
          <w:sz w:val="20"/>
          <w:szCs w:val="20"/>
          <w:lang w:val="en-CA"/>
        </w:rPr>
        <w:t xml:space="preserve">and </w:t>
      </w:r>
      <w:r w:rsidR="00E27B44">
        <w:rPr>
          <w:rFonts w:ascii="Arial" w:hAnsi="Arial" w:cs="Arial"/>
          <w:sz w:val="20"/>
          <w:szCs w:val="20"/>
          <w:lang w:val="en-CA"/>
        </w:rPr>
        <w:t xml:space="preserve">we </w:t>
      </w:r>
      <w:r>
        <w:rPr>
          <w:rFonts w:ascii="Arial" w:hAnsi="Arial" w:cs="Arial"/>
          <w:sz w:val="20"/>
          <w:szCs w:val="20"/>
          <w:lang w:val="en-CA"/>
        </w:rPr>
        <w:t xml:space="preserve">are sourcing financing to </w:t>
      </w:r>
      <w:r w:rsidR="00E27B44">
        <w:rPr>
          <w:rFonts w:ascii="Arial" w:hAnsi="Arial" w:cs="Arial"/>
          <w:sz w:val="20"/>
          <w:szCs w:val="20"/>
          <w:lang w:val="en-CA"/>
        </w:rPr>
        <w:t xml:space="preserve">commence the build-out of a new </w:t>
      </w:r>
      <w:r w:rsidR="00E27B44" w:rsidRPr="00F772B5">
        <w:rPr>
          <w:rFonts w:ascii="Arial" w:hAnsi="Arial" w:cs="Arial"/>
          <w:sz w:val="20"/>
          <w:szCs w:val="20"/>
          <w:lang w:val="en-CA"/>
        </w:rPr>
        <w:t xml:space="preserve">5,000 square foot leased building </w:t>
      </w:r>
      <w:r w:rsidR="00E27B44">
        <w:rPr>
          <w:rFonts w:ascii="Arial" w:hAnsi="Arial" w:cs="Arial"/>
          <w:sz w:val="20"/>
          <w:szCs w:val="20"/>
          <w:lang w:val="en-CA"/>
        </w:rPr>
        <w:t xml:space="preserve">to contain the </w:t>
      </w:r>
      <w:r w:rsidR="00E27B44" w:rsidRPr="00F772B5">
        <w:rPr>
          <w:rFonts w:ascii="Arial" w:hAnsi="Arial" w:cs="Arial"/>
          <w:sz w:val="20"/>
          <w:szCs w:val="20"/>
          <w:lang w:val="en-CA"/>
        </w:rPr>
        <w:t xml:space="preserve">first </w:t>
      </w:r>
      <w:r w:rsidR="00E27B44">
        <w:rPr>
          <w:rFonts w:ascii="Arial" w:hAnsi="Arial" w:cs="Arial"/>
          <w:sz w:val="20"/>
          <w:szCs w:val="20"/>
          <w:lang w:val="en-CA"/>
        </w:rPr>
        <w:t xml:space="preserve">operating </w:t>
      </w:r>
      <w:r w:rsidR="00E27B44" w:rsidRPr="00F772B5">
        <w:rPr>
          <w:rFonts w:ascii="Arial" w:hAnsi="Arial" w:cs="Arial"/>
          <w:sz w:val="20"/>
          <w:szCs w:val="20"/>
          <w:lang w:val="en-CA"/>
        </w:rPr>
        <w:t>extraction system</w:t>
      </w:r>
      <w:r w:rsidR="00E27B44">
        <w:rPr>
          <w:rFonts w:ascii="Arial" w:hAnsi="Arial" w:cs="Arial"/>
          <w:sz w:val="20"/>
          <w:szCs w:val="20"/>
          <w:lang w:val="en-CA"/>
        </w:rPr>
        <w:t>s</w:t>
      </w:r>
      <w:r w:rsidR="00E27B44" w:rsidRPr="00F772B5">
        <w:rPr>
          <w:rFonts w:ascii="Arial" w:hAnsi="Arial" w:cs="Arial"/>
          <w:sz w:val="20"/>
          <w:szCs w:val="20"/>
          <w:lang w:val="en-CA"/>
        </w:rPr>
        <w:t xml:space="preserve"> capable of producing </w:t>
      </w:r>
      <w:r w:rsidR="00E27B44">
        <w:rPr>
          <w:rFonts w:ascii="Arial" w:hAnsi="Arial" w:cs="Arial"/>
          <w:sz w:val="20"/>
          <w:szCs w:val="20"/>
          <w:lang w:val="en-CA"/>
        </w:rPr>
        <w:t xml:space="preserve">up to </w:t>
      </w:r>
      <w:r w:rsidR="00E27B44" w:rsidRPr="00F772B5">
        <w:rPr>
          <w:rFonts w:ascii="Arial" w:hAnsi="Arial" w:cs="Arial"/>
          <w:sz w:val="20"/>
          <w:szCs w:val="20"/>
          <w:lang w:val="en-CA"/>
        </w:rPr>
        <w:t xml:space="preserve">20kg per day of </w:t>
      </w:r>
      <w:r w:rsidR="00FD6918">
        <w:rPr>
          <w:rFonts w:ascii="Arial" w:hAnsi="Arial" w:cs="Arial"/>
          <w:sz w:val="20"/>
          <w:szCs w:val="20"/>
          <w:lang w:val="en-CA"/>
        </w:rPr>
        <w:t>high-quality</w:t>
      </w:r>
      <w:r w:rsidR="00E27B44" w:rsidRPr="00F772B5">
        <w:rPr>
          <w:rFonts w:ascii="Arial" w:hAnsi="Arial" w:cs="Arial"/>
          <w:sz w:val="20"/>
          <w:szCs w:val="20"/>
          <w:lang w:val="en-CA"/>
        </w:rPr>
        <w:t xml:space="preserve"> spectrum oil, isolate </w:t>
      </w:r>
      <w:r w:rsidR="00E27B44">
        <w:rPr>
          <w:rFonts w:ascii="Arial" w:hAnsi="Arial" w:cs="Arial"/>
          <w:sz w:val="20"/>
          <w:szCs w:val="20"/>
          <w:lang w:val="en-CA"/>
        </w:rPr>
        <w:t>and/</w:t>
      </w:r>
      <w:r w:rsidR="00E27B44" w:rsidRPr="00F772B5">
        <w:rPr>
          <w:rFonts w:ascii="Arial" w:hAnsi="Arial" w:cs="Arial"/>
          <w:sz w:val="20"/>
          <w:szCs w:val="20"/>
          <w:lang w:val="en-CA"/>
        </w:rPr>
        <w:t>or distillate</w:t>
      </w:r>
      <w:r w:rsidR="00E27B44">
        <w:rPr>
          <w:rFonts w:ascii="Arial" w:hAnsi="Arial" w:cs="Arial"/>
          <w:sz w:val="20"/>
          <w:szCs w:val="20"/>
          <w:lang w:val="en-CA"/>
        </w:rPr>
        <w:t>.</w:t>
      </w:r>
      <w:r w:rsidR="00E27B44" w:rsidRPr="00F772B5">
        <w:rPr>
          <w:rFonts w:ascii="Arial" w:hAnsi="Arial" w:cs="Arial"/>
          <w:sz w:val="20"/>
          <w:szCs w:val="20"/>
          <w:lang w:val="en-CA"/>
        </w:rPr>
        <w:t xml:space="preserve"> </w:t>
      </w:r>
      <w:r w:rsidR="00E27B44">
        <w:rPr>
          <w:rFonts w:ascii="Arial" w:hAnsi="Arial" w:cs="Arial"/>
          <w:sz w:val="20"/>
          <w:szCs w:val="20"/>
          <w:lang w:val="en-CA"/>
        </w:rPr>
        <w:t>The facility is strategically located in the agricultural plains of Mt. Hood, Oregon with over 200 licenced hemp farms in the neighbouring counties. Over time, the facility has the potential to be scaled to add multiple extraction, post-production and product manufacturing systems.</w:t>
      </w:r>
      <w:r w:rsidR="002C5615">
        <w:rPr>
          <w:rFonts w:ascii="Arial" w:hAnsi="Arial" w:cs="Arial"/>
          <w:sz w:val="20"/>
          <w:szCs w:val="20"/>
          <w:lang w:val="en-CA"/>
        </w:rPr>
        <w:t xml:space="preserve"> </w:t>
      </w:r>
    </w:p>
    <w:p w14:paraId="6A9E8040" w14:textId="77777777" w:rsidR="002C5615" w:rsidRDefault="002C5615" w:rsidP="003F6F1A">
      <w:pPr>
        <w:spacing w:after="0"/>
        <w:jc w:val="both"/>
        <w:rPr>
          <w:rFonts w:ascii="Arial" w:hAnsi="Arial" w:cs="Arial"/>
          <w:sz w:val="20"/>
          <w:szCs w:val="20"/>
          <w:lang w:val="en-CA"/>
        </w:rPr>
      </w:pPr>
    </w:p>
    <w:p w14:paraId="5DAB0B8A" w14:textId="67FE293B" w:rsidR="002C5615" w:rsidRDefault="002C5615" w:rsidP="003F6F1A">
      <w:pPr>
        <w:spacing w:after="0"/>
        <w:jc w:val="both"/>
        <w:rPr>
          <w:rFonts w:ascii="Arial" w:hAnsi="Arial" w:cs="Arial"/>
          <w:sz w:val="20"/>
          <w:szCs w:val="20"/>
          <w:lang w:val="en-CA"/>
        </w:rPr>
      </w:pPr>
      <w:r>
        <w:rPr>
          <w:rFonts w:ascii="Arial" w:hAnsi="Arial" w:cs="Arial"/>
          <w:sz w:val="20"/>
          <w:szCs w:val="20"/>
          <w:lang w:val="en-CA"/>
        </w:rPr>
        <w:t>On August</w:t>
      </w:r>
      <w:r w:rsidR="00691C16">
        <w:rPr>
          <w:rFonts w:ascii="Arial" w:hAnsi="Arial" w:cs="Arial"/>
          <w:sz w:val="20"/>
          <w:szCs w:val="20"/>
          <w:vertAlign w:val="superscript"/>
          <w:lang w:val="en-CA"/>
        </w:rPr>
        <w:t xml:space="preserve"> </w:t>
      </w:r>
      <w:r w:rsidR="00FC70F1">
        <w:rPr>
          <w:rFonts w:ascii="Arial" w:hAnsi="Arial" w:cs="Arial"/>
          <w:sz w:val="20"/>
          <w:szCs w:val="20"/>
          <w:lang w:val="en-CA"/>
        </w:rPr>
        <w:t>6</w:t>
      </w:r>
      <w:r w:rsidR="00691C16">
        <w:rPr>
          <w:rFonts w:ascii="Arial" w:hAnsi="Arial" w:cs="Arial"/>
          <w:sz w:val="20"/>
          <w:szCs w:val="20"/>
          <w:lang w:val="en-CA"/>
        </w:rPr>
        <w:t xml:space="preserve">, </w:t>
      </w:r>
      <w:r>
        <w:rPr>
          <w:rFonts w:ascii="Arial" w:hAnsi="Arial" w:cs="Arial"/>
          <w:sz w:val="20"/>
          <w:szCs w:val="20"/>
          <w:lang w:val="en-CA"/>
        </w:rPr>
        <w:t>2019</w:t>
      </w:r>
      <w:r w:rsidR="000A24FE">
        <w:rPr>
          <w:rFonts w:ascii="Arial" w:hAnsi="Arial" w:cs="Arial"/>
          <w:sz w:val="20"/>
          <w:szCs w:val="20"/>
          <w:lang w:val="en-CA"/>
        </w:rPr>
        <w:t>,</w:t>
      </w:r>
      <w:r>
        <w:rPr>
          <w:rFonts w:ascii="Arial" w:hAnsi="Arial" w:cs="Arial"/>
          <w:sz w:val="20"/>
          <w:szCs w:val="20"/>
          <w:lang w:val="en-CA"/>
        </w:rPr>
        <w:t xml:space="preserve"> the Company </w:t>
      </w:r>
      <w:r w:rsidR="00FC70F1">
        <w:rPr>
          <w:rFonts w:ascii="Arial" w:hAnsi="Arial" w:cs="Arial"/>
          <w:sz w:val="20"/>
          <w:szCs w:val="20"/>
          <w:lang w:val="en-CA"/>
        </w:rPr>
        <w:t>wa</w:t>
      </w:r>
      <w:r>
        <w:rPr>
          <w:rFonts w:ascii="Arial" w:hAnsi="Arial" w:cs="Arial"/>
          <w:sz w:val="20"/>
          <w:szCs w:val="20"/>
          <w:lang w:val="en-CA"/>
        </w:rPr>
        <w:t>s awarded its hemp-handlers license from the Oregon Department of Agriculture, allowing the Company to move to the next phase of facility build-out and to start extraction operations.</w:t>
      </w:r>
    </w:p>
    <w:p w14:paraId="05E68361" w14:textId="77777777" w:rsidR="00105B24" w:rsidRDefault="00105B24" w:rsidP="003F6F1A">
      <w:pPr>
        <w:pStyle w:val="NormalWeb"/>
        <w:pBdr>
          <w:bottom w:val="single" w:sz="12" w:space="1" w:color="auto"/>
        </w:pBdr>
        <w:spacing w:before="0" w:beforeAutospacing="0" w:after="0" w:afterAutospacing="0"/>
        <w:rPr>
          <w:rFonts w:ascii="Arial" w:hAnsi="Arial" w:cs="Arial"/>
          <w:b/>
          <w:sz w:val="20"/>
          <w:szCs w:val="20"/>
        </w:rPr>
      </w:pPr>
    </w:p>
    <w:p w14:paraId="774AD655" w14:textId="77777777" w:rsidR="00E27B44" w:rsidRPr="00954E48" w:rsidRDefault="00E27B44" w:rsidP="003F6F1A">
      <w:pPr>
        <w:pStyle w:val="NormalWeb"/>
        <w:pBdr>
          <w:bottom w:val="single" w:sz="12" w:space="1" w:color="auto"/>
        </w:pBdr>
        <w:spacing w:before="0" w:beforeAutospacing="0" w:after="0" w:afterAutospacing="0"/>
        <w:rPr>
          <w:rFonts w:ascii="Arial" w:hAnsi="Arial" w:cs="Arial"/>
          <w:b/>
          <w:color w:val="FF0000"/>
          <w:sz w:val="20"/>
          <w:szCs w:val="20"/>
        </w:rPr>
      </w:pPr>
      <w:r w:rsidRPr="00954E48">
        <w:rPr>
          <w:rFonts w:ascii="Arial" w:hAnsi="Arial" w:cs="Arial"/>
          <w:b/>
          <w:sz w:val="20"/>
          <w:szCs w:val="20"/>
        </w:rPr>
        <w:t>OUTLOOK</w:t>
      </w:r>
      <w:r>
        <w:rPr>
          <w:rFonts w:ascii="Arial" w:hAnsi="Arial" w:cs="Arial"/>
          <w:b/>
          <w:sz w:val="20"/>
          <w:szCs w:val="20"/>
        </w:rPr>
        <w:t xml:space="preserve"> </w:t>
      </w:r>
    </w:p>
    <w:p w14:paraId="0D0D80A1" w14:textId="77777777" w:rsidR="00E27B44" w:rsidRDefault="00E27B44" w:rsidP="003F6F1A">
      <w:pPr>
        <w:spacing w:after="0"/>
      </w:pPr>
    </w:p>
    <w:p w14:paraId="5A0C5CCE" w14:textId="77777777" w:rsidR="00E27B44" w:rsidRDefault="00E27B44" w:rsidP="003F6F1A">
      <w:pPr>
        <w:spacing w:after="0"/>
        <w:jc w:val="both"/>
        <w:rPr>
          <w:rFonts w:ascii="Arial" w:hAnsi="Arial" w:cs="Arial"/>
          <w:sz w:val="20"/>
          <w:szCs w:val="20"/>
        </w:rPr>
      </w:pPr>
      <w:r w:rsidRPr="00C90A0A">
        <w:rPr>
          <w:rFonts w:ascii="Arial" w:hAnsi="Arial" w:cs="Arial"/>
          <w:sz w:val="20"/>
          <w:szCs w:val="20"/>
        </w:rPr>
        <w:t xml:space="preserve">The Company </w:t>
      </w:r>
      <w:r>
        <w:rPr>
          <w:rFonts w:ascii="Arial" w:hAnsi="Arial" w:cs="Arial"/>
          <w:sz w:val="20"/>
          <w:szCs w:val="20"/>
        </w:rPr>
        <w:t>will continue</w:t>
      </w:r>
      <w:r w:rsidRPr="00C90A0A">
        <w:rPr>
          <w:rFonts w:ascii="Arial" w:hAnsi="Arial" w:cs="Arial"/>
          <w:sz w:val="20"/>
          <w:szCs w:val="20"/>
        </w:rPr>
        <w:t xml:space="preserve"> to be active and opportunistic with respect to mergers and acquisitions</w:t>
      </w:r>
      <w:r>
        <w:rPr>
          <w:rFonts w:ascii="Arial" w:hAnsi="Arial" w:cs="Arial"/>
          <w:sz w:val="20"/>
          <w:szCs w:val="20"/>
        </w:rPr>
        <w:t xml:space="preserve"> opportunities</w:t>
      </w:r>
      <w:r w:rsidRPr="00C90A0A">
        <w:rPr>
          <w:rFonts w:ascii="Arial" w:hAnsi="Arial" w:cs="Arial"/>
          <w:sz w:val="20"/>
          <w:szCs w:val="20"/>
        </w:rPr>
        <w:t xml:space="preserve">, </w:t>
      </w:r>
      <w:r>
        <w:rPr>
          <w:rFonts w:ascii="Arial" w:hAnsi="Arial" w:cs="Arial"/>
          <w:sz w:val="20"/>
          <w:szCs w:val="20"/>
        </w:rPr>
        <w:t>with the goal of advancing</w:t>
      </w:r>
      <w:r w:rsidRPr="00C90A0A">
        <w:rPr>
          <w:rFonts w:ascii="Arial" w:hAnsi="Arial" w:cs="Arial"/>
          <w:sz w:val="20"/>
          <w:szCs w:val="20"/>
        </w:rPr>
        <w:t xml:space="preserve"> its business plan </w:t>
      </w:r>
      <w:r>
        <w:rPr>
          <w:rFonts w:ascii="Arial" w:hAnsi="Arial" w:cs="Arial"/>
          <w:sz w:val="20"/>
          <w:szCs w:val="20"/>
        </w:rPr>
        <w:t>and to</w:t>
      </w:r>
      <w:r w:rsidRPr="00C90A0A">
        <w:rPr>
          <w:rFonts w:ascii="Arial" w:hAnsi="Arial" w:cs="Arial"/>
          <w:sz w:val="20"/>
          <w:szCs w:val="20"/>
        </w:rPr>
        <w:t xml:space="preserve"> increase shareholder value where possible. Additionally, the Company may seek to acquire third</w:t>
      </w:r>
      <w:r w:rsidR="005F6D26">
        <w:rPr>
          <w:rFonts w:ascii="Arial" w:hAnsi="Arial" w:cs="Arial"/>
          <w:sz w:val="20"/>
          <w:szCs w:val="20"/>
        </w:rPr>
        <w:t>-</w:t>
      </w:r>
      <w:r w:rsidRPr="00C90A0A">
        <w:rPr>
          <w:rFonts w:ascii="Arial" w:hAnsi="Arial" w:cs="Arial"/>
          <w:sz w:val="20"/>
          <w:szCs w:val="20"/>
        </w:rPr>
        <w:t xml:space="preserve">party channel partners to increase its patient base, margin per patient, and to increase shareholder value through these operations and/or assets. </w:t>
      </w:r>
    </w:p>
    <w:p w14:paraId="27512D25" w14:textId="77777777" w:rsidR="00A976E9" w:rsidRDefault="00A976E9" w:rsidP="003F6F1A">
      <w:pPr>
        <w:spacing w:after="0"/>
        <w:jc w:val="both"/>
        <w:rPr>
          <w:rFonts w:ascii="Arial" w:hAnsi="Arial" w:cs="Arial"/>
          <w:sz w:val="20"/>
          <w:szCs w:val="20"/>
        </w:rPr>
      </w:pPr>
    </w:p>
    <w:p w14:paraId="703DA3E7" w14:textId="77777777" w:rsidR="00A976E9" w:rsidRDefault="00A976E9" w:rsidP="003F6F1A">
      <w:pPr>
        <w:spacing w:after="0"/>
        <w:jc w:val="both"/>
        <w:rPr>
          <w:rFonts w:ascii="Arial" w:hAnsi="Arial" w:cs="Arial"/>
          <w:sz w:val="20"/>
          <w:szCs w:val="20"/>
        </w:rPr>
      </w:pPr>
      <w:r>
        <w:rPr>
          <w:rFonts w:ascii="Arial" w:hAnsi="Arial" w:cs="Arial"/>
          <w:sz w:val="20"/>
          <w:szCs w:val="20"/>
        </w:rPr>
        <w:t>The Company is in active discussions to secure hemp bio-mass supply agreements from licensed producers in Oregon and Arizona with the objectives of locking in raw material supply agreements to support the new extraction facilities.</w:t>
      </w:r>
    </w:p>
    <w:p w14:paraId="07C5CF5B" w14:textId="5D00AC99" w:rsidR="00A976E9" w:rsidRDefault="00B05C79" w:rsidP="003F6F1A">
      <w:pPr>
        <w:spacing w:after="0"/>
        <w:jc w:val="both"/>
        <w:rPr>
          <w:rFonts w:ascii="Arial" w:hAnsi="Arial" w:cs="Arial"/>
          <w:sz w:val="20"/>
          <w:szCs w:val="20"/>
        </w:rPr>
      </w:pPr>
      <w:r>
        <w:rPr>
          <w:rFonts w:ascii="Arial" w:hAnsi="Arial" w:cs="Arial"/>
          <w:sz w:val="20"/>
          <w:szCs w:val="20"/>
        </w:rPr>
        <w:lastRenderedPageBreak/>
        <w:br/>
      </w:r>
      <w:r w:rsidR="00A976E9">
        <w:rPr>
          <w:rFonts w:ascii="Arial" w:hAnsi="Arial" w:cs="Arial"/>
          <w:sz w:val="20"/>
          <w:szCs w:val="20"/>
        </w:rPr>
        <w:t>In addition, the Company is in active discussion with various product brands, brokers and retail sales outlet to secure short and long</w:t>
      </w:r>
      <w:r w:rsidR="005F6D26">
        <w:rPr>
          <w:rFonts w:ascii="Arial" w:hAnsi="Arial" w:cs="Arial"/>
          <w:sz w:val="20"/>
          <w:szCs w:val="20"/>
        </w:rPr>
        <w:t>-</w:t>
      </w:r>
      <w:r w:rsidR="00A976E9">
        <w:rPr>
          <w:rFonts w:ascii="Arial" w:hAnsi="Arial" w:cs="Arial"/>
          <w:sz w:val="20"/>
          <w:szCs w:val="20"/>
        </w:rPr>
        <w:t>term sales contracts to support the revenue growth objectives for our hemp-derived CBD extract and CBD based products.</w:t>
      </w:r>
    </w:p>
    <w:p w14:paraId="7DEA3FAC" w14:textId="77777777" w:rsidR="00D242CC" w:rsidRDefault="00D242CC" w:rsidP="003F6F1A">
      <w:pPr>
        <w:spacing w:after="0"/>
        <w:jc w:val="both"/>
        <w:rPr>
          <w:rFonts w:ascii="Arial" w:hAnsi="Arial" w:cs="Arial"/>
          <w:sz w:val="20"/>
          <w:szCs w:val="20"/>
        </w:rPr>
      </w:pPr>
    </w:p>
    <w:p w14:paraId="4AB0820B" w14:textId="6E023EEF" w:rsidR="00E27B44" w:rsidRDefault="00E27B44" w:rsidP="003F6F1A">
      <w:pPr>
        <w:spacing w:after="0"/>
        <w:jc w:val="both"/>
        <w:rPr>
          <w:rFonts w:ascii="Arial" w:hAnsi="Arial" w:cs="Arial"/>
          <w:sz w:val="20"/>
          <w:szCs w:val="20"/>
        </w:rPr>
      </w:pPr>
      <w:r w:rsidRPr="00C90A0A">
        <w:rPr>
          <w:rFonts w:ascii="Arial" w:hAnsi="Arial" w:cs="Arial"/>
          <w:sz w:val="20"/>
          <w:szCs w:val="20"/>
        </w:rPr>
        <w:t xml:space="preserve">Currently, the market for both clinics and </w:t>
      </w:r>
      <w:r>
        <w:rPr>
          <w:rFonts w:ascii="Arial" w:hAnsi="Arial" w:cs="Arial"/>
          <w:sz w:val="20"/>
          <w:szCs w:val="20"/>
        </w:rPr>
        <w:t>CBD based</w:t>
      </w:r>
      <w:r w:rsidRPr="00C90A0A">
        <w:rPr>
          <w:rFonts w:ascii="Arial" w:hAnsi="Arial" w:cs="Arial"/>
          <w:sz w:val="20"/>
          <w:szCs w:val="20"/>
        </w:rPr>
        <w:t xml:space="preserve"> products in the United States remains highly fragmented with very few nationwide competitors. The Company seeks to take advantage of this by using its capital</w:t>
      </w:r>
      <w:r>
        <w:rPr>
          <w:rFonts w:ascii="Arial" w:hAnsi="Arial" w:cs="Arial"/>
          <w:sz w:val="20"/>
          <w:szCs w:val="20"/>
        </w:rPr>
        <w:t>-light</w:t>
      </w:r>
      <w:r w:rsidRPr="00C90A0A">
        <w:rPr>
          <w:rFonts w:ascii="Arial" w:hAnsi="Arial" w:cs="Arial"/>
          <w:sz w:val="20"/>
          <w:szCs w:val="20"/>
        </w:rPr>
        <w:t xml:space="preserve"> expenditure model </w:t>
      </w:r>
      <w:r>
        <w:rPr>
          <w:rFonts w:ascii="Arial" w:hAnsi="Arial" w:cs="Arial"/>
          <w:sz w:val="20"/>
          <w:szCs w:val="20"/>
        </w:rPr>
        <w:t>to open</w:t>
      </w:r>
      <w:r w:rsidRPr="00C90A0A">
        <w:rPr>
          <w:rFonts w:ascii="Arial" w:hAnsi="Arial" w:cs="Arial"/>
          <w:sz w:val="20"/>
          <w:szCs w:val="20"/>
        </w:rPr>
        <w:t xml:space="preserve"> </w:t>
      </w:r>
      <w:r>
        <w:rPr>
          <w:rFonts w:ascii="Arial" w:hAnsi="Arial" w:cs="Arial"/>
          <w:sz w:val="20"/>
          <w:szCs w:val="20"/>
        </w:rPr>
        <w:t xml:space="preserve">franchised </w:t>
      </w:r>
      <w:r w:rsidRPr="00C90A0A">
        <w:rPr>
          <w:rFonts w:ascii="Arial" w:hAnsi="Arial" w:cs="Arial"/>
          <w:sz w:val="20"/>
          <w:szCs w:val="20"/>
        </w:rPr>
        <w:t>clinics, to create highly valuable patient relationships</w:t>
      </w:r>
      <w:r>
        <w:rPr>
          <w:rFonts w:ascii="Arial" w:hAnsi="Arial" w:cs="Arial"/>
          <w:sz w:val="20"/>
          <w:szCs w:val="20"/>
        </w:rPr>
        <w:t xml:space="preserve"> in new markets, further develop a wide-array of CBD formulations and product lines for nationwide distribution and own and operate hemp-derived CBD extraction facilities with the first location secured in Sandy, Oregon</w:t>
      </w:r>
      <w:r w:rsidR="00FF4E29">
        <w:rPr>
          <w:rFonts w:ascii="Arial" w:hAnsi="Arial" w:cs="Arial"/>
          <w:sz w:val="20"/>
          <w:szCs w:val="20"/>
        </w:rPr>
        <w:t>,</w:t>
      </w:r>
      <w:r>
        <w:rPr>
          <w:rFonts w:ascii="Arial" w:hAnsi="Arial" w:cs="Arial"/>
          <w:sz w:val="20"/>
          <w:szCs w:val="20"/>
        </w:rPr>
        <w:t xml:space="preserve"> strategically located in the S.W. region of Portland, Oregon surrounded by over 200 hemp farms. </w:t>
      </w:r>
    </w:p>
    <w:p w14:paraId="5EDE07B4" w14:textId="77777777" w:rsidR="00D3689F" w:rsidRDefault="00D3689F" w:rsidP="003F6F1A">
      <w:pPr>
        <w:spacing w:after="0"/>
        <w:jc w:val="both"/>
        <w:rPr>
          <w:rFonts w:ascii="Arial" w:hAnsi="Arial" w:cs="Arial"/>
          <w:sz w:val="20"/>
          <w:szCs w:val="20"/>
        </w:rPr>
      </w:pPr>
    </w:p>
    <w:p w14:paraId="06DA5AC9" w14:textId="77777777" w:rsidR="00954E48" w:rsidRPr="00954E48" w:rsidRDefault="00954E48" w:rsidP="003F6F1A">
      <w:pPr>
        <w:pStyle w:val="NormalWeb"/>
        <w:pBdr>
          <w:bottom w:val="single" w:sz="12" w:space="1" w:color="auto"/>
        </w:pBdr>
        <w:spacing w:before="0" w:beforeAutospacing="0" w:after="0" w:afterAutospacing="0"/>
        <w:rPr>
          <w:rFonts w:ascii="Arial" w:hAnsi="Arial" w:cs="Arial"/>
          <w:b/>
          <w:sz w:val="20"/>
          <w:szCs w:val="20"/>
        </w:rPr>
      </w:pPr>
      <w:r w:rsidRPr="00954E48">
        <w:rPr>
          <w:rFonts w:ascii="Arial" w:hAnsi="Arial" w:cs="Arial"/>
          <w:b/>
          <w:sz w:val="20"/>
          <w:szCs w:val="20"/>
        </w:rPr>
        <w:t>REVIEW OF QUARTERLY RESULTS</w:t>
      </w:r>
    </w:p>
    <w:p w14:paraId="01D9950F" w14:textId="77777777" w:rsidR="009E0B8F" w:rsidRDefault="009E0B8F" w:rsidP="003F6F1A">
      <w:pPr>
        <w:spacing w:after="0"/>
        <w:jc w:val="both"/>
        <w:rPr>
          <w:rFonts w:ascii="Arial" w:hAnsi="Arial" w:cs="Arial"/>
          <w:sz w:val="20"/>
          <w:szCs w:val="20"/>
        </w:rPr>
      </w:pPr>
    </w:p>
    <w:p w14:paraId="1338113B" w14:textId="7C54F566" w:rsidR="00743A78" w:rsidRDefault="00743A78" w:rsidP="003F6F1A">
      <w:pPr>
        <w:spacing w:after="0"/>
        <w:jc w:val="both"/>
        <w:rPr>
          <w:rFonts w:ascii="Arial" w:hAnsi="Arial" w:cs="Arial"/>
          <w:sz w:val="20"/>
          <w:szCs w:val="20"/>
        </w:rPr>
      </w:pPr>
      <w:r w:rsidRPr="00743A78">
        <w:rPr>
          <w:rFonts w:ascii="Arial" w:hAnsi="Arial" w:cs="Arial"/>
          <w:sz w:val="20"/>
          <w:szCs w:val="20"/>
        </w:rPr>
        <w:t>Amounts presented in thousands except per share amounts</w:t>
      </w:r>
      <w:r w:rsidR="00F21869">
        <w:rPr>
          <w:rFonts w:ascii="Arial" w:hAnsi="Arial" w:cs="Arial"/>
          <w:sz w:val="20"/>
          <w:szCs w:val="20"/>
        </w:rPr>
        <w:t xml:space="preserve"> and patient visits</w:t>
      </w:r>
      <w:r w:rsidRPr="00743A78">
        <w:rPr>
          <w:rFonts w:ascii="Arial" w:hAnsi="Arial" w:cs="Arial"/>
          <w:sz w:val="20"/>
          <w:szCs w:val="20"/>
        </w:rPr>
        <w:t>:</w:t>
      </w:r>
    </w:p>
    <w:p w14:paraId="68F9C16D" w14:textId="77777777" w:rsidR="00372D83" w:rsidRPr="00743A78" w:rsidRDefault="00372D83" w:rsidP="003F6F1A">
      <w:pPr>
        <w:spacing w:after="0"/>
        <w:jc w:val="both"/>
        <w:rPr>
          <w:rFonts w:ascii="Arial" w:hAnsi="Arial" w:cs="Arial"/>
          <w:sz w:val="20"/>
          <w:szCs w:val="20"/>
        </w:rPr>
      </w:pPr>
    </w:p>
    <w:tbl>
      <w:tblPr>
        <w:tblW w:w="98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4"/>
        <w:gridCol w:w="810"/>
        <w:gridCol w:w="720"/>
        <w:gridCol w:w="784"/>
        <w:gridCol w:w="784"/>
        <w:gridCol w:w="772"/>
        <w:gridCol w:w="720"/>
        <w:gridCol w:w="720"/>
        <w:gridCol w:w="720"/>
        <w:gridCol w:w="810"/>
        <w:gridCol w:w="810"/>
      </w:tblGrid>
      <w:tr w:rsidR="003E0848" w:rsidRPr="00DA4360" w14:paraId="72367B4F" w14:textId="77777777" w:rsidTr="004A1755">
        <w:tc>
          <w:tcPr>
            <w:tcW w:w="2154" w:type="dxa"/>
            <w:shd w:val="clear" w:color="auto" w:fill="auto"/>
          </w:tcPr>
          <w:p w14:paraId="507E5DE5" w14:textId="77777777" w:rsidR="00B05C79" w:rsidRPr="00DA4360" w:rsidRDefault="00B05C79" w:rsidP="003F6F1A">
            <w:pPr>
              <w:spacing w:after="0" w:line="240" w:lineRule="auto"/>
              <w:rPr>
                <w:rFonts w:ascii="Arial" w:hAnsi="Arial" w:cs="Arial"/>
                <w:sz w:val="17"/>
                <w:szCs w:val="17"/>
                <w:lang w:val="en-CA"/>
              </w:rPr>
            </w:pPr>
            <w:bookmarkStart w:id="3" w:name="_Hlk9498167"/>
          </w:p>
        </w:tc>
        <w:tc>
          <w:tcPr>
            <w:tcW w:w="810" w:type="dxa"/>
            <w:shd w:val="clear" w:color="auto" w:fill="D0CECE"/>
            <w:vAlign w:val="bottom"/>
          </w:tcPr>
          <w:p w14:paraId="1AE4F83B" w14:textId="77777777" w:rsidR="00B05C79" w:rsidRPr="00DA4360" w:rsidRDefault="00B05C79" w:rsidP="003F6F1A">
            <w:pPr>
              <w:spacing w:after="0" w:line="240" w:lineRule="auto"/>
              <w:jc w:val="right"/>
              <w:rPr>
                <w:rFonts w:ascii="Arial" w:hAnsi="Arial" w:cs="Arial"/>
                <w:b/>
                <w:sz w:val="17"/>
                <w:szCs w:val="17"/>
                <w:lang w:val="en-CA"/>
              </w:rPr>
            </w:pPr>
            <w:r w:rsidRPr="00DA4360">
              <w:rPr>
                <w:rFonts w:ascii="Arial" w:hAnsi="Arial" w:cs="Arial"/>
                <w:b/>
                <w:sz w:val="17"/>
                <w:szCs w:val="17"/>
                <w:lang w:val="en-CA"/>
              </w:rPr>
              <w:t>Q</w:t>
            </w:r>
            <w:r w:rsidR="00BD2307" w:rsidRPr="00DA4360">
              <w:rPr>
                <w:rFonts w:ascii="Arial" w:hAnsi="Arial" w:cs="Arial"/>
                <w:b/>
                <w:sz w:val="17"/>
                <w:szCs w:val="17"/>
                <w:lang w:val="en-CA"/>
              </w:rPr>
              <w:t>2</w:t>
            </w:r>
            <w:r w:rsidRPr="00DA4360">
              <w:rPr>
                <w:rFonts w:ascii="Arial" w:hAnsi="Arial" w:cs="Arial"/>
                <w:b/>
                <w:sz w:val="17"/>
                <w:szCs w:val="17"/>
                <w:lang w:val="en-CA"/>
              </w:rPr>
              <w:t xml:space="preserve"> 2019</w:t>
            </w:r>
          </w:p>
        </w:tc>
        <w:tc>
          <w:tcPr>
            <w:tcW w:w="720" w:type="dxa"/>
            <w:shd w:val="clear" w:color="auto" w:fill="FFFFFF"/>
            <w:vAlign w:val="bottom"/>
          </w:tcPr>
          <w:p w14:paraId="5D13A156" w14:textId="77777777" w:rsidR="00B05C79" w:rsidRPr="00DA4360" w:rsidRDefault="00B05C79" w:rsidP="003F6F1A">
            <w:pPr>
              <w:spacing w:after="0" w:line="240" w:lineRule="auto"/>
              <w:jc w:val="right"/>
              <w:rPr>
                <w:rFonts w:ascii="Arial" w:hAnsi="Arial" w:cs="Arial"/>
                <w:sz w:val="17"/>
                <w:szCs w:val="17"/>
                <w:lang w:val="en-CA"/>
              </w:rPr>
            </w:pPr>
            <w:r w:rsidRPr="00DA4360">
              <w:rPr>
                <w:rFonts w:ascii="Arial" w:hAnsi="Arial" w:cs="Arial"/>
                <w:b/>
                <w:sz w:val="17"/>
                <w:szCs w:val="17"/>
                <w:lang w:val="en-CA"/>
              </w:rPr>
              <w:t>Q1 2019</w:t>
            </w:r>
          </w:p>
        </w:tc>
        <w:tc>
          <w:tcPr>
            <w:tcW w:w="784" w:type="dxa"/>
            <w:shd w:val="clear" w:color="auto" w:fill="auto"/>
            <w:vAlign w:val="bottom"/>
          </w:tcPr>
          <w:p w14:paraId="55213908" w14:textId="77777777" w:rsidR="00B05C79" w:rsidRPr="00DA4360" w:rsidRDefault="00B05C79" w:rsidP="003F6F1A">
            <w:pPr>
              <w:spacing w:after="0" w:line="240" w:lineRule="auto"/>
              <w:jc w:val="right"/>
              <w:rPr>
                <w:rFonts w:ascii="Arial" w:hAnsi="Arial" w:cs="Arial"/>
                <w:sz w:val="17"/>
                <w:szCs w:val="17"/>
                <w:lang w:val="en-CA"/>
              </w:rPr>
            </w:pPr>
            <w:r w:rsidRPr="00DA4360">
              <w:rPr>
                <w:rFonts w:ascii="Arial" w:hAnsi="Arial" w:cs="Arial"/>
                <w:sz w:val="17"/>
                <w:szCs w:val="17"/>
                <w:lang w:val="en-CA"/>
              </w:rPr>
              <w:t>Q4 2018</w:t>
            </w:r>
          </w:p>
        </w:tc>
        <w:tc>
          <w:tcPr>
            <w:tcW w:w="784" w:type="dxa"/>
            <w:shd w:val="clear" w:color="auto" w:fill="auto"/>
            <w:vAlign w:val="bottom"/>
          </w:tcPr>
          <w:p w14:paraId="7695CB1C" w14:textId="77777777" w:rsidR="00B05C79" w:rsidRPr="00DA4360" w:rsidRDefault="00B05C79" w:rsidP="003F6F1A">
            <w:pPr>
              <w:spacing w:after="0" w:line="240" w:lineRule="auto"/>
              <w:jc w:val="right"/>
              <w:rPr>
                <w:rFonts w:ascii="Arial" w:hAnsi="Arial" w:cs="Arial"/>
                <w:sz w:val="17"/>
                <w:szCs w:val="17"/>
                <w:lang w:val="en-CA"/>
              </w:rPr>
            </w:pPr>
            <w:r w:rsidRPr="00DA4360">
              <w:rPr>
                <w:rFonts w:ascii="Arial" w:hAnsi="Arial" w:cs="Arial"/>
                <w:sz w:val="17"/>
                <w:szCs w:val="17"/>
                <w:lang w:val="en-CA"/>
              </w:rPr>
              <w:t>Q3 2018</w:t>
            </w:r>
          </w:p>
        </w:tc>
        <w:tc>
          <w:tcPr>
            <w:tcW w:w="772" w:type="dxa"/>
            <w:shd w:val="clear" w:color="auto" w:fill="auto"/>
            <w:vAlign w:val="bottom"/>
          </w:tcPr>
          <w:p w14:paraId="6B9DDDE4" w14:textId="77777777" w:rsidR="00B05C79" w:rsidRPr="00DA4360" w:rsidRDefault="00B05C79" w:rsidP="003F6F1A">
            <w:pPr>
              <w:spacing w:after="0" w:line="240" w:lineRule="auto"/>
              <w:jc w:val="right"/>
              <w:rPr>
                <w:rFonts w:ascii="Arial" w:hAnsi="Arial" w:cs="Arial"/>
                <w:sz w:val="17"/>
                <w:szCs w:val="17"/>
                <w:lang w:val="en-CA"/>
              </w:rPr>
            </w:pPr>
            <w:r w:rsidRPr="00DA4360">
              <w:rPr>
                <w:rFonts w:ascii="Arial" w:hAnsi="Arial" w:cs="Arial"/>
                <w:sz w:val="17"/>
                <w:szCs w:val="17"/>
                <w:lang w:val="en-CA"/>
              </w:rPr>
              <w:t>Q2 2018</w:t>
            </w:r>
          </w:p>
        </w:tc>
        <w:tc>
          <w:tcPr>
            <w:tcW w:w="720" w:type="dxa"/>
            <w:shd w:val="clear" w:color="auto" w:fill="auto"/>
            <w:vAlign w:val="bottom"/>
          </w:tcPr>
          <w:p w14:paraId="22566340" w14:textId="77777777" w:rsidR="00B05C79" w:rsidRPr="00DA4360" w:rsidRDefault="00B05C79" w:rsidP="003F6F1A">
            <w:pPr>
              <w:spacing w:after="0" w:line="240" w:lineRule="auto"/>
              <w:jc w:val="right"/>
              <w:rPr>
                <w:rFonts w:ascii="Arial" w:hAnsi="Arial" w:cs="Arial"/>
                <w:sz w:val="17"/>
                <w:szCs w:val="17"/>
                <w:lang w:val="en-CA"/>
              </w:rPr>
            </w:pPr>
            <w:r w:rsidRPr="00DA4360">
              <w:rPr>
                <w:rFonts w:ascii="Arial" w:hAnsi="Arial" w:cs="Arial"/>
                <w:sz w:val="17"/>
                <w:szCs w:val="17"/>
                <w:lang w:val="en-CA"/>
              </w:rPr>
              <w:t>Q1 2018</w:t>
            </w:r>
          </w:p>
        </w:tc>
        <w:tc>
          <w:tcPr>
            <w:tcW w:w="720" w:type="dxa"/>
            <w:shd w:val="clear" w:color="auto" w:fill="auto"/>
            <w:vAlign w:val="bottom"/>
          </w:tcPr>
          <w:p w14:paraId="672A459F" w14:textId="77777777" w:rsidR="00B05C79" w:rsidRPr="00DA4360" w:rsidRDefault="00B05C79" w:rsidP="003F6F1A">
            <w:pPr>
              <w:spacing w:after="0" w:line="240" w:lineRule="auto"/>
              <w:jc w:val="right"/>
              <w:rPr>
                <w:rFonts w:ascii="Arial" w:hAnsi="Arial" w:cs="Arial"/>
                <w:sz w:val="17"/>
                <w:szCs w:val="17"/>
                <w:lang w:val="en-CA"/>
              </w:rPr>
            </w:pPr>
            <w:r w:rsidRPr="00DA4360">
              <w:rPr>
                <w:rFonts w:ascii="Arial" w:hAnsi="Arial" w:cs="Arial"/>
                <w:sz w:val="17"/>
                <w:szCs w:val="17"/>
                <w:lang w:val="en-CA"/>
              </w:rPr>
              <w:t>Q4 2017</w:t>
            </w:r>
          </w:p>
        </w:tc>
        <w:tc>
          <w:tcPr>
            <w:tcW w:w="720" w:type="dxa"/>
            <w:shd w:val="clear" w:color="auto" w:fill="auto"/>
            <w:vAlign w:val="bottom"/>
          </w:tcPr>
          <w:p w14:paraId="5BBDC784" w14:textId="77777777" w:rsidR="00B05C79" w:rsidRPr="00DA4360" w:rsidRDefault="00B05C79" w:rsidP="003F6F1A">
            <w:pPr>
              <w:spacing w:after="0" w:line="240" w:lineRule="auto"/>
              <w:jc w:val="right"/>
              <w:rPr>
                <w:rFonts w:ascii="Arial" w:hAnsi="Arial" w:cs="Arial"/>
                <w:sz w:val="17"/>
                <w:szCs w:val="17"/>
                <w:lang w:val="en-CA"/>
              </w:rPr>
            </w:pPr>
            <w:r w:rsidRPr="00DA4360">
              <w:rPr>
                <w:rFonts w:ascii="Arial" w:hAnsi="Arial" w:cs="Arial"/>
                <w:sz w:val="17"/>
                <w:szCs w:val="17"/>
                <w:lang w:val="en-CA"/>
              </w:rPr>
              <w:t>Q3 2017</w:t>
            </w:r>
          </w:p>
        </w:tc>
        <w:tc>
          <w:tcPr>
            <w:tcW w:w="810" w:type="dxa"/>
            <w:shd w:val="clear" w:color="auto" w:fill="D0CECE"/>
            <w:vAlign w:val="bottom"/>
          </w:tcPr>
          <w:p w14:paraId="1A9BFC3B" w14:textId="77777777" w:rsidR="00B05C79" w:rsidRPr="00DA4360" w:rsidRDefault="00B05C79" w:rsidP="000E01AB">
            <w:pPr>
              <w:spacing w:after="0" w:line="240" w:lineRule="auto"/>
              <w:jc w:val="right"/>
              <w:rPr>
                <w:rFonts w:ascii="Arial" w:hAnsi="Arial" w:cs="Arial"/>
                <w:b/>
                <w:sz w:val="17"/>
                <w:szCs w:val="17"/>
                <w:lang w:val="en-CA"/>
              </w:rPr>
            </w:pPr>
            <w:r w:rsidRPr="00DA4360">
              <w:rPr>
                <w:rFonts w:ascii="Arial" w:hAnsi="Arial" w:cs="Arial"/>
                <w:b/>
                <w:sz w:val="17"/>
                <w:szCs w:val="17"/>
                <w:lang w:val="en-CA"/>
              </w:rPr>
              <w:t>YTD</w:t>
            </w:r>
          </w:p>
          <w:p w14:paraId="6D281EC6" w14:textId="77777777" w:rsidR="00B05C79" w:rsidRPr="00DA4360" w:rsidRDefault="00B05C79" w:rsidP="000E01AB">
            <w:pPr>
              <w:spacing w:after="0" w:line="240" w:lineRule="auto"/>
              <w:jc w:val="right"/>
              <w:rPr>
                <w:rFonts w:ascii="Arial" w:hAnsi="Arial" w:cs="Arial"/>
                <w:b/>
                <w:sz w:val="17"/>
                <w:szCs w:val="17"/>
                <w:lang w:val="en-CA"/>
              </w:rPr>
            </w:pPr>
            <w:r w:rsidRPr="00DA4360">
              <w:rPr>
                <w:rFonts w:ascii="Arial" w:hAnsi="Arial" w:cs="Arial"/>
                <w:b/>
                <w:sz w:val="17"/>
                <w:szCs w:val="17"/>
                <w:lang w:val="en-CA"/>
              </w:rPr>
              <w:t>2019</w:t>
            </w:r>
          </w:p>
        </w:tc>
        <w:tc>
          <w:tcPr>
            <w:tcW w:w="810" w:type="dxa"/>
            <w:shd w:val="clear" w:color="auto" w:fill="auto"/>
            <w:vAlign w:val="bottom"/>
          </w:tcPr>
          <w:p w14:paraId="37318CBD" w14:textId="77777777" w:rsidR="00B05C79" w:rsidRPr="00DA4360" w:rsidRDefault="00B05C79">
            <w:pPr>
              <w:spacing w:after="0" w:line="240" w:lineRule="auto"/>
              <w:jc w:val="right"/>
              <w:rPr>
                <w:rFonts w:ascii="Arial" w:hAnsi="Arial" w:cs="Arial"/>
                <w:sz w:val="17"/>
                <w:szCs w:val="17"/>
                <w:lang w:val="en-CA"/>
              </w:rPr>
            </w:pPr>
            <w:r w:rsidRPr="00DA4360">
              <w:rPr>
                <w:rFonts w:ascii="Arial" w:hAnsi="Arial" w:cs="Arial"/>
                <w:sz w:val="17"/>
                <w:szCs w:val="17"/>
                <w:lang w:val="en-CA"/>
              </w:rPr>
              <w:t>YTD</w:t>
            </w:r>
          </w:p>
          <w:p w14:paraId="02F0FD6A" w14:textId="77777777" w:rsidR="00B05C79" w:rsidRPr="00DA4360" w:rsidRDefault="00B05C79">
            <w:pPr>
              <w:spacing w:after="0" w:line="240" w:lineRule="auto"/>
              <w:jc w:val="right"/>
              <w:rPr>
                <w:rFonts w:ascii="Arial" w:hAnsi="Arial" w:cs="Arial"/>
                <w:sz w:val="17"/>
                <w:szCs w:val="17"/>
                <w:lang w:val="en-CA"/>
              </w:rPr>
            </w:pPr>
            <w:r w:rsidRPr="00DA4360">
              <w:rPr>
                <w:rFonts w:ascii="Arial" w:hAnsi="Arial" w:cs="Arial"/>
                <w:sz w:val="17"/>
                <w:szCs w:val="17"/>
                <w:lang w:val="en-CA"/>
              </w:rPr>
              <w:t>2018</w:t>
            </w:r>
          </w:p>
        </w:tc>
      </w:tr>
      <w:tr w:rsidR="003E0848" w:rsidRPr="00DA4360" w14:paraId="1B69A66E" w14:textId="77777777" w:rsidTr="004A1755">
        <w:tc>
          <w:tcPr>
            <w:tcW w:w="2154" w:type="dxa"/>
            <w:shd w:val="clear" w:color="auto" w:fill="auto"/>
          </w:tcPr>
          <w:p w14:paraId="2F25818F" w14:textId="77777777" w:rsidR="00B05C79" w:rsidRPr="00DA4360" w:rsidRDefault="00B05C79" w:rsidP="003F6F1A">
            <w:pPr>
              <w:spacing w:after="0" w:line="240" w:lineRule="auto"/>
              <w:rPr>
                <w:rFonts w:ascii="Arial" w:hAnsi="Arial" w:cs="Arial"/>
                <w:b/>
                <w:sz w:val="17"/>
                <w:szCs w:val="17"/>
                <w:lang w:val="en-CA"/>
              </w:rPr>
            </w:pPr>
            <w:r w:rsidRPr="00DA4360">
              <w:rPr>
                <w:rFonts w:ascii="Arial" w:hAnsi="Arial" w:cs="Arial"/>
                <w:b/>
                <w:sz w:val="17"/>
                <w:szCs w:val="17"/>
                <w:lang w:val="en-CA"/>
              </w:rPr>
              <w:t>FINANCIAL RESULTS:</w:t>
            </w:r>
          </w:p>
        </w:tc>
        <w:tc>
          <w:tcPr>
            <w:tcW w:w="810" w:type="dxa"/>
            <w:shd w:val="clear" w:color="auto" w:fill="D0CECE"/>
            <w:vAlign w:val="bottom"/>
          </w:tcPr>
          <w:p w14:paraId="4CE81F18" w14:textId="77777777" w:rsidR="00B05C79" w:rsidRPr="00DA4360" w:rsidRDefault="00B05C79" w:rsidP="003F6F1A">
            <w:pPr>
              <w:spacing w:after="0" w:line="240" w:lineRule="auto"/>
              <w:jc w:val="right"/>
              <w:rPr>
                <w:rFonts w:ascii="Arial" w:hAnsi="Arial" w:cs="Arial"/>
                <w:sz w:val="17"/>
                <w:szCs w:val="17"/>
                <w:lang w:val="en-CA"/>
              </w:rPr>
            </w:pPr>
          </w:p>
        </w:tc>
        <w:tc>
          <w:tcPr>
            <w:tcW w:w="720" w:type="dxa"/>
            <w:shd w:val="clear" w:color="auto" w:fill="FFFFFF"/>
            <w:vAlign w:val="bottom"/>
          </w:tcPr>
          <w:p w14:paraId="7FFDB4E1" w14:textId="77777777" w:rsidR="00B05C79" w:rsidRPr="00DA4360" w:rsidRDefault="00B05C79" w:rsidP="003F6F1A">
            <w:pPr>
              <w:spacing w:after="0" w:line="240" w:lineRule="auto"/>
              <w:jc w:val="right"/>
              <w:rPr>
                <w:rFonts w:ascii="Arial" w:hAnsi="Arial" w:cs="Arial"/>
                <w:sz w:val="17"/>
                <w:szCs w:val="17"/>
                <w:lang w:val="en-CA"/>
              </w:rPr>
            </w:pPr>
          </w:p>
        </w:tc>
        <w:tc>
          <w:tcPr>
            <w:tcW w:w="784" w:type="dxa"/>
            <w:shd w:val="clear" w:color="auto" w:fill="auto"/>
            <w:vAlign w:val="bottom"/>
          </w:tcPr>
          <w:p w14:paraId="431121C9" w14:textId="77777777" w:rsidR="00B05C79" w:rsidRPr="00DA4360" w:rsidRDefault="00B05C79" w:rsidP="003F6F1A">
            <w:pPr>
              <w:spacing w:after="0" w:line="240" w:lineRule="auto"/>
              <w:jc w:val="right"/>
              <w:rPr>
                <w:rFonts w:ascii="Arial" w:hAnsi="Arial" w:cs="Arial"/>
                <w:sz w:val="17"/>
                <w:szCs w:val="17"/>
                <w:lang w:val="en-CA"/>
              </w:rPr>
            </w:pPr>
          </w:p>
        </w:tc>
        <w:tc>
          <w:tcPr>
            <w:tcW w:w="784" w:type="dxa"/>
            <w:shd w:val="clear" w:color="auto" w:fill="auto"/>
            <w:vAlign w:val="bottom"/>
          </w:tcPr>
          <w:p w14:paraId="0349F437" w14:textId="77777777" w:rsidR="00B05C79" w:rsidRPr="00DA4360" w:rsidRDefault="00B05C79" w:rsidP="003F6F1A">
            <w:pPr>
              <w:spacing w:after="0" w:line="240" w:lineRule="auto"/>
              <w:jc w:val="right"/>
              <w:rPr>
                <w:rFonts w:ascii="Arial" w:hAnsi="Arial" w:cs="Arial"/>
                <w:sz w:val="17"/>
                <w:szCs w:val="17"/>
                <w:lang w:val="en-CA"/>
              </w:rPr>
            </w:pPr>
          </w:p>
        </w:tc>
        <w:tc>
          <w:tcPr>
            <w:tcW w:w="772" w:type="dxa"/>
            <w:shd w:val="clear" w:color="auto" w:fill="auto"/>
            <w:vAlign w:val="bottom"/>
          </w:tcPr>
          <w:p w14:paraId="472A8D70" w14:textId="77777777" w:rsidR="00B05C79" w:rsidRPr="00DA4360" w:rsidRDefault="00B05C79" w:rsidP="003F6F1A">
            <w:pPr>
              <w:spacing w:after="0" w:line="240" w:lineRule="auto"/>
              <w:jc w:val="right"/>
              <w:rPr>
                <w:rFonts w:ascii="Arial" w:hAnsi="Arial" w:cs="Arial"/>
                <w:sz w:val="17"/>
                <w:szCs w:val="17"/>
                <w:lang w:val="en-CA"/>
              </w:rPr>
            </w:pPr>
          </w:p>
        </w:tc>
        <w:tc>
          <w:tcPr>
            <w:tcW w:w="720" w:type="dxa"/>
            <w:shd w:val="clear" w:color="auto" w:fill="auto"/>
            <w:vAlign w:val="bottom"/>
          </w:tcPr>
          <w:p w14:paraId="4680E904" w14:textId="77777777" w:rsidR="00B05C79" w:rsidRPr="00DA4360" w:rsidRDefault="00B05C79" w:rsidP="003F6F1A">
            <w:pPr>
              <w:spacing w:after="0" w:line="240" w:lineRule="auto"/>
              <w:jc w:val="right"/>
              <w:rPr>
                <w:rFonts w:ascii="Arial" w:hAnsi="Arial" w:cs="Arial"/>
                <w:sz w:val="17"/>
                <w:szCs w:val="17"/>
                <w:lang w:val="en-CA"/>
              </w:rPr>
            </w:pPr>
          </w:p>
        </w:tc>
        <w:tc>
          <w:tcPr>
            <w:tcW w:w="720" w:type="dxa"/>
            <w:shd w:val="clear" w:color="auto" w:fill="auto"/>
            <w:vAlign w:val="bottom"/>
          </w:tcPr>
          <w:p w14:paraId="5A781B70" w14:textId="77777777" w:rsidR="00B05C79" w:rsidRPr="00DA4360" w:rsidRDefault="00B05C79" w:rsidP="003F6F1A">
            <w:pPr>
              <w:spacing w:after="0" w:line="240" w:lineRule="auto"/>
              <w:jc w:val="right"/>
              <w:rPr>
                <w:rFonts w:ascii="Arial" w:hAnsi="Arial" w:cs="Arial"/>
                <w:sz w:val="17"/>
                <w:szCs w:val="17"/>
                <w:lang w:val="en-CA"/>
              </w:rPr>
            </w:pPr>
          </w:p>
        </w:tc>
        <w:tc>
          <w:tcPr>
            <w:tcW w:w="720" w:type="dxa"/>
            <w:shd w:val="clear" w:color="auto" w:fill="auto"/>
            <w:vAlign w:val="bottom"/>
          </w:tcPr>
          <w:p w14:paraId="4CC1817C" w14:textId="77777777" w:rsidR="00B05C79" w:rsidRPr="00DA4360" w:rsidRDefault="00B05C79" w:rsidP="003F6F1A">
            <w:pPr>
              <w:spacing w:after="0" w:line="240" w:lineRule="auto"/>
              <w:jc w:val="right"/>
              <w:rPr>
                <w:rFonts w:ascii="Arial" w:hAnsi="Arial" w:cs="Arial"/>
                <w:sz w:val="17"/>
                <w:szCs w:val="17"/>
                <w:lang w:val="en-CA"/>
              </w:rPr>
            </w:pPr>
          </w:p>
        </w:tc>
        <w:tc>
          <w:tcPr>
            <w:tcW w:w="810" w:type="dxa"/>
            <w:shd w:val="clear" w:color="auto" w:fill="D0CECE"/>
            <w:vAlign w:val="bottom"/>
          </w:tcPr>
          <w:p w14:paraId="36915E2B" w14:textId="77777777" w:rsidR="00B05C79" w:rsidRPr="00DA4360" w:rsidRDefault="00B05C79" w:rsidP="000E01AB">
            <w:pPr>
              <w:spacing w:after="0" w:line="240" w:lineRule="auto"/>
              <w:jc w:val="right"/>
              <w:rPr>
                <w:rFonts w:ascii="Arial" w:hAnsi="Arial" w:cs="Arial"/>
                <w:sz w:val="17"/>
                <w:szCs w:val="17"/>
                <w:lang w:val="en-CA"/>
              </w:rPr>
            </w:pPr>
          </w:p>
        </w:tc>
        <w:tc>
          <w:tcPr>
            <w:tcW w:w="810" w:type="dxa"/>
            <w:shd w:val="clear" w:color="auto" w:fill="auto"/>
            <w:vAlign w:val="bottom"/>
          </w:tcPr>
          <w:p w14:paraId="01D67596" w14:textId="77777777" w:rsidR="00B05C79" w:rsidRPr="00DA4360" w:rsidRDefault="00B05C79" w:rsidP="000E01AB">
            <w:pPr>
              <w:spacing w:after="0" w:line="240" w:lineRule="auto"/>
              <w:jc w:val="right"/>
              <w:rPr>
                <w:rFonts w:ascii="Arial" w:hAnsi="Arial" w:cs="Arial"/>
                <w:sz w:val="17"/>
                <w:szCs w:val="17"/>
                <w:lang w:val="en-CA"/>
              </w:rPr>
            </w:pPr>
          </w:p>
        </w:tc>
      </w:tr>
      <w:tr w:rsidR="003E0848" w:rsidRPr="00DA4360" w14:paraId="045A4A7F" w14:textId="77777777" w:rsidTr="004A1755">
        <w:tc>
          <w:tcPr>
            <w:tcW w:w="2154" w:type="dxa"/>
            <w:shd w:val="clear" w:color="auto" w:fill="auto"/>
          </w:tcPr>
          <w:p w14:paraId="3F228083" w14:textId="77777777" w:rsidR="00B05C79" w:rsidRPr="00DA4360" w:rsidRDefault="00B05C79" w:rsidP="003F6F1A">
            <w:pPr>
              <w:spacing w:after="0" w:line="240" w:lineRule="auto"/>
              <w:rPr>
                <w:rFonts w:ascii="Arial" w:hAnsi="Arial" w:cs="Arial"/>
                <w:sz w:val="17"/>
                <w:szCs w:val="17"/>
                <w:lang w:val="en-CA"/>
              </w:rPr>
            </w:pPr>
            <w:r w:rsidRPr="00DA4360">
              <w:rPr>
                <w:rFonts w:ascii="Arial" w:hAnsi="Arial" w:cs="Arial"/>
                <w:sz w:val="17"/>
                <w:szCs w:val="17"/>
                <w:lang w:val="en-CA"/>
              </w:rPr>
              <w:t>Net revenues</w:t>
            </w:r>
          </w:p>
        </w:tc>
        <w:tc>
          <w:tcPr>
            <w:tcW w:w="810" w:type="dxa"/>
            <w:shd w:val="clear" w:color="auto" w:fill="D0CECE"/>
            <w:vAlign w:val="bottom"/>
          </w:tcPr>
          <w:p w14:paraId="29A8F510" w14:textId="77777777" w:rsidR="00B05C79" w:rsidRPr="00DA4360" w:rsidRDefault="00B05C79" w:rsidP="003F6F1A">
            <w:pPr>
              <w:spacing w:after="0" w:line="240" w:lineRule="auto"/>
              <w:jc w:val="right"/>
              <w:rPr>
                <w:rFonts w:ascii="Arial" w:hAnsi="Arial" w:cs="Arial"/>
                <w:b/>
                <w:sz w:val="17"/>
                <w:szCs w:val="17"/>
                <w:lang w:val="en-CA"/>
              </w:rPr>
            </w:pPr>
            <w:r w:rsidRPr="00DA4360">
              <w:rPr>
                <w:rFonts w:ascii="Arial" w:hAnsi="Arial" w:cs="Arial"/>
                <w:b/>
                <w:sz w:val="17"/>
                <w:szCs w:val="17"/>
                <w:lang w:val="en-CA"/>
              </w:rPr>
              <w:t>591</w:t>
            </w:r>
          </w:p>
        </w:tc>
        <w:tc>
          <w:tcPr>
            <w:tcW w:w="720" w:type="dxa"/>
            <w:shd w:val="clear" w:color="auto" w:fill="FFFFFF"/>
            <w:vAlign w:val="bottom"/>
          </w:tcPr>
          <w:p w14:paraId="51CE27A0" w14:textId="77777777" w:rsidR="00B05C79" w:rsidRPr="00DA4360" w:rsidRDefault="00B05C79" w:rsidP="003F6F1A">
            <w:pPr>
              <w:spacing w:after="0" w:line="240" w:lineRule="auto"/>
              <w:jc w:val="right"/>
              <w:rPr>
                <w:rFonts w:ascii="Arial" w:hAnsi="Arial" w:cs="Arial"/>
                <w:sz w:val="17"/>
                <w:szCs w:val="17"/>
                <w:lang w:val="en-CA"/>
              </w:rPr>
            </w:pPr>
            <w:r w:rsidRPr="00DA4360">
              <w:rPr>
                <w:rFonts w:ascii="Arial" w:hAnsi="Arial" w:cs="Arial"/>
                <w:b/>
                <w:sz w:val="17"/>
                <w:szCs w:val="17"/>
                <w:lang w:val="en-CA"/>
              </w:rPr>
              <w:t>153</w:t>
            </w:r>
          </w:p>
        </w:tc>
        <w:tc>
          <w:tcPr>
            <w:tcW w:w="784" w:type="dxa"/>
            <w:shd w:val="clear" w:color="auto" w:fill="auto"/>
            <w:vAlign w:val="bottom"/>
          </w:tcPr>
          <w:p w14:paraId="6CD30388" w14:textId="77777777" w:rsidR="00B05C79" w:rsidRPr="00DA4360" w:rsidRDefault="00B05C79" w:rsidP="003F6F1A">
            <w:pPr>
              <w:spacing w:after="0" w:line="240" w:lineRule="auto"/>
              <w:jc w:val="right"/>
              <w:rPr>
                <w:rFonts w:ascii="Arial" w:hAnsi="Arial" w:cs="Arial"/>
                <w:sz w:val="17"/>
                <w:szCs w:val="17"/>
                <w:lang w:val="en-CA"/>
              </w:rPr>
            </w:pPr>
            <w:r w:rsidRPr="00DA4360">
              <w:rPr>
                <w:rFonts w:ascii="Arial" w:hAnsi="Arial" w:cs="Arial"/>
                <w:sz w:val="17"/>
                <w:szCs w:val="17"/>
                <w:lang w:val="en-CA"/>
              </w:rPr>
              <w:t>197</w:t>
            </w:r>
          </w:p>
        </w:tc>
        <w:tc>
          <w:tcPr>
            <w:tcW w:w="784" w:type="dxa"/>
            <w:shd w:val="clear" w:color="auto" w:fill="auto"/>
            <w:vAlign w:val="bottom"/>
          </w:tcPr>
          <w:p w14:paraId="763B7383" w14:textId="77777777" w:rsidR="00B05C79" w:rsidRPr="00DA4360" w:rsidRDefault="00B05C79" w:rsidP="003F6F1A">
            <w:pPr>
              <w:spacing w:after="0" w:line="240" w:lineRule="auto"/>
              <w:jc w:val="right"/>
              <w:rPr>
                <w:rFonts w:ascii="Arial" w:hAnsi="Arial" w:cs="Arial"/>
                <w:sz w:val="17"/>
                <w:szCs w:val="17"/>
                <w:lang w:val="en-CA"/>
              </w:rPr>
            </w:pPr>
            <w:r w:rsidRPr="00DA4360">
              <w:rPr>
                <w:rFonts w:ascii="Arial" w:hAnsi="Arial" w:cs="Arial"/>
                <w:sz w:val="17"/>
                <w:szCs w:val="17"/>
                <w:lang w:val="en-CA"/>
              </w:rPr>
              <w:t>280</w:t>
            </w:r>
          </w:p>
        </w:tc>
        <w:tc>
          <w:tcPr>
            <w:tcW w:w="772" w:type="dxa"/>
            <w:shd w:val="clear" w:color="auto" w:fill="auto"/>
            <w:vAlign w:val="bottom"/>
          </w:tcPr>
          <w:p w14:paraId="61CB5336" w14:textId="77777777" w:rsidR="00B05C79" w:rsidRPr="00DA4360" w:rsidRDefault="00B05C79" w:rsidP="003F6F1A">
            <w:pPr>
              <w:spacing w:after="0" w:line="240" w:lineRule="auto"/>
              <w:jc w:val="right"/>
              <w:rPr>
                <w:rFonts w:ascii="Arial" w:hAnsi="Arial" w:cs="Arial"/>
                <w:sz w:val="17"/>
                <w:szCs w:val="17"/>
                <w:lang w:val="en-CA"/>
              </w:rPr>
            </w:pPr>
            <w:r w:rsidRPr="00DA4360">
              <w:rPr>
                <w:rFonts w:ascii="Arial" w:hAnsi="Arial" w:cs="Arial"/>
                <w:sz w:val="17"/>
                <w:szCs w:val="17"/>
                <w:lang w:val="en-CA"/>
              </w:rPr>
              <w:t>312</w:t>
            </w:r>
          </w:p>
        </w:tc>
        <w:tc>
          <w:tcPr>
            <w:tcW w:w="720" w:type="dxa"/>
            <w:shd w:val="clear" w:color="auto" w:fill="auto"/>
            <w:vAlign w:val="bottom"/>
          </w:tcPr>
          <w:p w14:paraId="50442ABD" w14:textId="77777777" w:rsidR="00B05C79" w:rsidRPr="00DA4360" w:rsidRDefault="00B05C79" w:rsidP="003F6F1A">
            <w:pPr>
              <w:spacing w:after="0" w:line="240" w:lineRule="auto"/>
              <w:jc w:val="right"/>
              <w:rPr>
                <w:rFonts w:ascii="Arial" w:hAnsi="Arial" w:cs="Arial"/>
                <w:sz w:val="17"/>
                <w:szCs w:val="17"/>
                <w:lang w:val="en-CA"/>
              </w:rPr>
            </w:pPr>
            <w:r w:rsidRPr="00DA4360">
              <w:rPr>
                <w:rFonts w:ascii="Arial" w:hAnsi="Arial" w:cs="Arial"/>
                <w:sz w:val="17"/>
                <w:szCs w:val="17"/>
                <w:lang w:val="en-CA"/>
              </w:rPr>
              <w:t>302</w:t>
            </w:r>
          </w:p>
        </w:tc>
        <w:tc>
          <w:tcPr>
            <w:tcW w:w="720" w:type="dxa"/>
            <w:shd w:val="clear" w:color="auto" w:fill="auto"/>
            <w:vAlign w:val="bottom"/>
          </w:tcPr>
          <w:p w14:paraId="6228729E" w14:textId="77777777" w:rsidR="00B05C79" w:rsidRPr="00DA4360" w:rsidRDefault="00B05C79" w:rsidP="003F6F1A">
            <w:pPr>
              <w:spacing w:after="0" w:line="240" w:lineRule="auto"/>
              <w:jc w:val="right"/>
              <w:rPr>
                <w:rFonts w:ascii="Arial" w:hAnsi="Arial" w:cs="Arial"/>
                <w:sz w:val="17"/>
                <w:szCs w:val="17"/>
                <w:lang w:val="en-CA"/>
              </w:rPr>
            </w:pPr>
            <w:r w:rsidRPr="00DA4360">
              <w:rPr>
                <w:rFonts w:ascii="Arial" w:hAnsi="Arial" w:cs="Arial"/>
                <w:sz w:val="17"/>
                <w:szCs w:val="17"/>
                <w:lang w:val="en-CA"/>
              </w:rPr>
              <w:t>291</w:t>
            </w:r>
          </w:p>
        </w:tc>
        <w:tc>
          <w:tcPr>
            <w:tcW w:w="720" w:type="dxa"/>
            <w:shd w:val="clear" w:color="auto" w:fill="auto"/>
            <w:vAlign w:val="bottom"/>
          </w:tcPr>
          <w:p w14:paraId="44C20F0F" w14:textId="77777777" w:rsidR="00B05C79" w:rsidRPr="00DA4360" w:rsidRDefault="00B05C79" w:rsidP="003F6F1A">
            <w:pPr>
              <w:spacing w:after="0" w:line="240" w:lineRule="auto"/>
              <w:jc w:val="right"/>
              <w:rPr>
                <w:rFonts w:ascii="Arial" w:hAnsi="Arial" w:cs="Arial"/>
                <w:sz w:val="17"/>
                <w:szCs w:val="17"/>
                <w:lang w:val="en-CA"/>
              </w:rPr>
            </w:pPr>
            <w:r w:rsidRPr="00DA4360">
              <w:rPr>
                <w:rFonts w:ascii="Arial" w:hAnsi="Arial" w:cs="Arial"/>
                <w:sz w:val="17"/>
                <w:szCs w:val="17"/>
                <w:lang w:val="en-CA"/>
              </w:rPr>
              <w:t>389</w:t>
            </w:r>
          </w:p>
        </w:tc>
        <w:tc>
          <w:tcPr>
            <w:tcW w:w="810" w:type="dxa"/>
            <w:shd w:val="clear" w:color="auto" w:fill="D0CECE"/>
            <w:vAlign w:val="bottom"/>
          </w:tcPr>
          <w:p w14:paraId="63C88F5C" w14:textId="536192E0" w:rsidR="00B05C79" w:rsidRPr="00DA4360" w:rsidRDefault="00B05C79" w:rsidP="000E01AB">
            <w:pPr>
              <w:spacing w:after="0" w:line="240" w:lineRule="auto"/>
              <w:jc w:val="right"/>
              <w:rPr>
                <w:rFonts w:ascii="Arial" w:hAnsi="Arial" w:cs="Arial"/>
                <w:b/>
                <w:sz w:val="17"/>
                <w:szCs w:val="17"/>
                <w:lang w:val="en-CA"/>
              </w:rPr>
            </w:pPr>
            <w:r w:rsidRPr="00DA4360">
              <w:rPr>
                <w:rFonts w:ascii="Arial" w:hAnsi="Arial" w:cs="Arial"/>
                <w:b/>
                <w:sz w:val="17"/>
                <w:szCs w:val="17"/>
                <w:lang w:val="en-CA"/>
              </w:rPr>
              <w:t>74</w:t>
            </w:r>
            <w:r w:rsidR="00F21869">
              <w:rPr>
                <w:rFonts w:ascii="Arial" w:hAnsi="Arial" w:cs="Arial"/>
                <w:b/>
                <w:sz w:val="17"/>
                <w:szCs w:val="17"/>
                <w:lang w:val="en-CA"/>
              </w:rPr>
              <w:t>4</w:t>
            </w:r>
          </w:p>
        </w:tc>
        <w:tc>
          <w:tcPr>
            <w:tcW w:w="810" w:type="dxa"/>
            <w:shd w:val="clear" w:color="auto" w:fill="auto"/>
            <w:vAlign w:val="bottom"/>
          </w:tcPr>
          <w:p w14:paraId="20309F41" w14:textId="2006E475" w:rsidR="00B05C79" w:rsidRPr="00DA4360" w:rsidRDefault="00B05C79" w:rsidP="000E01AB">
            <w:pPr>
              <w:spacing w:after="0" w:line="240" w:lineRule="auto"/>
              <w:jc w:val="right"/>
              <w:rPr>
                <w:rFonts w:ascii="Arial" w:hAnsi="Arial" w:cs="Arial"/>
                <w:sz w:val="17"/>
                <w:szCs w:val="17"/>
                <w:lang w:val="en-CA"/>
              </w:rPr>
            </w:pPr>
            <w:r w:rsidRPr="00DA4360">
              <w:rPr>
                <w:rFonts w:ascii="Arial" w:hAnsi="Arial" w:cs="Arial"/>
                <w:sz w:val="17"/>
                <w:szCs w:val="17"/>
                <w:lang w:val="en-CA"/>
              </w:rPr>
              <w:t>61</w:t>
            </w:r>
            <w:r w:rsidR="00473017">
              <w:rPr>
                <w:rFonts w:ascii="Arial" w:hAnsi="Arial" w:cs="Arial"/>
                <w:sz w:val="17"/>
                <w:szCs w:val="17"/>
                <w:lang w:val="en-CA"/>
              </w:rPr>
              <w:t>5</w:t>
            </w:r>
          </w:p>
        </w:tc>
      </w:tr>
      <w:tr w:rsidR="003E0848" w:rsidRPr="00DA4360" w14:paraId="323CA47E" w14:textId="77777777" w:rsidTr="004A1755">
        <w:tc>
          <w:tcPr>
            <w:tcW w:w="2154" w:type="dxa"/>
            <w:shd w:val="clear" w:color="auto" w:fill="auto"/>
          </w:tcPr>
          <w:p w14:paraId="16E8A15D" w14:textId="77777777" w:rsidR="00B05C79" w:rsidRPr="00DA4360" w:rsidRDefault="00B05C79" w:rsidP="003F6F1A">
            <w:pPr>
              <w:spacing w:after="0" w:line="240" w:lineRule="auto"/>
              <w:rPr>
                <w:rFonts w:ascii="Arial" w:hAnsi="Arial" w:cs="Arial"/>
                <w:sz w:val="17"/>
                <w:szCs w:val="17"/>
                <w:lang w:val="en-CA"/>
              </w:rPr>
            </w:pPr>
            <w:r w:rsidRPr="00DA4360">
              <w:rPr>
                <w:rFonts w:ascii="Arial" w:hAnsi="Arial" w:cs="Arial"/>
                <w:sz w:val="17"/>
                <w:szCs w:val="17"/>
                <w:lang w:val="en-CA"/>
              </w:rPr>
              <w:t>Income (loss)</w:t>
            </w:r>
          </w:p>
        </w:tc>
        <w:tc>
          <w:tcPr>
            <w:tcW w:w="810" w:type="dxa"/>
            <w:shd w:val="clear" w:color="auto" w:fill="D0CECE"/>
            <w:vAlign w:val="bottom"/>
          </w:tcPr>
          <w:p w14:paraId="75831B3D" w14:textId="4E34BDAC" w:rsidR="00B05C79" w:rsidRPr="00DA4360" w:rsidRDefault="00B05C79" w:rsidP="003F6F1A">
            <w:pPr>
              <w:spacing w:after="0" w:line="240" w:lineRule="auto"/>
              <w:jc w:val="right"/>
              <w:rPr>
                <w:rFonts w:ascii="Arial" w:hAnsi="Arial" w:cs="Arial"/>
                <w:b/>
                <w:sz w:val="17"/>
                <w:szCs w:val="17"/>
                <w:lang w:val="en-CA"/>
              </w:rPr>
            </w:pPr>
            <w:r w:rsidRPr="00DA4360">
              <w:rPr>
                <w:rFonts w:ascii="Arial" w:hAnsi="Arial" w:cs="Arial"/>
                <w:b/>
                <w:sz w:val="17"/>
                <w:szCs w:val="17"/>
                <w:lang w:val="en-CA"/>
              </w:rPr>
              <w:t>(1</w:t>
            </w:r>
            <w:r w:rsidR="00A95100" w:rsidRPr="00DA4360">
              <w:rPr>
                <w:rFonts w:ascii="Arial" w:hAnsi="Arial" w:cs="Arial"/>
                <w:b/>
                <w:sz w:val="17"/>
                <w:szCs w:val="17"/>
                <w:lang w:val="en-CA"/>
              </w:rPr>
              <w:t>,</w:t>
            </w:r>
            <w:r w:rsidR="00CD59DC" w:rsidRPr="00DA4360">
              <w:rPr>
                <w:rFonts w:ascii="Arial" w:hAnsi="Arial" w:cs="Arial"/>
                <w:b/>
                <w:sz w:val="17"/>
                <w:szCs w:val="17"/>
                <w:lang w:val="en-CA"/>
              </w:rPr>
              <w:t>45</w:t>
            </w:r>
            <w:r w:rsidR="00473017">
              <w:rPr>
                <w:rFonts w:ascii="Arial" w:hAnsi="Arial" w:cs="Arial"/>
                <w:b/>
                <w:sz w:val="17"/>
                <w:szCs w:val="17"/>
                <w:lang w:val="en-CA"/>
              </w:rPr>
              <w:t>7</w:t>
            </w:r>
            <w:r w:rsidRPr="00DA4360">
              <w:rPr>
                <w:rFonts w:ascii="Arial" w:hAnsi="Arial" w:cs="Arial"/>
                <w:b/>
                <w:sz w:val="17"/>
                <w:szCs w:val="17"/>
                <w:lang w:val="en-CA"/>
              </w:rPr>
              <w:t>)</w:t>
            </w:r>
          </w:p>
        </w:tc>
        <w:tc>
          <w:tcPr>
            <w:tcW w:w="720" w:type="dxa"/>
            <w:shd w:val="clear" w:color="auto" w:fill="FFFFFF"/>
            <w:vAlign w:val="bottom"/>
          </w:tcPr>
          <w:p w14:paraId="41B8E4AD" w14:textId="77777777" w:rsidR="00B05C79" w:rsidRPr="00DA4360" w:rsidRDefault="00B05C79" w:rsidP="003F6F1A">
            <w:pPr>
              <w:spacing w:after="0" w:line="240" w:lineRule="auto"/>
              <w:jc w:val="right"/>
              <w:rPr>
                <w:rFonts w:ascii="Arial" w:hAnsi="Arial" w:cs="Arial"/>
                <w:sz w:val="17"/>
                <w:szCs w:val="17"/>
                <w:lang w:val="en-CA"/>
              </w:rPr>
            </w:pPr>
            <w:r w:rsidRPr="00DA4360">
              <w:rPr>
                <w:rFonts w:ascii="Arial" w:hAnsi="Arial" w:cs="Arial"/>
                <w:b/>
                <w:sz w:val="17"/>
                <w:szCs w:val="17"/>
                <w:lang w:val="en-CA"/>
              </w:rPr>
              <w:t>(399)</w:t>
            </w:r>
          </w:p>
        </w:tc>
        <w:tc>
          <w:tcPr>
            <w:tcW w:w="784" w:type="dxa"/>
            <w:shd w:val="clear" w:color="auto" w:fill="auto"/>
            <w:vAlign w:val="bottom"/>
          </w:tcPr>
          <w:p w14:paraId="6D29A1E1" w14:textId="77777777" w:rsidR="00B05C79" w:rsidRPr="00DA4360" w:rsidRDefault="00B05C79" w:rsidP="003F6F1A">
            <w:pPr>
              <w:spacing w:after="0" w:line="240" w:lineRule="auto"/>
              <w:jc w:val="right"/>
              <w:rPr>
                <w:rFonts w:ascii="Arial" w:hAnsi="Arial" w:cs="Arial"/>
                <w:sz w:val="17"/>
                <w:szCs w:val="17"/>
                <w:lang w:val="en-CA"/>
              </w:rPr>
            </w:pPr>
            <w:r w:rsidRPr="00DA4360">
              <w:rPr>
                <w:rFonts w:ascii="Arial" w:hAnsi="Arial" w:cs="Arial"/>
                <w:sz w:val="17"/>
                <w:szCs w:val="17"/>
                <w:lang w:val="en-CA"/>
              </w:rPr>
              <w:t>1,343</w:t>
            </w:r>
          </w:p>
        </w:tc>
        <w:tc>
          <w:tcPr>
            <w:tcW w:w="784" w:type="dxa"/>
            <w:shd w:val="clear" w:color="auto" w:fill="auto"/>
            <w:vAlign w:val="bottom"/>
          </w:tcPr>
          <w:p w14:paraId="71341731" w14:textId="77777777" w:rsidR="00B05C79" w:rsidRPr="00DA4360" w:rsidRDefault="00B05C79" w:rsidP="003F6F1A">
            <w:pPr>
              <w:spacing w:after="0" w:line="240" w:lineRule="auto"/>
              <w:jc w:val="right"/>
              <w:rPr>
                <w:rFonts w:ascii="Arial" w:hAnsi="Arial" w:cs="Arial"/>
                <w:sz w:val="17"/>
                <w:szCs w:val="17"/>
                <w:lang w:val="en-CA"/>
              </w:rPr>
            </w:pPr>
            <w:r w:rsidRPr="00DA4360">
              <w:rPr>
                <w:rFonts w:ascii="Arial" w:hAnsi="Arial" w:cs="Arial"/>
                <w:sz w:val="17"/>
                <w:szCs w:val="17"/>
                <w:lang w:val="en-CA"/>
              </w:rPr>
              <w:t>(3</w:t>
            </w:r>
            <w:r w:rsidR="00BD2307" w:rsidRPr="00DA4360">
              <w:rPr>
                <w:rFonts w:ascii="Arial" w:hAnsi="Arial" w:cs="Arial"/>
                <w:sz w:val="17"/>
                <w:szCs w:val="17"/>
                <w:lang w:val="en-CA"/>
              </w:rPr>
              <w:t>79</w:t>
            </w:r>
            <w:r w:rsidRPr="00DA4360">
              <w:rPr>
                <w:rFonts w:ascii="Arial" w:hAnsi="Arial" w:cs="Arial"/>
                <w:sz w:val="17"/>
                <w:szCs w:val="17"/>
                <w:lang w:val="en-CA"/>
              </w:rPr>
              <w:t>)</w:t>
            </w:r>
          </w:p>
        </w:tc>
        <w:tc>
          <w:tcPr>
            <w:tcW w:w="772" w:type="dxa"/>
            <w:shd w:val="clear" w:color="auto" w:fill="auto"/>
            <w:vAlign w:val="bottom"/>
          </w:tcPr>
          <w:p w14:paraId="766AA6B6" w14:textId="77777777" w:rsidR="00B05C79" w:rsidRPr="00DA4360" w:rsidRDefault="00B05C79" w:rsidP="003F6F1A">
            <w:pPr>
              <w:spacing w:after="0" w:line="240" w:lineRule="auto"/>
              <w:jc w:val="right"/>
              <w:rPr>
                <w:rFonts w:ascii="Arial" w:hAnsi="Arial" w:cs="Arial"/>
                <w:sz w:val="17"/>
                <w:szCs w:val="17"/>
                <w:lang w:val="en-CA"/>
              </w:rPr>
            </w:pPr>
            <w:r w:rsidRPr="00DA4360">
              <w:rPr>
                <w:rFonts w:ascii="Arial" w:hAnsi="Arial" w:cs="Arial"/>
                <w:sz w:val="17"/>
                <w:szCs w:val="17"/>
                <w:lang w:val="en-CA"/>
              </w:rPr>
              <w:t>(</w:t>
            </w:r>
            <w:r w:rsidR="00BD2307" w:rsidRPr="00DA4360">
              <w:rPr>
                <w:rFonts w:ascii="Arial" w:hAnsi="Arial" w:cs="Arial"/>
                <w:sz w:val="17"/>
                <w:szCs w:val="17"/>
                <w:lang w:val="en-CA"/>
              </w:rPr>
              <w:t>3,915</w:t>
            </w:r>
            <w:r w:rsidRPr="00DA4360">
              <w:rPr>
                <w:rFonts w:ascii="Arial" w:hAnsi="Arial" w:cs="Arial"/>
                <w:sz w:val="17"/>
                <w:szCs w:val="17"/>
                <w:lang w:val="en-CA"/>
              </w:rPr>
              <w:t>)</w:t>
            </w:r>
          </w:p>
        </w:tc>
        <w:tc>
          <w:tcPr>
            <w:tcW w:w="720" w:type="dxa"/>
            <w:shd w:val="clear" w:color="auto" w:fill="auto"/>
            <w:vAlign w:val="bottom"/>
          </w:tcPr>
          <w:p w14:paraId="748A9451" w14:textId="77777777" w:rsidR="00B05C79" w:rsidRPr="00DA4360" w:rsidRDefault="00B05C79" w:rsidP="003F6F1A">
            <w:pPr>
              <w:spacing w:after="0" w:line="240" w:lineRule="auto"/>
              <w:jc w:val="right"/>
              <w:rPr>
                <w:rFonts w:ascii="Arial" w:hAnsi="Arial" w:cs="Arial"/>
                <w:sz w:val="17"/>
                <w:szCs w:val="17"/>
                <w:lang w:val="en-CA"/>
              </w:rPr>
            </w:pPr>
            <w:r w:rsidRPr="00DA4360">
              <w:rPr>
                <w:rFonts w:ascii="Arial" w:hAnsi="Arial" w:cs="Arial"/>
                <w:sz w:val="17"/>
                <w:szCs w:val="17"/>
                <w:lang w:val="en-CA"/>
              </w:rPr>
              <w:t>(839)</w:t>
            </w:r>
          </w:p>
        </w:tc>
        <w:tc>
          <w:tcPr>
            <w:tcW w:w="720" w:type="dxa"/>
            <w:shd w:val="clear" w:color="auto" w:fill="auto"/>
            <w:vAlign w:val="bottom"/>
          </w:tcPr>
          <w:p w14:paraId="0368DF8A" w14:textId="77777777" w:rsidR="00B05C79" w:rsidRPr="00DA4360" w:rsidRDefault="00B05C79" w:rsidP="003F6F1A">
            <w:pPr>
              <w:spacing w:after="0" w:line="240" w:lineRule="auto"/>
              <w:jc w:val="right"/>
              <w:rPr>
                <w:rFonts w:ascii="Arial" w:hAnsi="Arial" w:cs="Arial"/>
                <w:sz w:val="17"/>
                <w:szCs w:val="17"/>
                <w:lang w:val="en-CA"/>
              </w:rPr>
            </w:pPr>
            <w:r w:rsidRPr="00DA4360">
              <w:rPr>
                <w:rFonts w:ascii="Arial" w:hAnsi="Arial" w:cs="Arial"/>
                <w:sz w:val="17"/>
                <w:szCs w:val="17"/>
                <w:lang w:val="en-CA"/>
              </w:rPr>
              <w:t>(815)</w:t>
            </w:r>
          </w:p>
        </w:tc>
        <w:tc>
          <w:tcPr>
            <w:tcW w:w="720" w:type="dxa"/>
            <w:shd w:val="clear" w:color="auto" w:fill="auto"/>
            <w:vAlign w:val="bottom"/>
          </w:tcPr>
          <w:p w14:paraId="69546B33" w14:textId="77777777" w:rsidR="00B05C79" w:rsidRPr="00DA4360" w:rsidRDefault="00B05C79" w:rsidP="003F6F1A">
            <w:pPr>
              <w:spacing w:after="0" w:line="240" w:lineRule="auto"/>
              <w:jc w:val="right"/>
              <w:rPr>
                <w:rFonts w:ascii="Arial" w:hAnsi="Arial" w:cs="Arial"/>
                <w:sz w:val="17"/>
                <w:szCs w:val="17"/>
                <w:lang w:val="en-CA"/>
              </w:rPr>
            </w:pPr>
            <w:r w:rsidRPr="00DA4360">
              <w:rPr>
                <w:rFonts w:ascii="Arial" w:hAnsi="Arial" w:cs="Arial"/>
                <w:sz w:val="17"/>
                <w:szCs w:val="17"/>
                <w:lang w:val="en-CA"/>
              </w:rPr>
              <w:t>(681)</w:t>
            </w:r>
          </w:p>
        </w:tc>
        <w:tc>
          <w:tcPr>
            <w:tcW w:w="810" w:type="dxa"/>
            <w:shd w:val="clear" w:color="auto" w:fill="D0CECE"/>
            <w:vAlign w:val="bottom"/>
          </w:tcPr>
          <w:p w14:paraId="66A17AF6" w14:textId="77777777" w:rsidR="00B05C79" w:rsidRPr="00DA4360" w:rsidRDefault="00B05C79" w:rsidP="000E01AB">
            <w:pPr>
              <w:spacing w:after="0" w:line="240" w:lineRule="auto"/>
              <w:jc w:val="right"/>
              <w:rPr>
                <w:rFonts w:ascii="Arial" w:hAnsi="Arial" w:cs="Arial"/>
                <w:b/>
                <w:sz w:val="17"/>
                <w:szCs w:val="17"/>
                <w:lang w:val="en-CA"/>
              </w:rPr>
            </w:pPr>
            <w:r w:rsidRPr="00DA4360">
              <w:rPr>
                <w:rFonts w:ascii="Arial" w:hAnsi="Arial" w:cs="Arial"/>
                <w:b/>
                <w:sz w:val="17"/>
                <w:szCs w:val="17"/>
                <w:lang w:val="en-CA"/>
              </w:rPr>
              <w:t>(</w:t>
            </w:r>
            <w:r w:rsidR="001A480E" w:rsidRPr="00DA4360">
              <w:rPr>
                <w:rFonts w:ascii="Arial" w:hAnsi="Arial" w:cs="Arial"/>
                <w:b/>
                <w:sz w:val="17"/>
                <w:szCs w:val="17"/>
                <w:lang w:val="en-CA"/>
              </w:rPr>
              <w:t>1,</w:t>
            </w:r>
            <w:r w:rsidR="00CD59DC" w:rsidRPr="00DA4360">
              <w:rPr>
                <w:rFonts w:ascii="Arial" w:hAnsi="Arial" w:cs="Arial"/>
                <w:b/>
                <w:sz w:val="17"/>
                <w:szCs w:val="17"/>
                <w:lang w:val="en-CA"/>
              </w:rPr>
              <w:t>85</w:t>
            </w:r>
            <w:r w:rsidR="00D3689F" w:rsidRPr="00DA4360">
              <w:rPr>
                <w:rFonts w:ascii="Arial" w:hAnsi="Arial" w:cs="Arial"/>
                <w:b/>
                <w:sz w:val="17"/>
                <w:szCs w:val="17"/>
                <w:lang w:val="en-CA"/>
              </w:rPr>
              <w:t>5</w:t>
            </w:r>
            <w:r w:rsidRPr="00DA4360">
              <w:rPr>
                <w:rFonts w:ascii="Arial" w:hAnsi="Arial" w:cs="Arial"/>
                <w:b/>
                <w:sz w:val="17"/>
                <w:szCs w:val="17"/>
                <w:lang w:val="en-CA"/>
              </w:rPr>
              <w:t>)</w:t>
            </w:r>
          </w:p>
        </w:tc>
        <w:tc>
          <w:tcPr>
            <w:tcW w:w="810" w:type="dxa"/>
            <w:shd w:val="clear" w:color="auto" w:fill="auto"/>
            <w:vAlign w:val="bottom"/>
          </w:tcPr>
          <w:p w14:paraId="5BF71DBC" w14:textId="77777777" w:rsidR="00B05C79" w:rsidRPr="00DA4360" w:rsidRDefault="00B05C79" w:rsidP="000E01AB">
            <w:pPr>
              <w:spacing w:after="0" w:line="240" w:lineRule="auto"/>
              <w:jc w:val="right"/>
              <w:rPr>
                <w:rFonts w:ascii="Arial" w:hAnsi="Arial" w:cs="Arial"/>
                <w:sz w:val="17"/>
                <w:szCs w:val="17"/>
                <w:lang w:val="en-CA"/>
              </w:rPr>
            </w:pPr>
            <w:r w:rsidRPr="00DA4360">
              <w:rPr>
                <w:rFonts w:ascii="Arial" w:hAnsi="Arial" w:cs="Arial"/>
                <w:sz w:val="17"/>
                <w:szCs w:val="17"/>
                <w:lang w:val="en-CA"/>
              </w:rPr>
              <w:t>(</w:t>
            </w:r>
            <w:r w:rsidR="00BD2307" w:rsidRPr="00DA4360">
              <w:rPr>
                <w:rFonts w:ascii="Arial" w:hAnsi="Arial" w:cs="Arial"/>
                <w:sz w:val="17"/>
                <w:szCs w:val="17"/>
                <w:lang w:val="en-CA"/>
              </w:rPr>
              <w:t>4,754</w:t>
            </w:r>
            <w:r w:rsidRPr="00DA4360">
              <w:rPr>
                <w:rFonts w:ascii="Arial" w:hAnsi="Arial" w:cs="Arial"/>
                <w:sz w:val="17"/>
                <w:szCs w:val="17"/>
                <w:lang w:val="en-CA"/>
              </w:rPr>
              <w:t>)</w:t>
            </w:r>
          </w:p>
        </w:tc>
      </w:tr>
      <w:tr w:rsidR="003E0848" w:rsidRPr="00DA4360" w14:paraId="6AA4BFB4" w14:textId="77777777" w:rsidTr="004A1755">
        <w:tc>
          <w:tcPr>
            <w:tcW w:w="2154" w:type="dxa"/>
            <w:shd w:val="clear" w:color="auto" w:fill="auto"/>
          </w:tcPr>
          <w:p w14:paraId="5B7F3E87" w14:textId="77777777" w:rsidR="00B05C79" w:rsidRPr="00DA4360" w:rsidRDefault="00B05C79" w:rsidP="003F6F1A">
            <w:pPr>
              <w:spacing w:after="0" w:line="240" w:lineRule="auto"/>
              <w:rPr>
                <w:rFonts w:ascii="Arial" w:hAnsi="Arial" w:cs="Arial"/>
                <w:sz w:val="17"/>
                <w:szCs w:val="17"/>
                <w:lang w:val="en-CA"/>
              </w:rPr>
            </w:pPr>
            <w:r w:rsidRPr="00DA4360">
              <w:rPr>
                <w:rFonts w:ascii="Arial" w:hAnsi="Arial" w:cs="Arial"/>
                <w:sz w:val="17"/>
                <w:szCs w:val="17"/>
                <w:lang w:val="en-CA"/>
              </w:rPr>
              <w:t>Income (loss) per share:</w:t>
            </w:r>
          </w:p>
        </w:tc>
        <w:tc>
          <w:tcPr>
            <w:tcW w:w="810" w:type="dxa"/>
            <w:shd w:val="clear" w:color="auto" w:fill="D0CECE"/>
            <w:vAlign w:val="bottom"/>
          </w:tcPr>
          <w:p w14:paraId="3B8EA932" w14:textId="77777777" w:rsidR="00B05C79" w:rsidRPr="00DA4360" w:rsidRDefault="00B05C79" w:rsidP="003F6F1A">
            <w:pPr>
              <w:spacing w:after="0" w:line="240" w:lineRule="auto"/>
              <w:jc w:val="right"/>
              <w:rPr>
                <w:rFonts w:ascii="Arial" w:hAnsi="Arial" w:cs="Arial"/>
                <w:b/>
                <w:sz w:val="17"/>
                <w:szCs w:val="17"/>
                <w:lang w:val="en-CA"/>
              </w:rPr>
            </w:pPr>
          </w:p>
        </w:tc>
        <w:tc>
          <w:tcPr>
            <w:tcW w:w="720" w:type="dxa"/>
            <w:shd w:val="clear" w:color="auto" w:fill="FFFFFF"/>
            <w:vAlign w:val="bottom"/>
          </w:tcPr>
          <w:p w14:paraId="6AFDA912" w14:textId="77777777" w:rsidR="00B05C79" w:rsidRPr="00DA4360" w:rsidRDefault="00B05C79" w:rsidP="003F6F1A">
            <w:pPr>
              <w:spacing w:after="0" w:line="240" w:lineRule="auto"/>
              <w:jc w:val="right"/>
              <w:rPr>
                <w:rFonts w:ascii="Arial" w:hAnsi="Arial" w:cs="Arial"/>
                <w:sz w:val="17"/>
                <w:szCs w:val="17"/>
                <w:lang w:val="en-CA"/>
              </w:rPr>
            </w:pPr>
          </w:p>
        </w:tc>
        <w:tc>
          <w:tcPr>
            <w:tcW w:w="784" w:type="dxa"/>
            <w:shd w:val="clear" w:color="auto" w:fill="auto"/>
            <w:vAlign w:val="bottom"/>
          </w:tcPr>
          <w:p w14:paraId="204C0370" w14:textId="77777777" w:rsidR="00B05C79" w:rsidRPr="00DA4360" w:rsidRDefault="00B05C79" w:rsidP="003F6F1A">
            <w:pPr>
              <w:spacing w:after="0" w:line="240" w:lineRule="auto"/>
              <w:jc w:val="right"/>
              <w:rPr>
                <w:rFonts w:ascii="Arial" w:hAnsi="Arial" w:cs="Arial"/>
                <w:sz w:val="17"/>
                <w:szCs w:val="17"/>
                <w:lang w:val="en-CA"/>
              </w:rPr>
            </w:pPr>
          </w:p>
        </w:tc>
        <w:tc>
          <w:tcPr>
            <w:tcW w:w="784" w:type="dxa"/>
            <w:shd w:val="clear" w:color="auto" w:fill="auto"/>
            <w:vAlign w:val="bottom"/>
          </w:tcPr>
          <w:p w14:paraId="1F2CA8BF" w14:textId="77777777" w:rsidR="00B05C79" w:rsidRPr="00DA4360" w:rsidRDefault="00B05C79" w:rsidP="003F6F1A">
            <w:pPr>
              <w:spacing w:after="0" w:line="240" w:lineRule="auto"/>
              <w:jc w:val="right"/>
              <w:rPr>
                <w:rFonts w:ascii="Arial" w:hAnsi="Arial" w:cs="Arial"/>
                <w:sz w:val="17"/>
                <w:szCs w:val="17"/>
                <w:lang w:val="en-CA"/>
              </w:rPr>
            </w:pPr>
          </w:p>
        </w:tc>
        <w:tc>
          <w:tcPr>
            <w:tcW w:w="772" w:type="dxa"/>
            <w:shd w:val="clear" w:color="auto" w:fill="auto"/>
            <w:vAlign w:val="bottom"/>
          </w:tcPr>
          <w:p w14:paraId="0F525EB0" w14:textId="77777777" w:rsidR="00B05C79" w:rsidRPr="00DA4360" w:rsidRDefault="00B05C79" w:rsidP="003F6F1A">
            <w:pPr>
              <w:spacing w:after="0" w:line="240" w:lineRule="auto"/>
              <w:jc w:val="right"/>
              <w:rPr>
                <w:rFonts w:ascii="Arial" w:hAnsi="Arial" w:cs="Arial"/>
                <w:sz w:val="17"/>
                <w:szCs w:val="17"/>
                <w:lang w:val="en-CA"/>
              </w:rPr>
            </w:pPr>
          </w:p>
        </w:tc>
        <w:tc>
          <w:tcPr>
            <w:tcW w:w="720" w:type="dxa"/>
            <w:shd w:val="clear" w:color="auto" w:fill="auto"/>
            <w:vAlign w:val="bottom"/>
          </w:tcPr>
          <w:p w14:paraId="66073B5C" w14:textId="77777777" w:rsidR="00B05C79" w:rsidRPr="00DA4360" w:rsidRDefault="00B05C79" w:rsidP="003F6F1A">
            <w:pPr>
              <w:spacing w:after="0" w:line="240" w:lineRule="auto"/>
              <w:jc w:val="right"/>
              <w:rPr>
                <w:rFonts w:ascii="Arial" w:hAnsi="Arial" w:cs="Arial"/>
                <w:sz w:val="17"/>
                <w:szCs w:val="17"/>
                <w:lang w:val="en-CA"/>
              </w:rPr>
            </w:pPr>
          </w:p>
        </w:tc>
        <w:tc>
          <w:tcPr>
            <w:tcW w:w="720" w:type="dxa"/>
            <w:shd w:val="clear" w:color="auto" w:fill="auto"/>
            <w:vAlign w:val="bottom"/>
          </w:tcPr>
          <w:p w14:paraId="3E7D25D1" w14:textId="77777777" w:rsidR="00B05C79" w:rsidRPr="00DA4360" w:rsidRDefault="00B05C79" w:rsidP="003F6F1A">
            <w:pPr>
              <w:spacing w:after="0" w:line="240" w:lineRule="auto"/>
              <w:jc w:val="right"/>
              <w:rPr>
                <w:rFonts w:ascii="Arial" w:hAnsi="Arial" w:cs="Arial"/>
                <w:sz w:val="17"/>
                <w:szCs w:val="17"/>
                <w:lang w:val="en-CA"/>
              </w:rPr>
            </w:pPr>
          </w:p>
        </w:tc>
        <w:tc>
          <w:tcPr>
            <w:tcW w:w="720" w:type="dxa"/>
            <w:shd w:val="clear" w:color="auto" w:fill="auto"/>
            <w:vAlign w:val="bottom"/>
          </w:tcPr>
          <w:p w14:paraId="6220A442" w14:textId="77777777" w:rsidR="00B05C79" w:rsidRPr="00DA4360" w:rsidRDefault="00B05C79" w:rsidP="003F6F1A">
            <w:pPr>
              <w:spacing w:after="0" w:line="240" w:lineRule="auto"/>
              <w:jc w:val="right"/>
              <w:rPr>
                <w:rFonts w:ascii="Arial" w:hAnsi="Arial" w:cs="Arial"/>
                <w:sz w:val="17"/>
                <w:szCs w:val="17"/>
                <w:lang w:val="en-CA"/>
              </w:rPr>
            </w:pPr>
          </w:p>
        </w:tc>
        <w:tc>
          <w:tcPr>
            <w:tcW w:w="810" w:type="dxa"/>
            <w:shd w:val="clear" w:color="auto" w:fill="D0CECE"/>
            <w:vAlign w:val="bottom"/>
          </w:tcPr>
          <w:p w14:paraId="194A4FF2" w14:textId="77777777" w:rsidR="00B05C79" w:rsidRPr="00DA4360" w:rsidRDefault="00B05C79" w:rsidP="000E01AB">
            <w:pPr>
              <w:spacing w:after="0" w:line="240" w:lineRule="auto"/>
              <w:jc w:val="right"/>
              <w:rPr>
                <w:rFonts w:ascii="Arial" w:hAnsi="Arial" w:cs="Arial"/>
                <w:b/>
                <w:sz w:val="17"/>
                <w:szCs w:val="17"/>
                <w:lang w:val="en-CA"/>
              </w:rPr>
            </w:pPr>
          </w:p>
        </w:tc>
        <w:tc>
          <w:tcPr>
            <w:tcW w:w="810" w:type="dxa"/>
            <w:shd w:val="clear" w:color="auto" w:fill="auto"/>
            <w:vAlign w:val="bottom"/>
          </w:tcPr>
          <w:p w14:paraId="52E9B3D4" w14:textId="77777777" w:rsidR="00B05C79" w:rsidRPr="00DA4360" w:rsidRDefault="00B05C79" w:rsidP="000E01AB">
            <w:pPr>
              <w:spacing w:after="0" w:line="240" w:lineRule="auto"/>
              <w:jc w:val="right"/>
              <w:rPr>
                <w:rFonts w:ascii="Arial" w:hAnsi="Arial" w:cs="Arial"/>
                <w:sz w:val="17"/>
                <w:szCs w:val="17"/>
                <w:lang w:val="en-CA"/>
              </w:rPr>
            </w:pPr>
          </w:p>
        </w:tc>
      </w:tr>
      <w:tr w:rsidR="003E0848" w:rsidRPr="00DA4360" w14:paraId="0D647661" w14:textId="77777777" w:rsidTr="004A1755">
        <w:tc>
          <w:tcPr>
            <w:tcW w:w="2154" w:type="dxa"/>
            <w:shd w:val="clear" w:color="auto" w:fill="auto"/>
          </w:tcPr>
          <w:p w14:paraId="4D5B479D" w14:textId="77777777" w:rsidR="00B05C79" w:rsidRPr="00DA4360" w:rsidRDefault="00BD2307" w:rsidP="003F6F1A">
            <w:pPr>
              <w:spacing w:after="0" w:line="240" w:lineRule="auto"/>
              <w:rPr>
                <w:rFonts w:ascii="Arial" w:hAnsi="Arial" w:cs="Arial"/>
                <w:sz w:val="17"/>
                <w:szCs w:val="17"/>
                <w:lang w:val="en-CA"/>
              </w:rPr>
            </w:pPr>
            <w:r w:rsidRPr="00DA4360">
              <w:rPr>
                <w:rFonts w:ascii="Arial" w:hAnsi="Arial" w:cs="Arial"/>
                <w:sz w:val="17"/>
                <w:szCs w:val="17"/>
                <w:lang w:val="en-CA"/>
              </w:rPr>
              <w:t xml:space="preserve">   </w:t>
            </w:r>
            <w:r w:rsidR="00B05C79" w:rsidRPr="00DA4360">
              <w:rPr>
                <w:rFonts w:ascii="Arial" w:hAnsi="Arial" w:cs="Arial"/>
                <w:sz w:val="17"/>
                <w:szCs w:val="17"/>
                <w:lang w:val="en-CA"/>
              </w:rPr>
              <w:t>Basic</w:t>
            </w:r>
          </w:p>
        </w:tc>
        <w:tc>
          <w:tcPr>
            <w:tcW w:w="810" w:type="dxa"/>
            <w:shd w:val="clear" w:color="auto" w:fill="D0CECE"/>
            <w:vAlign w:val="bottom"/>
          </w:tcPr>
          <w:p w14:paraId="41D7291A" w14:textId="77777777" w:rsidR="00B05C79" w:rsidRPr="00DA4360" w:rsidRDefault="00B05C79" w:rsidP="003F6F1A">
            <w:pPr>
              <w:spacing w:after="0" w:line="240" w:lineRule="auto"/>
              <w:jc w:val="right"/>
              <w:rPr>
                <w:rFonts w:ascii="Arial" w:hAnsi="Arial" w:cs="Arial"/>
                <w:b/>
                <w:sz w:val="17"/>
                <w:szCs w:val="17"/>
                <w:lang w:val="en-CA"/>
              </w:rPr>
            </w:pPr>
            <w:r w:rsidRPr="00DA4360">
              <w:rPr>
                <w:rFonts w:ascii="Arial" w:hAnsi="Arial" w:cs="Arial"/>
                <w:b/>
                <w:sz w:val="17"/>
                <w:szCs w:val="17"/>
                <w:lang w:val="en-CA"/>
              </w:rPr>
              <w:t>(0.0</w:t>
            </w:r>
            <w:r w:rsidR="00A95100" w:rsidRPr="00DA4360">
              <w:rPr>
                <w:rFonts w:ascii="Arial" w:hAnsi="Arial" w:cs="Arial"/>
                <w:b/>
                <w:sz w:val="17"/>
                <w:szCs w:val="17"/>
                <w:lang w:val="en-CA"/>
              </w:rPr>
              <w:t>1</w:t>
            </w:r>
            <w:r w:rsidRPr="00DA4360">
              <w:rPr>
                <w:rFonts w:ascii="Arial" w:hAnsi="Arial" w:cs="Arial"/>
                <w:b/>
                <w:sz w:val="17"/>
                <w:szCs w:val="17"/>
                <w:lang w:val="en-CA"/>
              </w:rPr>
              <w:t>)</w:t>
            </w:r>
          </w:p>
        </w:tc>
        <w:tc>
          <w:tcPr>
            <w:tcW w:w="720" w:type="dxa"/>
            <w:shd w:val="clear" w:color="auto" w:fill="FFFFFF"/>
            <w:vAlign w:val="bottom"/>
          </w:tcPr>
          <w:p w14:paraId="7650A6D4" w14:textId="77777777" w:rsidR="00B05C79" w:rsidRPr="00DA4360" w:rsidRDefault="00B05C79" w:rsidP="003F6F1A">
            <w:pPr>
              <w:spacing w:after="0" w:line="240" w:lineRule="auto"/>
              <w:jc w:val="right"/>
              <w:rPr>
                <w:rFonts w:ascii="Arial" w:hAnsi="Arial" w:cs="Arial"/>
                <w:sz w:val="17"/>
                <w:szCs w:val="17"/>
                <w:lang w:val="en-CA"/>
              </w:rPr>
            </w:pPr>
            <w:r w:rsidRPr="00DA4360">
              <w:rPr>
                <w:rFonts w:ascii="Arial" w:hAnsi="Arial" w:cs="Arial"/>
                <w:b/>
                <w:sz w:val="17"/>
                <w:szCs w:val="17"/>
                <w:lang w:val="en-CA"/>
              </w:rPr>
              <w:t>(0.01)</w:t>
            </w:r>
          </w:p>
        </w:tc>
        <w:tc>
          <w:tcPr>
            <w:tcW w:w="784" w:type="dxa"/>
            <w:shd w:val="clear" w:color="auto" w:fill="auto"/>
            <w:vAlign w:val="bottom"/>
          </w:tcPr>
          <w:p w14:paraId="0F1D11CC" w14:textId="77777777" w:rsidR="00B05C79" w:rsidRPr="00DA4360" w:rsidRDefault="00B05C79" w:rsidP="003F6F1A">
            <w:pPr>
              <w:spacing w:after="0" w:line="240" w:lineRule="auto"/>
              <w:jc w:val="right"/>
              <w:rPr>
                <w:rFonts w:ascii="Arial" w:hAnsi="Arial" w:cs="Arial"/>
                <w:sz w:val="17"/>
                <w:szCs w:val="17"/>
                <w:lang w:val="en-CA"/>
              </w:rPr>
            </w:pPr>
            <w:r w:rsidRPr="00DA4360">
              <w:rPr>
                <w:rFonts w:ascii="Arial" w:hAnsi="Arial" w:cs="Arial"/>
                <w:sz w:val="17"/>
                <w:szCs w:val="17"/>
                <w:lang w:val="en-CA"/>
              </w:rPr>
              <w:t>0.01</w:t>
            </w:r>
          </w:p>
        </w:tc>
        <w:tc>
          <w:tcPr>
            <w:tcW w:w="784" w:type="dxa"/>
            <w:shd w:val="clear" w:color="auto" w:fill="auto"/>
            <w:vAlign w:val="bottom"/>
          </w:tcPr>
          <w:p w14:paraId="69407F78" w14:textId="77777777" w:rsidR="00B05C79" w:rsidRPr="00DA4360" w:rsidRDefault="00B05C79" w:rsidP="003F6F1A">
            <w:pPr>
              <w:spacing w:after="0" w:line="240" w:lineRule="auto"/>
              <w:jc w:val="right"/>
              <w:rPr>
                <w:rFonts w:ascii="Arial" w:hAnsi="Arial" w:cs="Arial"/>
                <w:sz w:val="17"/>
                <w:szCs w:val="17"/>
                <w:lang w:val="en-CA"/>
              </w:rPr>
            </w:pPr>
            <w:r w:rsidRPr="00DA4360">
              <w:rPr>
                <w:rFonts w:ascii="Arial" w:hAnsi="Arial" w:cs="Arial"/>
                <w:sz w:val="17"/>
                <w:szCs w:val="17"/>
                <w:lang w:val="en-CA"/>
              </w:rPr>
              <w:t>(0.0</w:t>
            </w:r>
            <w:r w:rsidR="00BD2307" w:rsidRPr="00DA4360">
              <w:rPr>
                <w:rFonts w:ascii="Arial" w:hAnsi="Arial" w:cs="Arial"/>
                <w:sz w:val="17"/>
                <w:szCs w:val="17"/>
                <w:lang w:val="en-CA"/>
              </w:rPr>
              <w:t>0</w:t>
            </w:r>
            <w:r w:rsidRPr="00DA4360">
              <w:rPr>
                <w:rFonts w:ascii="Arial" w:hAnsi="Arial" w:cs="Arial"/>
                <w:sz w:val="17"/>
                <w:szCs w:val="17"/>
                <w:lang w:val="en-CA"/>
              </w:rPr>
              <w:t>)</w:t>
            </w:r>
          </w:p>
        </w:tc>
        <w:tc>
          <w:tcPr>
            <w:tcW w:w="772" w:type="dxa"/>
            <w:shd w:val="clear" w:color="auto" w:fill="auto"/>
            <w:vAlign w:val="bottom"/>
          </w:tcPr>
          <w:p w14:paraId="6A671FEB" w14:textId="77777777" w:rsidR="00B05C79" w:rsidRPr="00DA4360" w:rsidRDefault="00B05C79" w:rsidP="003F6F1A">
            <w:pPr>
              <w:spacing w:after="0" w:line="240" w:lineRule="auto"/>
              <w:jc w:val="right"/>
              <w:rPr>
                <w:rFonts w:ascii="Arial" w:hAnsi="Arial" w:cs="Arial"/>
                <w:sz w:val="17"/>
                <w:szCs w:val="17"/>
                <w:lang w:val="en-CA"/>
              </w:rPr>
            </w:pPr>
            <w:r w:rsidRPr="00DA4360">
              <w:rPr>
                <w:rFonts w:ascii="Arial" w:hAnsi="Arial" w:cs="Arial"/>
                <w:sz w:val="17"/>
                <w:szCs w:val="17"/>
                <w:lang w:val="en-CA"/>
              </w:rPr>
              <w:t>(0.0</w:t>
            </w:r>
            <w:r w:rsidR="00BD2307" w:rsidRPr="00DA4360">
              <w:rPr>
                <w:rFonts w:ascii="Arial" w:hAnsi="Arial" w:cs="Arial"/>
                <w:sz w:val="17"/>
                <w:szCs w:val="17"/>
                <w:lang w:val="en-CA"/>
              </w:rPr>
              <w:t>6</w:t>
            </w:r>
            <w:r w:rsidRPr="00DA4360">
              <w:rPr>
                <w:rFonts w:ascii="Arial" w:hAnsi="Arial" w:cs="Arial"/>
                <w:sz w:val="17"/>
                <w:szCs w:val="17"/>
                <w:lang w:val="en-CA"/>
              </w:rPr>
              <w:t>)</w:t>
            </w:r>
          </w:p>
        </w:tc>
        <w:tc>
          <w:tcPr>
            <w:tcW w:w="720" w:type="dxa"/>
            <w:shd w:val="clear" w:color="auto" w:fill="auto"/>
            <w:vAlign w:val="bottom"/>
          </w:tcPr>
          <w:p w14:paraId="114067D8" w14:textId="77777777" w:rsidR="00B05C79" w:rsidRPr="00DA4360" w:rsidRDefault="00B05C79" w:rsidP="003F6F1A">
            <w:pPr>
              <w:spacing w:after="0" w:line="240" w:lineRule="auto"/>
              <w:jc w:val="right"/>
              <w:rPr>
                <w:rFonts w:ascii="Arial" w:hAnsi="Arial" w:cs="Arial"/>
                <w:sz w:val="17"/>
                <w:szCs w:val="17"/>
                <w:lang w:val="en-CA"/>
              </w:rPr>
            </w:pPr>
            <w:r w:rsidRPr="00DA4360">
              <w:rPr>
                <w:rFonts w:ascii="Arial" w:hAnsi="Arial" w:cs="Arial"/>
                <w:sz w:val="17"/>
                <w:szCs w:val="17"/>
                <w:lang w:val="en-CA"/>
              </w:rPr>
              <w:t>(0.02)</w:t>
            </w:r>
          </w:p>
        </w:tc>
        <w:tc>
          <w:tcPr>
            <w:tcW w:w="720" w:type="dxa"/>
            <w:shd w:val="clear" w:color="auto" w:fill="auto"/>
            <w:vAlign w:val="bottom"/>
          </w:tcPr>
          <w:p w14:paraId="6EDC8B67" w14:textId="77777777" w:rsidR="00B05C79" w:rsidRPr="00DA4360" w:rsidRDefault="00B05C79" w:rsidP="003F6F1A">
            <w:pPr>
              <w:spacing w:after="0" w:line="240" w:lineRule="auto"/>
              <w:jc w:val="right"/>
              <w:rPr>
                <w:rFonts w:ascii="Arial" w:hAnsi="Arial" w:cs="Arial"/>
                <w:sz w:val="17"/>
                <w:szCs w:val="17"/>
                <w:lang w:val="en-CA"/>
              </w:rPr>
            </w:pPr>
            <w:r w:rsidRPr="00DA4360">
              <w:rPr>
                <w:rFonts w:ascii="Arial" w:hAnsi="Arial" w:cs="Arial"/>
                <w:sz w:val="17"/>
                <w:szCs w:val="17"/>
                <w:lang w:val="en-CA"/>
              </w:rPr>
              <w:t>(0.02)</w:t>
            </w:r>
          </w:p>
        </w:tc>
        <w:tc>
          <w:tcPr>
            <w:tcW w:w="720" w:type="dxa"/>
            <w:shd w:val="clear" w:color="auto" w:fill="auto"/>
            <w:vAlign w:val="bottom"/>
          </w:tcPr>
          <w:p w14:paraId="1DDCE8A1" w14:textId="77777777" w:rsidR="00B05C79" w:rsidRPr="00DA4360" w:rsidRDefault="00B05C79" w:rsidP="003F6F1A">
            <w:pPr>
              <w:spacing w:after="0" w:line="240" w:lineRule="auto"/>
              <w:jc w:val="right"/>
              <w:rPr>
                <w:rFonts w:ascii="Arial" w:hAnsi="Arial" w:cs="Arial"/>
                <w:sz w:val="17"/>
                <w:szCs w:val="17"/>
                <w:lang w:val="en-CA"/>
              </w:rPr>
            </w:pPr>
            <w:r w:rsidRPr="00DA4360">
              <w:rPr>
                <w:rFonts w:ascii="Arial" w:hAnsi="Arial" w:cs="Arial"/>
                <w:sz w:val="17"/>
                <w:szCs w:val="17"/>
                <w:lang w:val="en-CA"/>
              </w:rPr>
              <w:t>(0.01)</w:t>
            </w:r>
          </w:p>
        </w:tc>
        <w:tc>
          <w:tcPr>
            <w:tcW w:w="810" w:type="dxa"/>
            <w:shd w:val="clear" w:color="auto" w:fill="D0CECE"/>
            <w:vAlign w:val="bottom"/>
          </w:tcPr>
          <w:p w14:paraId="3ED525DB" w14:textId="77777777" w:rsidR="00B05C79" w:rsidRPr="00DA4360" w:rsidRDefault="00B05C79" w:rsidP="000E01AB">
            <w:pPr>
              <w:spacing w:after="0" w:line="240" w:lineRule="auto"/>
              <w:jc w:val="right"/>
              <w:rPr>
                <w:rFonts w:ascii="Arial" w:hAnsi="Arial" w:cs="Arial"/>
                <w:b/>
                <w:sz w:val="17"/>
                <w:szCs w:val="17"/>
                <w:lang w:val="en-CA"/>
              </w:rPr>
            </w:pPr>
            <w:r w:rsidRPr="00DA4360">
              <w:rPr>
                <w:rFonts w:ascii="Arial" w:hAnsi="Arial" w:cs="Arial"/>
                <w:b/>
                <w:sz w:val="17"/>
                <w:szCs w:val="17"/>
                <w:lang w:val="en-CA"/>
              </w:rPr>
              <w:t>(0.02)</w:t>
            </w:r>
          </w:p>
        </w:tc>
        <w:tc>
          <w:tcPr>
            <w:tcW w:w="810" w:type="dxa"/>
            <w:shd w:val="clear" w:color="auto" w:fill="auto"/>
            <w:vAlign w:val="bottom"/>
          </w:tcPr>
          <w:p w14:paraId="121A1356" w14:textId="77777777" w:rsidR="00B05C79" w:rsidRPr="00DA4360" w:rsidRDefault="00B05C79" w:rsidP="000E01AB">
            <w:pPr>
              <w:spacing w:after="0" w:line="240" w:lineRule="auto"/>
              <w:jc w:val="right"/>
              <w:rPr>
                <w:rFonts w:ascii="Arial" w:hAnsi="Arial" w:cs="Arial"/>
                <w:sz w:val="17"/>
                <w:szCs w:val="17"/>
                <w:lang w:val="en-CA"/>
              </w:rPr>
            </w:pPr>
            <w:r w:rsidRPr="00DA4360">
              <w:rPr>
                <w:rFonts w:ascii="Arial" w:hAnsi="Arial" w:cs="Arial"/>
                <w:sz w:val="17"/>
                <w:szCs w:val="17"/>
                <w:lang w:val="en-CA"/>
              </w:rPr>
              <w:t>(0.0</w:t>
            </w:r>
            <w:r w:rsidR="00BD2307" w:rsidRPr="00DA4360">
              <w:rPr>
                <w:rFonts w:ascii="Arial" w:hAnsi="Arial" w:cs="Arial"/>
                <w:sz w:val="17"/>
                <w:szCs w:val="17"/>
                <w:lang w:val="en-CA"/>
              </w:rPr>
              <w:t>8</w:t>
            </w:r>
            <w:r w:rsidRPr="00DA4360">
              <w:rPr>
                <w:rFonts w:ascii="Arial" w:hAnsi="Arial" w:cs="Arial"/>
                <w:sz w:val="17"/>
                <w:szCs w:val="17"/>
                <w:lang w:val="en-CA"/>
              </w:rPr>
              <w:t>)</w:t>
            </w:r>
          </w:p>
        </w:tc>
      </w:tr>
      <w:tr w:rsidR="003E0848" w:rsidRPr="00DA4360" w14:paraId="08958A52" w14:textId="77777777" w:rsidTr="004A1755">
        <w:tc>
          <w:tcPr>
            <w:tcW w:w="2154" w:type="dxa"/>
            <w:shd w:val="clear" w:color="auto" w:fill="auto"/>
          </w:tcPr>
          <w:p w14:paraId="621E1A30" w14:textId="77777777" w:rsidR="00B05C79" w:rsidRPr="00DA4360" w:rsidRDefault="00BD2307" w:rsidP="003F6F1A">
            <w:pPr>
              <w:spacing w:after="0" w:line="240" w:lineRule="auto"/>
              <w:rPr>
                <w:rFonts w:ascii="Arial" w:hAnsi="Arial" w:cs="Arial"/>
                <w:sz w:val="17"/>
                <w:szCs w:val="17"/>
                <w:lang w:val="en-CA"/>
              </w:rPr>
            </w:pPr>
            <w:r w:rsidRPr="00DA4360">
              <w:rPr>
                <w:rFonts w:ascii="Arial" w:hAnsi="Arial" w:cs="Arial"/>
                <w:sz w:val="17"/>
                <w:szCs w:val="17"/>
                <w:lang w:val="en-CA"/>
              </w:rPr>
              <w:t xml:space="preserve">   </w:t>
            </w:r>
            <w:r w:rsidR="00B05C79" w:rsidRPr="00DA4360">
              <w:rPr>
                <w:rFonts w:ascii="Arial" w:hAnsi="Arial" w:cs="Arial"/>
                <w:sz w:val="17"/>
                <w:szCs w:val="17"/>
                <w:lang w:val="en-CA"/>
              </w:rPr>
              <w:t>Diluted</w:t>
            </w:r>
          </w:p>
        </w:tc>
        <w:tc>
          <w:tcPr>
            <w:tcW w:w="810" w:type="dxa"/>
            <w:shd w:val="clear" w:color="auto" w:fill="D0CECE"/>
            <w:vAlign w:val="bottom"/>
          </w:tcPr>
          <w:p w14:paraId="37DF910F" w14:textId="77777777" w:rsidR="00B05C79" w:rsidRPr="00DA4360" w:rsidRDefault="00B05C79" w:rsidP="003F6F1A">
            <w:pPr>
              <w:spacing w:after="0" w:line="240" w:lineRule="auto"/>
              <w:jc w:val="right"/>
              <w:rPr>
                <w:rFonts w:ascii="Arial" w:hAnsi="Arial" w:cs="Arial"/>
                <w:b/>
                <w:sz w:val="17"/>
                <w:szCs w:val="17"/>
                <w:lang w:val="en-CA"/>
              </w:rPr>
            </w:pPr>
            <w:r w:rsidRPr="00DA4360">
              <w:rPr>
                <w:rFonts w:ascii="Arial" w:hAnsi="Arial" w:cs="Arial"/>
                <w:b/>
                <w:sz w:val="17"/>
                <w:szCs w:val="17"/>
                <w:lang w:val="en-CA"/>
              </w:rPr>
              <w:t>(0.0</w:t>
            </w:r>
            <w:r w:rsidR="00A95100" w:rsidRPr="00DA4360">
              <w:rPr>
                <w:rFonts w:ascii="Arial" w:hAnsi="Arial" w:cs="Arial"/>
                <w:b/>
                <w:sz w:val="17"/>
                <w:szCs w:val="17"/>
                <w:lang w:val="en-CA"/>
              </w:rPr>
              <w:t>1</w:t>
            </w:r>
            <w:r w:rsidRPr="00DA4360">
              <w:rPr>
                <w:rFonts w:ascii="Arial" w:hAnsi="Arial" w:cs="Arial"/>
                <w:b/>
                <w:sz w:val="17"/>
                <w:szCs w:val="17"/>
                <w:lang w:val="en-CA"/>
              </w:rPr>
              <w:t>)</w:t>
            </w:r>
          </w:p>
        </w:tc>
        <w:tc>
          <w:tcPr>
            <w:tcW w:w="720" w:type="dxa"/>
            <w:shd w:val="clear" w:color="auto" w:fill="FFFFFF"/>
            <w:vAlign w:val="bottom"/>
          </w:tcPr>
          <w:p w14:paraId="16CCBC53" w14:textId="77777777" w:rsidR="00B05C79" w:rsidRPr="00DA4360" w:rsidRDefault="00B05C79" w:rsidP="003F6F1A">
            <w:pPr>
              <w:spacing w:after="0" w:line="240" w:lineRule="auto"/>
              <w:jc w:val="right"/>
              <w:rPr>
                <w:rFonts w:ascii="Arial" w:hAnsi="Arial" w:cs="Arial"/>
                <w:sz w:val="17"/>
                <w:szCs w:val="17"/>
                <w:lang w:val="en-CA"/>
              </w:rPr>
            </w:pPr>
            <w:r w:rsidRPr="00DA4360">
              <w:rPr>
                <w:rFonts w:ascii="Arial" w:hAnsi="Arial" w:cs="Arial"/>
                <w:b/>
                <w:sz w:val="17"/>
                <w:szCs w:val="17"/>
                <w:lang w:val="en-CA"/>
              </w:rPr>
              <w:t>(0.01)</w:t>
            </w:r>
          </w:p>
        </w:tc>
        <w:tc>
          <w:tcPr>
            <w:tcW w:w="784" w:type="dxa"/>
            <w:shd w:val="clear" w:color="auto" w:fill="auto"/>
            <w:vAlign w:val="bottom"/>
          </w:tcPr>
          <w:p w14:paraId="476187C1" w14:textId="77777777" w:rsidR="00B05C79" w:rsidRPr="00DA4360" w:rsidRDefault="00B05C79" w:rsidP="003F6F1A">
            <w:pPr>
              <w:spacing w:after="0" w:line="240" w:lineRule="auto"/>
              <w:jc w:val="right"/>
              <w:rPr>
                <w:rFonts w:ascii="Arial" w:hAnsi="Arial" w:cs="Arial"/>
                <w:sz w:val="17"/>
                <w:szCs w:val="17"/>
                <w:lang w:val="en-CA"/>
              </w:rPr>
            </w:pPr>
            <w:r w:rsidRPr="00DA4360">
              <w:rPr>
                <w:rFonts w:ascii="Arial" w:hAnsi="Arial" w:cs="Arial"/>
                <w:sz w:val="17"/>
                <w:szCs w:val="17"/>
                <w:lang w:val="en-CA"/>
              </w:rPr>
              <w:t>0.01</w:t>
            </w:r>
          </w:p>
        </w:tc>
        <w:tc>
          <w:tcPr>
            <w:tcW w:w="784" w:type="dxa"/>
            <w:shd w:val="clear" w:color="auto" w:fill="auto"/>
            <w:vAlign w:val="bottom"/>
          </w:tcPr>
          <w:p w14:paraId="03A1DB85" w14:textId="77777777" w:rsidR="00B05C79" w:rsidRPr="00DA4360" w:rsidRDefault="00B05C79" w:rsidP="003F6F1A">
            <w:pPr>
              <w:spacing w:after="0" w:line="240" w:lineRule="auto"/>
              <w:jc w:val="right"/>
              <w:rPr>
                <w:rFonts w:ascii="Arial" w:hAnsi="Arial" w:cs="Arial"/>
                <w:sz w:val="17"/>
                <w:szCs w:val="17"/>
                <w:lang w:val="en-CA"/>
              </w:rPr>
            </w:pPr>
            <w:r w:rsidRPr="00DA4360">
              <w:rPr>
                <w:rFonts w:ascii="Arial" w:hAnsi="Arial" w:cs="Arial"/>
                <w:sz w:val="17"/>
                <w:szCs w:val="17"/>
                <w:lang w:val="en-CA"/>
              </w:rPr>
              <w:t>(0.0</w:t>
            </w:r>
            <w:r w:rsidR="00BD2307" w:rsidRPr="00DA4360">
              <w:rPr>
                <w:rFonts w:ascii="Arial" w:hAnsi="Arial" w:cs="Arial"/>
                <w:sz w:val="17"/>
                <w:szCs w:val="17"/>
                <w:lang w:val="en-CA"/>
              </w:rPr>
              <w:t>0</w:t>
            </w:r>
            <w:r w:rsidRPr="00DA4360">
              <w:rPr>
                <w:rFonts w:ascii="Arial" w:hAnsi="Arial" w:cs="Arial"/>
                <w:sz w:val="17"/>
                <w:szCs w:val="17"/>
                <w:lang w:val="en-CA"/>
              </w:rPr>
              <w:t>)</w:t>
            </w:r>
          </w:p>
        </w:tc>
        <w:tc>
          <w:tcPr>
            <w:tcW w:w="772" w:type="dxa"/>
            <w:shd w:val="clear" w:color="auto" w:fill="auto"/>
            <w:vAlign w:val="bottom"/>
          </w:tcPr>
          <w:p w14:paraId="736F4013" w14:textId="77777777" w:rsidR="00B05C79" w:rsidRPr="00DA4360" w:rsidRDefault="00B05C79" w:rsidP="003F6F1A">
            <w:pPr>
              <w:spacing w:after="0" w:line="240" w:lineRule="auto"/>
              <w:jc w:val="right"/>
              <w:rPr>
                <w:rFonts w:ascii="Arial" w:hAnsi="Arial" w:cs="Arial"/>
                <w:sz w:val="17"/>
                <w:szCs w:val="17"/>
                <w:lang w:val="en-CA"/>
              </w:rPr>
            </w:pPr>
            <w:r w:rsidRPr="00DA4360">
              <w:rPr>
                <w:rFonts w:ascii="Arial" w:hAnsi="Arial" w:cs="Arial"/>
                <w:sz w:val="17"/>
                <w:szCs w:val="17"/>
                <w:lang w:val="en-CA"/>
              </w:rPr>
              <w:t>(0.0</w:t>
            </w:r>
            <w:r w:rsidR="00BD2307" w:rsidRPr="00DA4360">
              <w:rPr>
                <w:rFonts w:ascii="Arial" w:hAnsi="Arial" w:cs="Arial"/>
                <w:sz w:val="17"/>
                <w:szCs w:val="17"/>
                <w:lang w:val="en-CA"/>
              </w:rPr>
              <w:t>6</w:t>
            </w:r>
            <w:r w:rsidRPr="00DA4360">
              <w:rPr>
                <w:rFonts w:ascii="Arial" w:hAnsi="Arial" w:cs="Arial"/>
                <w:sz w:val="17"/>
                <w:szCs w:val="17"/>
                <w:lang w:val="en-CA"/>
              </w:rPr>
              <w:t>)</w:t>
            </w:r>
          </w:p>
        </w:tc>
        <w:tc>
          <w:tcPr>
            <w:tcW w:w="720" w:type="dxa"/>
            <w:shd w:val="clear" w:color="auto" w:fill="auto"/>
            <w:vAlign w:val="bottom"/>
          </w:tcPr>
          <w:p w14:paraId="0DFA130A" w14:textId="77777777" w:rsidR="00B05C79" w:rsidRPr="00DA4360" w:rsidRDefault="00B05C79" w:rsidP="003F6F1A">
            <w:pPr>
              <w:spacing w:after="0" w:line="240" w:lineRule="auto"/>
              <w:jc w:val="right"/>
              <w:rPr>
                <w:rFonts w:ascii="Arial" w:hAnsi="Arial" w:cs="Arial"/>
                <w:sz w:val="17"/>
                <w:szCs w:val="17"/>
                <w:lang w:val="en-CA"/>
              </w:rPr>
            </w:pPr>
            <w:r w:rsidRPr="00DA4360">
              <w:rPr>
                <w:rFonts w:ascii="Arial" w:hAnsi="Arial" w:cs="Arial"/>
                <w:sz w:val="17"/>
                <w:szCs w:val="17"/>
                <w:lang w:val="en-CA"/>
              </w:rPr>
              <w:t>(0.02)</w:t>
            </w:r>
          </w:p>
        </w:tc>
        <w:tc>
          <w:tcPr>
            <w:tcW w:w="720" w:type="dxa"/>
            <w:shd w:val="clear" w:color="auto" w:fill="auto"/>
            <w:vAlign w:val="bottom"/>
          </w:tcPr>
          <w:p w14:paraId="4DB91D1B" w14:textId="77777777" w:rsidR="00B05C79" w:rsidRPr="00DA4360" w:rsidRDefault="00B05C79" w:rsidP="003F6F1A">
            <w:pPr>
              <w:spacing w:after="0" w:line="240" w:lineRule="auto"/>
              <w:jc w:val="right"/>
              <w:rPr>
                <w:rFonts w:ascii="Arial" w:hAnsi="Arial" w:cs="Arial"/>
                <w:sz w:val="17"/>
                <w:szCs w:val="17"/>
                <w:lang w:val="en-CA"/>
              </w:rPr>
            </w:pPr>
            <w:r w:rsidRPr="00DA4360">
              <w:rPr>
                <w:rFonts w:ascii="Arial" w:hAnsi="Arial" w:cs="Arial"/>
                <w:sz w:val="17"/>
                <w:szCs w:val="17"/>
                <w:lang w:val="en-CA"/>
              </w:rPr>
              <w:t>(0.02)</w:t>
            </w:r>
          </w:p>
        </w:tc>
        <w:tc>
          <w:tcPr>
            <w:tcW w:w="720" w:type="dxa"/>
            <w:shd w:val="clear" w:color="auto" w:fill="auto"/>
            <w:vAlign w:val="bottom"/>
          </w:tcPr>
          <w:p w14:paraId="519E70AC" w14:textId="77777777" w:rsidR="00B05C79" w:rsidRPr="00DA4360" w:rsidRDefault="00B05C79" w:rsidP="003F6F1A">
            <w:pPr>
              <w:spacing w:after="0" w:line="240" w:lineRule="auto"/>
              <w:jc w:val="right"/>
              <w:rPr>
                <w:rFonts w:ascii="Arial" w:hAnsi="Arial" w:cs="Arial"/>
                <w:sz w:val="17"/>
                <w:szCs w:val="17"/>
                <w:lang w:val="en-CA"/>
              </w:rPr>
            </w:pPr>
            <w:r w:rsidRPr="00DA4360">
              <w:rPr>
                <w:rFonts w:ascii="Arial" w:hAnsi="Arial" w:cs="Arial"/>
                <w:sz w:val="17"/>
                <w:szCs w:val="17"/>
                <w:lang w:val="en-CA"/>
              </w:rPr>
              <w:t>(0.01)</w:t>
            </w:r>
          </w:p>
        </w:tc>
        <w:tc>
          <w:tcPr>
            <w:tcW w:w="810" w:type="dxa"/>
            <w:shd w:val="clear" w:color="auto" w:fill="D0CECE"/>
            <w:vAlign w:val="bottom"/>
          </w:tcPr>
          <w:p w14:paraId="4655447C" w14:textId="77777777" w:rsidR="00B05C79" w:rsidRPr="00DA4360" w:rsidRDefault="00B05C79" w:rsidP="000E01AB">
            <w:pPr>
              <w:spacing w:after="0" w:line="240" w:lineRule="auto"/>
              <w:jc w:val="right"/>
              <w:rPr>
                <w:rFonts w:ascii="Arial" w:hAnsi="Arial" w:cs="Arial"/>
                <w:b/>
                <w:sz w:val="17"/>
                <w:szCs w:val="17"/>
                <w:lang w:val="en-CA"/>
              </w:rPr>
            </w:pPr>
            <w:r w:rsidRPr="00DA4360">
              <w:rPr>
                <w:rFonts w:ascii="Arial" w:hAnsi="Arial" w:cs="Arial"/>
                <w:b/>
                <w:sz w:val="17"/>
                <w:szCs w:val="17"/>
                <w:lang w:val="en-CA"/>
              </w:rPr>
              <w:t>(0.02)</w:t>
            </w:r>
          </w:p>
        </w:tc>
        <w:tc>
          <w:tcPr>
            <w:tcW w:w="810" w:type="dxa"/>
            <w:shd w:val="clear" w:color="auto" w:fill="auto"/>
            <w:vAlign w:val="bottom"/>
          </w:tcPr>
          <w:p w14:paraId="50312642" w14:textId="77777777" w:rsidR="00B05C79" w:rsidRPr="00DA4360" w:rsidRDefault="00B05C79" w:rsidP="000E01AB">
            <w:pPr>
              <w:spacing w:after="0" w:line="240" w:lineRule="auto"/>
              <w:jc w:val="right"/>
              <w:rPr>
                <w:rFonts w:ascii="Arial" w:hAnsi="Arial" w:cs="Arial"/>
                <w:sz w:val="17"/>
                <w:szCs w:val="17"/>
                <w:lang w:val="en-CA"/>
              </w:rPr>
            </w:pPr>
            <w:r w:rsidRPr="00DA4360">
              <w:rPr>
                <w:rFonts w:ascii="Arial" w:hAnsi="Arial" w:cs="Arial"/>
                <w:sz w:val="17"/>
                <w:szCs w:val="17"/>
                <w:lang w:val="en-CA"/>
              </w:rPr>
              <w:t>(0.0</w:t>
            </w:r>
            <w:r w:rsidR="00BD2307" w:rsidRPr="00DA4360">
              <w:rPr>
                <w:rFonts w:ascii="Arial" w:hAnsi="Arial" w:cs="Arial"/>
                <w:sz w:val="17"/>
                <w:szCs w:val="17"/>
                <w:lang w:val="en-CA"/>
              </w:rPr>
              <w:t>8</w:t>
            </w:r>
            <w:r w:rsidRPr="00DA4360">
              <w:rPr>
                <w:rFonts w:ascii="Arial" w:hAnsi="Arial" w:cs="Arial"/>
                <w:sz w:val="17"/>
                <w:szCs w:val="17"/>
                <w:lang w:val="en-CA"/>
              </w:rPr>
              <w:t>)</w:t>
            </w:r>
          </w:p>
        </w:tc>
      </w:tr>
      <w:tr w:rsidR="003E0848" w:rsidRPr="00DA4360" w14:paraId="64CB0F00" w14:textId="77777777" w:rsidTr="004A1755">
        <w:tc>
          <w:tcPr>
            <w:tcW w:w="2154" w:type="dxa"/>
            <w:shd w:val="clear" w:color="auto" w:fill="auto"/>
          </w:tcPr>
          <w:p w14:paraId="6BE8252F" w14:textId="77777777" w:rsidR="00BD2307" w:rsidRPr="00DA4360" w:rsidRDefault="00BD2307" w:rsidP="003F6F1A">
            <w:pPr>
              <w:spacing w:after="0" w:line="240" w:lineRule="auto"/>
              <w:rPr>
                <w:rFonts w:ascii="Arial" w:hAnsi="Arial" w:cs="Arial"/>
                <w:sz w:val="17"/>
                <w:szCs w:val="17"/>
                <w:lang w:val="en-CA"/>
              </w:rPr>
            </w:pPr>
            <w:r w:rsidRPr="00DA4360">
              <w:rPr>
                <w:rFonts w:ascii="Arial" w:hAnsi="Arial" w:cs="Arial"/>
                <w:sz w:val="17"/>
                <w:szCs w:val="17"/>
                <w:lang w:val="en-CA"/>
              </w:rPr>
              <w:t>Cash dividends declared</w:t>
            </w:r>
          </w:p>
        </w:tc>
        <w:tc>
          <w:tcPr>
            <w:tcW w:w="810" w:type="dxa"/>
            <w:shd w:val="clear" w:color="auto" w:fill="D0CECE"/>
            <w:vAlign w:val="bottom"/>
          </w:tcPr>
          <w:p w14:paraId="43E75B29" w14:textId="77777777" w:rsidR="00BD2307" w:rsidRPr="00DA4360" w:rsidRDefault="00BD2307" w:rsidP="003F6F1A">
            <w:pPr>
              <w:spacing w:after="0" w:line="240" w:lineRule="auto"/>
              <w:jc w:val="right"/>
              <w:rPr>
                <w:rFonts w:ascii="Arial" w:hAnsi="Arial" w:cs="Arial"/>
                <w:b/>
                <w:sz w:val="17"/>
                <w:szCs w:val="17"/>
                <w:lang w:val="en-CA"/>
              </w:rPr>
            </w:pPr>
            <w:r w:rsidRPr="00DA4360">
              <w:rPr>
                <w:rFonts w:ascii="Arial" w:hAnsi="Arial" w:cs="Arial"/>
                <w:b/>
                <w:sz w:val="17"/>
                <w:szCs w:val="17"/>
                <w:lang w:val="en-CA"/>
              </w:rPr>
              <w:t>-</w:t>
            </w:r>
          </w:p>
        </w:tc>
        <w:tc>
          <w:tcPr>
            <w:tcW w:w="720" w:type="dxa"/>
            <w:shd w:val="clear" w:color="auto" w:fill="FFFFFF"/>
            <w:vAlign w:val="bottom"/>
          </w:tcPr>
          <w:p w14:paraId="1DA0FAB4" w14:textId="77777777" w:rsidR="00BD2307" w:rsidRPr="00DA4360" w:rsidRDefault="00BD2307" w:rsidP="003F6F1A">
            <w:pPr>
              <w:spacing w:after="0" w:line="240" w:lineRule="auto"/>
              <w:jc w:val="right"/>
              <w:rPr>
                <w:rFonts w:ascii="Arial" w:hAnsi="Arial" w:cs="Arial"/>
                <w:sz w:val="17"/>
                <w:szCs w:val="17"/>
                <w:lang w:val="en-CA"/>
              </w:rPr>
            </w:pPr>
            <w:r w:rsidRPr="00DA4360">
              <w:rPr>
                <w:rFonts w:ascii="Arial" w:hAnsi="Arial" w:cs="Arial"/>
                <w:b/>
                <w:sz w:val="17"/>
                <w:szCs w:val="17"/>
                <w:lang w:val="en-CA"/>
              </w:rPr>
              <w:t>-</w:t>
            </w:r>
          </w:p>
        </w:tc>
        <w:tc>
          <w:tcPr>
            <w:tcW w:w="784" w:type="dxa"/>
            <w:shd w:val="clear" w:color="auto" w:fill="auto"/>
            <w:vAlign w:val="bottom"/>
          </w:tcPr>
          <w:p w14:paraId="43BE97D1" w14:textId="77777777" w:rsidR="00BD2307" w:rsidRPr="00DA4360" w:rsidRDefault="00BD2307" w:rsidP="003F6F1A">
            <w:pPr>
              <w:spacing w:after="0" w:line="240" w:lineRule="auto"/>
              <w:jc w:val="right"/>
              <w:rPr>
                <w:rFonts w:ascii="Arial" w:hAnsi="Arial" w:cs="Arial"/>
                <w:sz w:val="17"/>
                <w:szCs w:val="17"/>
                <w:lang w:val="en-CA"/>
              </w:rPr>
            </w:pPr>
            <w:r w:rsidRPr="00DA4360">
              <w:rPr>
                <w:rFonts w:ascii="Arial" w:hAnsi="Arial" w:cs="Arial"/>
                <w:b/>
                <w:sz w:val="17"/>
                <w:szCs w:val="17"/>
                <w:lang w:val="en-CA"/>
              </w:rPr>
              <w:t>-</w:t>
            </w:r>
          </w:p>
        </w:tc>
        <w:tc>
          <w:tcPr>
            <w:tcW w:w="784" w:type="dxa"/>
            <w:shd w:val="clear" w:color="auto" w:fill="auto"/>
            <w:vAlign w:val="bottom"/>
          </w:tcPr>
          <w:p w14:paraId="01D31142" w14:textId="77777777" w:rsidR="00BD2307" w:rsidRPr="00DA4360" w:rsidRDefault="00BD2307" w:rsidP="003F6F1A">
            <w:pPr>
              <w:spacing w:after="0" w:line="240" w:lineRule="auto"/>
              <w:jc w:val="right"/>
              <w:rPr>
                <w:rFonts w:ascii="Arial" w:hAnsi="Arial" w:cs="Arial"/>
                <w:sz w:val="17"/>
                <w:szCs w:val="17"/>
                <w:lang w:val="en-CA"/>
              </w:rPr>
            </w:pPr>
            <w:r w:rsidRPr="00DA4360">
              <w:rPr>
                <w:rFonts w:ascii="Arial" w:hAnsi="Arial" w:cs="Arial"/>
                <w:b/>
                <w:sz w:val="17"/>
                <w:szCs w:val="17"/>
                <w:lang w:val="en-CA"/>
              </w:rPr>
              <w:t>-</w:t>
            </w:r>
          </w:p>
        </w:tc>
        <w:tc>
          <w:tcPr>
            <w:tcW w:w="772" w:type="dxa"/>
            <w:shd w:val="clear" w:color="auto" w:fill="auto"/>
            <w:vAlign w:val="bottom"/>
          </w:tcPr>
          <w:p w14:paraId="1949CCC6" w14:textId="77777777" w:rsidR="00BD2307" w:rsidRPr="00DA4360" w:rsidRDefault="00BD2307" w:rsidP="003F6F1A">
            <w:pPr>
              <w:spacing w:after="0" w:line="240" w:lineRule="auto"/>
              <w:jc w:val="right"/>
              <w:rPr>
                <w:rFonts w:ascii="Arial" w:hAnsi="Arial" w:cs="Arial"/>
                <w:sz w:val="17"/>
                <w:szCs w:val="17"/>
                <w:lang w:val="en-CA"/>
              </w:rPr>
            </w:pPr>
            <w:r w:rsidRPr="00DA4360">
              <w:rPr>
                <w:rFonts w:ascii="Arial" w:hAnsi="Arial" w:cs="Arial"/>
                <w:b/>
                <w:sz w:val="17"/>
                <w:szCs w:val="17"/>
                <w:lang w:val="en-CA"/>
              </w:rPr>
              <w:t>-</w:t>
            </w:r>
          </w:p>
        </w:tc>
        <w:tc>
          <w:tcPr>
            <w:tcW w:w="720" w:type="dxa"/>
            <w:shd w:val="clear" w:color="auto" w:fill="auto"/>
            <w:vAlign w:val="bottom"/>
          </w:tcPr>
          <w:p w14:paraId="3F417976" w14:textId="77777777" w:rsidR="00BD2307" w:rsidRPr="00DA4360" w:rsidRDefault="00BD2307" w:rsidP="003F6F1A">
            <w:pPr>
              <w:spacing w:after="0" w:line="240" w:lineRule="auto"/>
              <w:jc w:val="right"/>
              <w:rPr>
                <w:rFonts w:ascii="Arial" w:hAnsi="Arial" w:cs="Arial"/>
                <w:sz w:val="17"/>
                <w:szCs w:val="17"/>
                <w:lang w:val="en-CA"/>
              </w:rPr>
            </w:pPr>
            <w:r w:rsidRPr="00DA4360">
              <w:rPr>
                <w:rFonts w:ascii="Arial" w:hAnsi="Arial" w:cs="Arial"/>
                <w:b/>
                <w:sz w:val="17"/>
                <w:szCs w:val="17"/>
                <w:lang w:val="en-CA"/>
              </w:rPr>
              <w:t>-</w:t>
            </w:r>
          </w:p>
        </w:tc>
        <w:tc>
          <w:tcPr>
            <w:tcW w:w="720" w:type="dxa"/>
            <w:shd w:val="clear" w:color="auto" w:fill="auto"/>
            <w:vAlign w:val="bottom"/>
          </w:tcPr>
          <w:p w14:paraId="4DDD70D1" w14:textId="77777777" w:rsidR="00BD2307" w:rsidRPr="00DA4360" w:rsidRDefault="00BD2307" w:rsidP="003F6F1A">
            <w:pPr>
              <w:spacing w:after="0" w:line="240" w:lineRule="auto"/>
              <w:jc w:val="right"/>
              <w:rPr>
                <w:rFonts w:ascii="Arial" w:hAnsi="Arial" w:cs="Arial"/>
                <w:sz w:val="17"/>
                <w:szCs w:val="17"/>
                <w:lang w:val="en-CA"/>
              </w:rPr>
            </w:pPr>
            <w:r w:rsidRPr="00DA4360">
              <w:rPr>
                <w:rFonts w:ascii="Arial" w:hAnsi="Arial" w:cs="Arial"/>
                <w:b/>
                <w:sz w:val="17"/>
                <w:szCs w:val="17"/>
                <w:lang w:val="en-CA"/>
              </w:rPr>
              <w:t>-</w:t>
            </w:r>
          </w:p>
        </w:tc>
        <w:tc>
          <w:tcPr>
            <w:tcW w:w="720" w:type="dxa"/>
            <w:shd w:val="clear" w:color="auto" w:fill="auto"/>
            <w:vAlign w:val="bottom"/>
          </w:tcPr>
          <w:p w14:paraId="433DF0AC" w14:textId="77777777" w:rsidR="00BD2307" w:rsidRPr="00DA4360" w:rsidRDefault="00BD2307" w:rsidP="003F6F1A">
            <w:pPr>
              <w:spacing w:after="0" w:line="240" w:lineRule="auto"/>
              <w:jc w:val="right"/>
              <w:rPr>
                <w:rFonts w:ascii="Arial" w:hAnsi="Arial" w:cs="Arial"/>
                <w:sz w:val="17"/>
                <w:szCs w:val="17"/>
                <w:lang w:val="en-CA"/>
              </w:rPr>
            </w:pPr>
            <w:r w:rsidRPr="00DA4360">
              <w:rPr>
                <w:rFonts w:ascii="Arial" w:hAnsi="Arial" w:cs="Arial"/>
                <w:b/>
                <w:sz w:val="17"/>
                <w:szCs w:val="17"/>
                <w:lang w:val="en-CA"/>
              </w:rPr>
              <w:t>-</w:t>
            </w:r>
          </w:p>
        </w:tc>
        <w:tc>
          <w:tcPr>
            <w:tcW w:w="810" w:type="dxa"/>
            <w:shd w:val="clear" w:color="auto" w:fill="D0CECE"/>
            <w:vAlign w:val="bottom"/>
          </w:tcPr>
          <w:p w14:paraId="3A46BBCB" w14:textId="77777777" w:rsidR="00BD2307" w:rsidRPr="00DA4360" w:rsidRDefault="00BD2307" w:rsidP="000E01AB">
            <w:pPr>
              <w:spacing w:after="0" w:line="240" w:lineRule="auto"/>
              <w:jc w:val="right"/>
              <w:rPr>
                <w:rFonts w:ascii="Arial" w:hAnsi="Arial" w:cs="Arial"/>
                <w:b/>
                <w:sz w:val="17"/>
                <w:szCs w:val="17"/>
                <w:lang w:val="en-CA"/>
              </w:rPr>
            </w:pPr>
            <w:r w:rsidRPr="00DA4360">
              <w:rPr>
                <w:rFonts w:ascii="Arial" w:hAnsi="Arial" w:cs="Arial"/>
                <w:b/>
                <w:sz w:val="17"/>
                <w:szCs w:val="17"/>
                <w:lang w:val="en-CA"/>
              </w:rPr>
              <w:t>-</w:t>
            </w:r>
          </w:p>
        </w:tc>
        <w:tc>
          <w:tcPr>
            <w:tcW w:w="810" w:type="dxa"/>
            <w:shd w:val="clear" w:color="auto" w:fill="auto"/>
            <w:vAlign w:val="bottom"/>
          </w:tcPr>
          <w:p w14:paraId="469F3542" w14:textId="77777777" w:rsidR="00BD2307" w:rsidRPr="00DA4360" w:rsidRDefault="00BD2307" w:rsidP="000E01AB">
            <w:pPr>
              <w:spacing w:after="0" w:line="240" w:lineRule="auto"/>
              <w:jc w:val="right"/>
              <w:rPr>
                <w:rFonts w:ascii="Arial" w:hAnsi="Arial" w:cs="Arial"/>
                <w:sz w:val="17"/>
                <w:szCs w:val="17"/>
                <w:lang w:val="en-CA"/>
              </w:rPr>
            </w:pPr>
            <w:r w:rsidRPr="00DA4360">
              <w:rPr>
                <w:rFonts w:ascii="Arial" w:hAnsi="Arial" w:cs="Arial"/>
                <w:sz w:val="17"/>
                <w:szCs w:val="17"/>
                <w:lang w:val="en-CA"/>
              </w:rPr>
              <w:t>-</w:t>
            </w:r>
          </w:p>
        </w:tc>
      </w:tr>
      <w:tr w:rsidR="003E0848" w:rsidRPr="00DA4360" w14:paraId="74165EE9" w14:textId="77777777" w:rsidTr="004A1755">
        <w:tc>
          <w:tcPr>
            <w:tcW w:w="2154" w:type="dxa"/>
            <w:shd w:val="clear" w:color="auto" w:fill="auto"/>
          </w:tcPr>
          <w:p w14:paraId="5D0B4DA9" w14:textId="77777777" w:rsidR="00B05C79" w:rsidRPr="00DA4360" w:rsidRDefault="00B05C79" w:rsidP="003F6F1A">
            <w:pPr>
              <w:spacing w:after="0" w:line="240" w:lineRule="auto"/>
              <w:rPr>
                <w:rFonts w:ascii="Arial" w:hAnsi="Arial" w:cs="Arial"/>
                <w:sz w:val="17"/>
                <w:szCs w:val="17"/>
                <w:lang w:val="en-CA"/>
              </w:rPr>
            </w:pPr>
            <w:r w:rsidRPr="00DA4360">
              <w:rPr>
                <w:rFonts w:ascii="Arial" w:hAnsi="Arial" w:cs="Arial"/>
                <w:sz w:val="17"/>
                <w:szCs w:val="17"/>
                <w:lang w:val="en-CA"/>
              </w:rPr>
              <w:t>Total assets</w:t>
            </w:r>
          </w:p>
        </w:tc>
        <w:tc>
          <w:tcPr>
            <w:tcW w:w="810" w:type="dxa"/>
            <w:shd w:val="clear" w:color="auto" w:fill="D0CECE"/>
            <w:vAlign w:val="bottom"/>
          </w:tcPr>
          <w:p w14:paraId="15AF445C" w14:textId="77777777" w:rsidR="00B05C79" w:rsidRPr="00DA4360" w:rsidRDefault="00B05C79" w:rsidP="003F6F1A">
            <w:pPr>
              <w:spacing w:after="0" w:line="240" w:lineRule="auto"/>
              <w:jc w:val="right"/>
              <w:rPr>
                <w:rFonts w:ascii="Arial" w:hAnsi="Arial" w:cs="Arial"/>
                <w:b/>
                <w:sz w:val="17"/>
                <w:szCs w:val="17"/>
                <w:lang w:val="en-CA"/>
              </w:rPr>
            </w:pPr>
            <w:r w:rsidRPr="00DA4360">
              <w:rPr>
                <w:rFonts w:ascii="Arial" w:hAnsi="Arial" w:cs="Arial"/>
                <w:b/>
                <w:sz w:val="17"/>
                <w:szCs w:val="17"/>
                <w:lang w:val="en-CA"/>
              </w:rPr>
              <w:t>5,7</w:t>
            </w:r>
            <w:r w:rsidR="00FD4F52" w:rsidRPr="00DA4360">
              <w:rPr>
                <w:rFonts w:ascii="Arial" w:hAnsi="Arial" w:cs="Arial"/>
                <w:b/>
                <w:sz w:val="17"/>
                <w:szCs w:val="17"/>
                <w:lang w:val="en-CA"/>
              </w:rPr>
              <w:t>60</w:t>
            </w:r>
          </w:p>
        </w:tc>
        <w:tc>
          <w:tcPr>
            <w:tcW w:w="720" w:type="dxa"/>
            <w:shd w:val="clear" w:color="auto" w:fill="FFFFFF"/>
            <w:vAlign w:val="bottom"/>
          </w:tcPr>
          <w:p w14:paraId="7FDE297A" w14:textId="77777777" w:rsidR="00B05C79" w:rsidRPr="00DA4360" w:rsidRDefault="00B05C79" w:rsidP="003F6F1A">
            <w:pPr>
              <w:spacing w:after="0" w:line="240" w:lineRule="auto"/>
              <w:jc w:val="right"/>
              <w:rPr>
                <w:rFonts w:ascii="Arial" w:hAnsi="Arial" w:cs="Arial"/>
                <w:sz w:val="17"/>
                <w:szCs w:val="17"/>
                <w:lang w:val="en-CA"/>
              </w:rPr>
            </w:pPr>
            <w:r w:rsidRPr="00DA4360">
              <w:rPr>
                <w:rFonts w:ascii="Arial" w:hAnsi="Arial" w:cs="Arial"/>
                <w:b/>
                <w:sz w:val="17"/>
                <w:szCs w:val="17"/>
                <w:lang w:val="en-CA"/>
              </w:rPr>
              <w:t>2,417</w:t>
            </w:r>
          </w:p>
        </w:tc>
        <w:tc>
          <w:tcPr>
            <w:tcW w:w="784" w:type="dxa"/>
            <w:shd w:val="clear" w:color="auto" w:fill="auto"/>
            <w:vAlign w:val="bottom"/>
          </w:tcPr>
          <w:p w14:paraId="08EA2609" w14:textId="77777777" w:rsidR="00B05C79" w:rsidRPr="00DA4360" w:rsidRDefault="00B05C79" w:rsidP="003F6F1A">
            <w:pPr>
              <w:spacing w:after="0" w:line="240" w:lineRule="auto"/>
              <w:jc w:val="right"/>
              <w:rPr>
                <w:rFonts w:ascii="Arial" w:hAnsi="Arial" w:cs="Arial"/>
                <w:sz w:val="17"/>
                <w:szCs w:val="17"/>
                <w:lang w:val="en-CA"/>
              </w:rPr>
            </w:pPr>
            <w:r w:rsidRPr="00DA4360">
              <w:rPr>
                <w:rFonts w:ascii="Arial" w:hAnsi="Arial" w:cs="Arial"/>
                <w:sz w:val="17"/>
                <w:szCs w:val="17"/>
                <w:lang w:val="en-CA"/>
              </w:rPr>
              <w:t>514</w:t>
            </w:r>
          </w:p>
        </w:tc>
        <w:tc>
          <w:tcPr>
            <w:tcW w:w="784" w:type="dxa"/>
            <w:shd w:val="clear" w:color="auto" w:fill="auto"/>
            <w:vAlign w:val="bottom"/>
          </w:tcPr>
          <w:p w14:paraId="19C1CC5D" w14:textId="77777777" w:rsidR="00B05C79" w:rsidRPr="00DA4360" w:rsidRDefault="00B05C79" w:rsidP="003F6F1A">
            <w:pPr>
              <w:spacing w:after="0" w:line="240" w:lineRule="auto"/>
              <w:jc w:val="right"/>
              <w:rPr>
                <w:rFonts w:ascii="Arial" w:hAnsi="Arial" w:cs="Arial"/>
                <w:sz w:val="17"/>
                <w:szCs w:val="17"/>
                <w:lang w:val="en-CA"/>
              </w:rPr>
            </w:pPr>
            <w:r w:rsidRPr="00DA4360">
              <w:rPr>
                <w:rFonts w:ascii="Arial" w:hAnsi="Arial" w:cs="Arial"/>
                <w:sz w:val="17"/>
                <w:szCs w:val="17"/>
                <w:lang w:val="en-CA"/>
              </w:rPr>
              <w:t>1,546</w:t>
            </w:r>
          </w:p>
        </w:tc>
        <w:tc>
          <w:tcPr>
            <w:tcW w:w="772" w:type="dxa"/>
            <w:shd w:val="clear" w:color="auto" w:fill="auto"/>
            <w:vAlign w:val="bottom"/>
          </w:tcPr>
          <w:p w14:paraId="3AC9BBE4" w14:textId="77777777" w:rsidR="00B05C79" w:rsidRPr="00DA4360" w:rsidRDefault="00B05C79" w:rsidP="003F6F1A">
            <w:pPr>
              <w:spacing w:after="0" w:line="240" w:lineRule="auto"/>
              <w:jc w:val="right"/>
              <w:rPr>
                <w:rFonts w:ascii="Arial" w:hAnsi="Arial" w:cs="Arial"/>
                <w:sz w:val="17"/>
                <w:szCs w:val="17"/>
                <w:lang w:val="en-CA"/>
              </w:rPr>
            </w:pPr>
            <w:r w:rsidRPr="00DA4360">
              <w:rPr>
                <w:rFonts w:ascii="Arial" w:hAnsi="Arial" w:cs="Arial"/>
                <w:sz w:val="17"/>
                <w:szCs w:val="17"/>
                <w:lang w:val="en-CA"/>
              </w:rPr>
              <w:t>1,038</w:t>
            </w:r>
          </w:p>
        </w:tc>
        <w:tc>
          <w:tcPr>
            <w:tcW w:w="720" w:type="dxa"/>
            <w:shd w:val="clear" w:color="auto" w:fill="auto"/>
            <w:vAlign w:val="bottom"/>
          </w:tcPr>
          <w:p w14:paraId="6839E4D4" w14:textId="77777777" w:rsidR="00B05C79" w:rsidRPr="00DA4360" w:rsidRDefault="00B05C79" w:rsidP="003F6F1A">
            <w:pPr>
              <w:spacing w:after="0" w:line="240" w:lineRule="auto"/>
              <w:jc w:val="right"/>
              <w:rPr>
                <w:rFonts w:ascii="Arial" w:hAnsi="Arial" w:cs="Arial"/>
                <w:sz w:val="17"/>
                <w:szCs w:val="17"/>
                <w:lang w:val="en-CA"/>
              </w:rPr>
            </w:pPr>
            <w:r w:rsidRPr="00DA4360">
              <w:rPr>
                <w:rFonts w:ascii="Arial" w:hAnsi="Arial" w:cs="Arial"/>
                <w:sz w:val="17"/>
                <w:szCs w:val="17"/>
                <w:lang w:val="en-CA"/>
              </w:rPr>
              <w:t>1,359</w:t>
            </w:r>
          </w:p>
        </w:tc>
        <w:tc>
          <w:tcPr>
            <w:tcW w:w="720" w:type="dxa"/>
            <w:shd w:val="clear" w:color="auto" w:fill="auto"/>
            <w:vAlign w:val="bottom"/>
          </w:tcPr>
          <w:p w14:paraId="100C9267" w14:textId="77777777" w:rsidR="00B05C79" w:rsidRPr="00DA4360" w:rsidRDefault="00B05C79" w:rsidP="003F6F1A">
            <w:pPr>
              <w:spacing w:after="0" w:line="240" w:lineRule="auto"/>
              <w:jc w:val="right"/>
              <w:rPr>
                <w:rFonts w:ascii="Arial" w:hAnsi="Arial" w:cs="Arial"/>
                <w:sz w:val="17"/>
                <w:szCs w:val="17"/>
                <w:lang w:val="en-CA"/>
              </w:rPr>
            </w:pPr>
            <w:r w:rsidRPr="00DA4360">
              <w:rPr>
                <w:rFonts w:ascii="Arial" w:hAnsi="Arial" w:cs="Arial"/>
                <w:sz w:val="17"/>
                <w:szCs w:val="17"/>
                <w:lang w:val="en-CA"/>
              </w:rPr>
              <w:t>630</w:t>
            </w:r>
          </w:p>
        </w:tc>
        <w:tc>
          <w:tcPr>
            <w:tcW w:w="720" w:type="dxa"/>
            <w:shd w:val="clear" w:color="auto" w:fill="auto"/>
            <w:vAlign w:val="bottom"/>
          </w:tcPr>
          <w:p w14:paraId="4D5936C9" w14:textId="77777777" w:rsidR="00B05C79" w:rsidRPr="00DA4360" w:rsidRDefault="00B05C79" w:rsidP="003F6F1A">
            <w:pPr>
              <w:spacing w:after="0" w:line="240" w:lineRule="auto"/>
              <w:jc w:val="right"/>
              <w:rPr>
                <w:rFonts w:ascii="Arial" w:hAnsi="Arial" w:cs="Arial"/>
                <w:sz w:val="17"/>
                <w:szCs w:val="17"/>
                <w:lang w:val="en-CA"/>
              </w:rPr>
            </w:pPr>
            <w:r w:rsidRPr="00DA4360">
              <w:rPr>
                <w:rFonts w:ascii="Arial" w:hAnsi="Arial" w:cs="Arial"/>
                <w:sz w:val="17"/>
                <w:szCs w:val="17"/>
                <w:lang w:val="en-CA"/>
              </w:rPr>
              <w:t>647</w:t>
            </w:r>
          </w:p>
        </w:tc>
        <w:tc>
          <w:tcPr>
            <w:tcW w:w="810" w:type="dxa"/>
            <w:shd w:val="clear" w:color="auto" w:fill="D0CECE"/>
            <w:vAlign w:val="bottom"/>
          </w:tcPr>
          <w:p w14:paraId="72978DCA" w14:textId="77777777" w:rsidR="00B05C79" w:rsidRPr="00DA4360" w:rsidRDefault="00D3689F" w:rsidP="000E01AB">
            <w:pPr>
              <w:spacing w:after="0" w:line="240" w:lineRule="auto"/>
              <w:jc w:val="right"/>
              <w:rPr>
                <w:rFonts w:ascii="Arial" w:hAnsi="Arial" w:cs="Arial"/>
                <w:b/>
                <w:sz w:val="17"/>
                <w:szCs w:val="17"/>
                <w:lang w:val="en-CA"/>
              </w:rPr>
            </w:pPr>
            <w:r w:rsidRPr="00DA4360">
              <w:rPr>
                <w:rFonts w:ascii="Arial" w:hAnsi="Arial" w:cs="Arial"/>
                <w:b/>
                <w:sz w:val="17"/>
                <w:szCs w:val="17"/>
                <w:lang w:val="en-CA"/>
              </w:rPr>
              <w:t>5,7</w:t>
            </w:r>
            <w:r w:rsidR="00FD4F52" w:rsidRPr="00DA4360">
              <w:rPr>
                <w:rFonts w:ascii="Arial" w:hAnsi="Arial" w:cs="Arial"/>
                <w:b/>
                <w:sz w:val="17"/>
                <w:szCs w:val="17"/>
                <w:lang w:val="en-CA"/>
              </w:rPr>
              <w:t>60</w:t>
            </w:r>
          </w:p>
        </w:tc>
        <w:tc>
          <w:tcPr>
            <w:tcW w:w="810" w:type="dxa"/>
            <w:shd w:val="clear" w:color="auto" w:fill="auto"/>
            <w:vAlign w:val="bottom"/>
          </w:tcPr>
          <w:p w14:paraId="3B27773E" w14:textId="77777777" w:rsidR="00B05C79" w:rsidRPr="00DA4360" w:rsidRDefault="00B05C79" w:rsidP="000E01AB">
            <w:pPr>
              <w:spacing w:after="0" w:line="240" w:lineRule="auto"/>
              <w:jc w:val="right"/>
              <w:rPr>
                <w:rFonts w:ascii="Arial" w:hAnsi="Arial" w:cs="Arial"/>
                <w:sz w:val="17"/>
                <w:szCs w:val="17"/>
                <w:lang w:val="en-CA"/>
              </w:rPr>
            </w:pPr>
            <w:r w:rsidRPr="00DA4360">
              <w:rPr>
                <w:rFonts w:ascii="Arial" w:hAnsi="Arial" w:cs="Arial"/>
                <w:sz w:val="17"/>
                <w:szCs w:val="17"/>
                <w:lang w:val="en-CA"/>
              </w:rPr>
              <w:t>1,038</w:t>
            </w:r>
          </w:p>
        </w:tc>
      </w:tr>
      <w:tr w:rsidR="003E0848" w:rsidRPr="00DA4360" w14:paraId="36EF55D5" w14:textId="77777777" w:rsidTr="004A1755">
        <w:tc>
          <w:tcPr>
            <w:tcW w:w="2154" w:type="dxa"/>
            <w:shd w:val="clear" w:color="auto" w:fill="auto"/>
          </w:tcPr>
          <w:p w14:paraId="1944053C" w14:textId="77777777" w:rsidR="00B05C79" w:rsidRPr="00DA4360" w:rsidRDefault="00B05C79" w:rsidP="003F6F1A">
            <w:pPr>
              <w:spacing w:after="0" w:line="240" w:lineRule="auto"/>
              <w:rPr>
                <w:rFonts w:ascii="Arial" w:hAnsi="Arial" w:cs="Arial"/>
                <w:sz w:val="17"/>
                <w:szCs w:val="17"/>
                <w:lang w:val="en-CA"/>
              </w:rPr>
            </w:pPr>
          </w:p>
        </w:tc>
        <w:tc>
          <w:tcPr>
            <w:tcW w:w="810" w:type="dxa"/>
            <w:shd w:val="clear" w:color="auto" w:fill="D0CECE"/>
            <w:vAlign w:val="bottom"/>
          </w:tcPr>
          <w:p w14:paraId="61899A8C" w14:textId="77777777" w:rsidR="00B05C79" w:rsidRPr="00DA4360" w:rsidRDefault="00B05C79" w:rsidP="003F6F1A">
            <w:pPr>
              <w:spacing w:after="0" w:line="240" w:lineRule="auto"/>
              <w:jc w:val="right"/>
              <w:rPr>
                <w:rFonts w:ascii="Arial" w:hAnsi="Arial" w:cs="Arial"/>
                <w:b/>
                <w:sz w:val="17"/>
                <w:szCs w:val="17"/>
                <w:lang w:val="en-CA"/>
              </w:rPr>
            </w:pPr>
          </w:p>
        </w:tc>
        <w:tc>
          <w:tcPr>
            <w:tcW w:w="720" w:type="dxa"/>
            <w:shd w:val="clear" w:color="auto" w:fill="FFFFFF"/>
            <w:vAlign w:val="bottom"/>
          </w:tcPr>
          <w:p w14:paraId="76FADF32" w14:textId="77777777" w:rsidR="00B05C79" w:rsidRPr="00DA4360" w:rsidRDefault="00B05C79" w:rsidP="003F6F1A">
            <w:pPr>
              <w:spacing w:after="0" w:line="240" w:lineRule="auto"/>
              <w:jc w:val="right"/>
              <w:rPr>
                <w:rFonts w:ascii="Arial" w:hAnsi="Arial" w:cs="Arial"/>
                <w:sz w:val="17"/>
                <w:szCs w:val="17"/>
                <w:lang w:val="en-CA"/>
              </w:rPr>
            </w:pPr>
          </w:p>
        </w:tc>
        <w:tc>
          <w:tcPr>
            <w:tcW w:w="784" w:type="dxa"/>
            <w:shd w:val="clear" w:color="auto" w:fill="auto"/>
            <w:vAlign w:val="bottom"/>
          </w:tcPr>
          <w:p w14:paraId="1151886A" w14:textId="77777777" w:rsidR="00B05C79" w:rsidRPr="00DA4360" w:rsidRDefault="00B05C79" w:rsidP="003F6F1A">
            <w:pPr>
              <w:spacing w:after="0" w:line="240" w:lineRule="auto"/>
              <w:jc w:val="right"/>
              <w:rPr>
                <w:rFonts w:ascii="Arial" w:hAnsi="Arial" w:cs="Arial"/>
                <w:sz w:val="17"/>
                <w:szCs w:val="17"/>
                <w:lang w:val="en-CA"/>
              </w:rPr>
            </w:pPr>
          </w:p>
        </w:tc>
        <w:tc>
          <w:tcPr>
            <w:tcW w:w="784" w:type="dxa"/>
            <w:shd w:val="clear" w:color="auto" w:fill="auto"/>
            <w:vAlign w:val="bottom"/>
          </w:tcPr>
          <w:p w14:paraId="7FEAF8BC" w14:textId="77777777" w:rsidR="00B05C79" w:rsidRPr="00DA4360" w:rsidRDefault="00B05C79" w:rsidP="003F6F1A">
            <w:pPr>
              <w:spacing w:after="0" w:line="240" w:lineRule="auto"/>
              <w:jc w:val="right"/>
              <w:rPr>
                <w:rFonts w:ascii="Arial" w:hAnsi="Arial" w:cs="Arial"/>
                <w:sz w:val="17"/>
                <w:szCs w:val="17"/>
                <w:lang w:val="en-CA"/>
              </w:rPr>
            </w:pPr>
          </w:p>
        </w:tc>
        <w:tc>
          <w:tcPr>
            <w:tcW w:w="772" w:type="dxa"/>
            <w:shd w:val="clear" w:color="auto" w:fill="auto"/>
            <w:vAlign w:val="bottom"/>
          </w:tcPr>
          <w:p w14:paraId="74554745" w14:textId="77777777" w:rsidR="00B05C79" w:rsidRPr="00DA4360" w:rsidRDefault="00B05C79" w:rsidP="003F6F1A">
            <w:pPr>
              <w:spacing w:after="0" w:line="240" w:lineRule="auto"/>
              <w:jc w:val="right"/>
              <w:rPr>
                <w:rFonts w:ascii="Arial" w:hAnsi="Arial" w:cs="Arial"/>
                <w:sz w:val="17"/>
                <w:szCs w:val="17"/>
                <w:lang w:val="en-CA"/>
              </w:rPr>
            </w:pPr>
          </w:p>
        </w:tc>
        <w:tc>
          <w:tcPr>
            <w:tcW w:w="720" w:type="dxa"/>
            <w:shd w:val="clear" w:color="auto" w:fill="auto"/>
            <w:vAlign w:val="bottom"/>
          </w:tcPr>
          <w:p w14:paraId="069C0F64" w14:textId="77777777" w:rsidR="00B05C79" w:rsidRPr="00DA4360" w:rsidRDefault="00B05C79" w:rsidP="003F6F1A">
            <w:pPr>
              <w:spacing w:after="0" w:line="240" w:lineRule="auto"/>
              <w:jc w:val="right"/>
              <w:rPr>
                <w:rFonts w:ascii="Arial" w:hAnsi="Arial" w:cs="Arial"/>
                <w:sz w:val="17"/>
                <w:szCs w:val="17"/>
                <w:lang w:val="en-CA"/>
              </w:rPr>
            </w:pPr>
          </w:p>
        </w:tc>
        <w:tc>
          <w:tcPr>
            <w:tcW w:w="720" w:type="dxa"/>
            <w:shd w:val="clear" w:color="auto" w:fill="auto"/>
            <w:vAlign w:val="bottom"/>
          </w:tcPr>
          <w:p w14:paraId="2C072368" w14:textId="77777777" w:rsidR="00B05C79" w:rsidRPr="00DA4360" w:rsidRDefault="00B05C79" w:rsidP="003F6F1A">
            <w:pPr>
              <w:spacing w:after="0" w:line="240" w:lineRule="auto"/>
              <w:jc w:val="right"/>
              <w:rPr>
                <w:rFonts w:ascii="Arial" w:hAnsi="Arial" w:cs="Arial"/>
                <w:sz w:val="17"/>
                <w:szCs w:val="17"/>
                <w:lang w:val="en-CA"/>
              </w:rPr>
            </w:pPr>
          </w:p>
        </w:tc>
        <w:tc>
          <w:tcPr>
            <w:tcW w:w="720" w:type="dxa"/>
            <w:shd w:val="clear" w:color="auto" w:fill="auto"/>
            <w:vAlign w:val="bottom"/>
          </w:tcPr>
          <w:p w14:paraId="28E6097A" w14:textId="77777777" w:rsidR="00B05C79" w:rsidRPr="00DA4360" w:rsidRDefault="00B05C79" w:rsidP="003F6F1A">
            <w:pPr>
              <w:spacing w:after="0" w:line="240" w:lineRule="auto"/>
              <w:jc w:val="right"/>
              <w:rPr>
                <w:rFonts w:ascii="Arial" w:hAnsi="Arial" w:cs="Arial"/>
                <w:sz w:val="17"/>
                <w:szCs w:val="17"/>
                <w:lang w:val="en-CA"/>
              </w:rPr>
            </w:pPr>
          </w:p>
        </w:tc>
        <w:tc>
          <w:tcPr>
            <w:tcW w:w="810" w:type="dxa"/>
            <w:shd w:val="clear" w:color="auto" w:fill="D0CECE"/>
            <w:vAlign w:val="bottom"/>
          </w:tcPr>
          <w:p w14:paraId="1C0645BE" w14:textId="77777777" w:rsidR="00B05C79" w:rsidRPr="00DA4360" w:rsidRDefault="00B05C79" w:rsidP="000E01AB">
            <w:pPr>
              <w:spacing w:after="0" w:line="240" w:lineRule="auto"/>
              <w:jc w:val="right"/>
              <w:rPr>
                <w:rFonts w:ascii="Arial" w:hAnsi="Arial" w:cs="Arial"/>
                <w:b/>
                <w:sz w:val="17"/>
                <w:szCs w:val="17"/>
                <w:lang w:val="en-CA"/>
              </w:rPr>
            </w:pPr>
          </w:p>
        </w:tc>
        <w:tc>
          <w:tcPr>
            <w:tcW w:w="810" w:type="dxa"/>
            <w:shd w:val="clear" w:color="auto" w:fill="auto"/>
            <w:vAlign w:val="bottom"/>
          </w:tcPr>
          <w:p w14:paraId="37AE5B3F" w14:textId="77777777" w:rsidR="00B05C79" w:rsidRPr="00DA4360" w:rsidRDefault="00B05C79" w:rsidP="000E01AB">
            <w:pPr>
              <w:spacing w:after="0" w:line="240" w:lineRule="auto"/>
              <w:jc w:val="right"/>
              <w:rPr>
                <w:rFonts w:ascii="Arial" w:hAnsi="Arial" w:cs="Arial"/>
                <w:sz w:val="17"/>
                <w:szCs w:val="17"/>
                <w:lang w:val="en-CA"/>
              </w:rPr>
            </w:pPr>
          </w:p>
        </w:tc>
      </w:tr>
      <w:tr w:rsidR="003E0848" w:rsidRPr="00DA4360" w14:paraId="0E3F6D4B" w14:textId="77777777" w:rsidTr="004A1755">
        <w:tc>
          <w:tcPr>
            <w:tcW w:w="2154" w:type="dxa"/>
            <w:shd w:val="clear" w:color="auto" w:fill="auto"/>
          </w:tcPr>
          <w:p w14:paraId="16BC8CF8" w14:textId="77777777" w:rsidR="00B05C79" w:rsidRPr="00DA4360" w:rsidRDefault="00B05C79" w:rsidP="003F6F1A">
            <w:pPr>
              <w:spacing w:after="0" w:line="240" w:lineRule="auto"/>
              <w:rPr>
                <w:rFonts w:ascii="Arial" w:hAnsi="Arial" w:cs="Arial"/>
                <w:b/>
                <w:sz w:val="17"/>
                <w:szCs w:val="17"/>
                <w:lang w:val="en-CA"/>
              </w:rPr>
            </w:pPr>
            <w:r w:rsidRPr="00DA4360">
              <w:rPr>
                <w:rFonts w:ascii="Arial" w:hAnsi="Arial" w:cs="Arial"/>
                <w:b/>
                <w:sz w:val="17"/>
                <w:szCs w:val="17"/>
                <w:lang w:val="en-CA"/>
              </w:rPr>
              <w:t>OPERATING RESULTS:</w:t>
            </w:r>
          </w:p>
        </w:tc>
        <w:tc>
          <w:tcPr>
            <w:tcW w:w="810" w:type="dxa"/>
            <w:shd w:val="clear" w:color="auto" w:fill="D0CECE"/>
            <w:vAlign w:val="bottom"/>
          </w:tcPr>
          <w:p w14:paraId="5A78CF99" w14:textId="77777777" w:rsidR="00B05C79" w:rsidRPr="00DA4360" w:rsidRDefault="00B05C79" w:rsidP="003F6F1A">
            <w:pPr>
              <w:spacing w:after="0" w:line="240" w:lineRule="auto"/>
              <w:jc w:val="right"/>
              <w:rPr>
                <w:rFonts w:ascii="Arial" w:hAnsi="Arial" w:cs="Arial"/>
                <w:b/>
                <w:sz w:val="17"/>
                <w:szCs w:val="17"/>
                <w:lang w:val="en-CA"/>
              </w:rPr>
            </w:pPr>
          </w:p>
        </w:tc>
        <w:tc>
          <w:tcPr>
            <w:tcW w:w="720" w:type="dxa"/>
            <w:shd w:val="clear" w:color="auto" w:fill="FFFFFF"/>
            <w:vAlign w:val="bottom"/>
          </w:tcPr>
          <w:p w14:paraId="67C101B0" w14:textId="77777777" w:rsidR="00B05C79" w:rsidRPr="00DA4360" w:rsidRDefault="00B05C79" w:rsidP="003F6F1A">
            <w:pPr>
              <w:spacing w:after="0" w:line="240" w:lineRule="auto"/>
              <w:jc w:val="right"/>
              <w:rPr>
                <w:rFonts w:ascii="Arial" w:hAnsi="Arial" w:cs="Arial"/>
                <w:sz w:val="17"/>
                <w:szCs w:val="17"/>
                <w:lang w:val="en-CA"/>
              </w:rPr>
            </w:pPr>
          </w:p>
        </w:tc>
        <w:tc>
          <w:tcPr>
            <w:tcW w:w="784" w:type="dxa"/>
            <w:shd w:val="clear" w:color="auto" w:fill="auto"/>
            <w:vAlign w:val="bottom"/>
          </w:tcPr>
          <w:p w14:paraId="726AA65C" w14:textId="77777777" w:rsidR="00B05C79" w:rsidRPr="00DA4360" w:rsidRDefault="00B05C79" w:rsidP="003F6F1A">
            <w:pPr>
              <w:spacing w:after="0" w:line="240" w:lineRule="auto"/>
              <w:jc w:val="right"/>
              <w:rPr>
                <w:rFonts w:ascii="Arial" w:hAnsi="Arial" w:cs="Arial"/>
                <w:sz w:val="17"/>
                <w:szCs w:val="17"/>
                <w:lang w:val="en-CA"/>
              </w:rPr>
            </w:pPr>
          </w:p>
        </w:tc>
        <w:tc>
          <w:tcPr>
            <w:tcW w:w="784" w:type="dxa"/>
            <w:shd w:val="clear" w:color="auto" w:fill="auto"/>
            <w:vAlign w:val="bottom"/>
          </w:tcPr>
          <w:p w14:paraId="007D0712" w14:textId="77777777" w:rsidR="00B05C79" w:rsidRPr="00DA4360" w:rsidRDefault="00B05C79" w:rsidP="003F6F1A">
            <w:pPr>
              <w:spacing w:after="0" w:line="240" w:lineRule="auto"/>
              <w:jc w:val="right"/>
              <w:rPr>
                <w:rFonts w:ascii="Arial" w:hAnsi="Arial" w:cs="Arial"/>
                <w:sz w:val="17"/>
                <w:szCs w:val="17"/>
                <w:lang w:val="en-CA"/>
              </w:rPr>
            </w:pPr>
          </w:p>
        </w:tc>
        <w:tc>
          <w:tcPr>
            <w:tcW w:w="772" w:type="dxa"/>
            <w:shd w:val="clear" w:color="auto" w:fill="auto"/>
            <w:vAlign w:val="bottom"/>
          </w:tcPr>
          <w:p w14:paraId="5784E387" w14:textId="77777777" w:rsidR="00B05C79" w:rsidRPr="00DA4360" w:rsidRDefault="00B05C79" w:rsidP="003F6F1A">
            <w:pPr>
              <w:spacing w:after="0" w:line="240" w:lineRule="auto"/>
              <w:jc w:val="right"/>
              <w:rPr>
                <w:rFonts w:ascii="Arial" w:hAnsi="Arial" w:cs="Arial"/>
                <w:sz w:val="17"/>
                <w:szCs w:val="17"/>
                <w:lang w:val="en-CA"/>
              </w:rPr>
            </w:pPr>
          </w:p>
        </w:tc>
        <w:tc>
          <w:tcPr>
            <w:tcW w:w="720" w:type="dxa"/>
            <w:shd w:val="clear" w:color="auto" w:fill="auto"/>
            <w:vAlign w:val="bottom"/>
          </w:tcPr>
          <w:p w14:paraId="20198F68" w14:textId="77777777" w:rsidR="00B05C79" w:rsidRPr="00DA4360" w:rsidRDefault="00B05C79" w:rsidP="003F6F1A">
            <w:pPr>
              <w:spacing w:after="0" w:line="240" w:lineRule="auto"/>
              <w:jc w:val="right"/>
              <w:rPr>
                <w:rFonts w:ascii="Arial" w:hAnsi="Arial" w:cs="Arial"/>
                <w:sz w:val="17"/>
                <w:szCs w:val="17"/>
                <w:lang w:val="en-CA"/>
              </w:rPr>
            </w:pPr>
          </w:p>
        </w:tc>
        <w:tc>
          <w:tcPr>
            <w:tcW w:w="720" w:type="dxa"/>
            <w:shd w:val="clear" w:color="auto" w:fill="auto"/>
            <w:vAlign w:val="bottom"/>
          </w:tcPr>
          <w:p w14:paraId="0F9F542A" w14:textId="77777777" w:rsidR="00B05C79" w:rsidRPr="00DA4360" w:rsidRDefault="00B05C79" w:rsidP="003F6F1A">
            <w:pPr>
              <w:spacing w:after="0" w:line="240" w:lineRule="auto"/>
              <w:jc w:val="right"/>
              <w:rPr>
                <w:rFonts w:ascii="Arial" w:hAnsi="Arial" w:cs="Arial"/>
                <w:sz w:val="17"/>
                <w:szCs w:val="17"/>
                <w:lang w:val="en-CA"/>
              </w:rPr>
            </w:pPr>
          </w:p>
        </w:tc>
        <w:tc>
          <w:tcPr>
            <w:tcW w:w="720" w:type="dxa"/>
            <w:shd w:val="clear" w:color="auto" w:fill="auto"/>
            <w:vAlign w:val="bottom"/>
          </w:tcPr>
          <w:p w14:paraId="6E6C7864" w14:textId="77777777" w:rsidR="00B05C79" w:rsidRPr="00DA4360" w:rsidRDefault="00B05C79" w:rsidP="003F6F1A">
            <w:pPr>
              <w:spacing w:after="0" w:line="240" w:lineRule="auto"/>
              <w:jc w:val="right"/>
              <w:rPr>
                <w:rFonts w:ascii="Arial" w:hAnsi="Arial" w:cs="Arial"/>
                <w:sz w:val="17"/>
                <w:szCs w:val="17"/>
                <w:lang w:val="en-CA"/>
              </w:rPr>
            </w:pPr>
          </w:p>
        </w:tc>
        <w:tc>
          <w:tcPr>
            <w:tcW w:w="810" w:type="dxa"/>
            <w:shd w:val="clear" w:color="auto" w:fill="D0CECE"/>
            <w:vAlign w:val="bottom"/>
          </w:tcPr>
          <w:p w14:paraId="525389D1" w14:textId="77777777" w:rsidR="00B05C79" w:rsidRPr="00DA4360" w:rsidRDefault="00B05C79" w:rsidP="000E01AB">
            <w:pPr>
              <w:spacing w:after="0" w:line="240" w:lineRule="auto"/>
              <w:jc w:val="right"/>
              <w:rPr>
                <w:rFonts w:ascii="Arial" w:hAnsi="Arial" w:cs="Arial"/>
                <w:b/>
                <w:sz w:val="17"/>
                <w:szCs w:val="17"/>
                <w:lang w:val="en-CA"/>
              </w:rPr>
            </w:pPr>
          </w:p>
        </w:tc>
        <w:tc>
          <w:tcPr>
            <w:tcW w:w="810" w:type="dxa"/>
            <w:shd w:val="clear" w:color="auto" w:fill="auto"/>
            <w:vAlign w:val="bottom"/>
          </w:tcPr>
          <w:p w14:paraId="69DAE992" w14:textId="77777777" w:rsidR="00B05C79" w:rsidRPr="00DA4360" w:rsidRDefault="00B05C79" w:rsidP="000E01AB">
            <w:pPr>
              <w:spacing w:after="0" w:line="240" w:lineRule="auto"/>
              <w:jc w:val="right"/>
              <w:rPr>
                <w:rFonts w:ascii="Arial" w:hAnsi="Arial" w:cs="Arial"/>
                <w:sz w:val="17"/>
                <w:szCs w:val="17"/>
                <w:lang w:val="en-CA"/>
              </w:rPr>
            </w:pPr>
          </w:p>
        </w:tc>
      </w:tr>
      <w:tr w:rsidR="003E0848" w:rsidRPr="00DA4360" w14:paraId="1C110874" w14:textId="77777777" w:rsidTr="004A1755">
        <w:tc>
          <w:tcPr>
            <w:tcW w:w="2154" w:type="dxa"/>
            <w:tcBorders>
              <w:bottom w:val="single" w:sz="4" w:space="0" w:color="auto"/>
            </w:tcBorders>
            <w:shd w:val="clear" w:color="auto" w:fill="auto"/>
          </w:tcPr>
          <w:p w14:paraId="32509543" w14:textId="77777777" w:rsidR="00B05C79" w:rsidRPr="00DA4360" w:rsidRDefault="00B05C79" w:rsidP="003F6F1A">
            <w:pPr>
              <w:spacing w:after="0" w:line="240" w:lineRule="auto"/>
              <w:rPr>
                <w:rFonts w:ascii="Arial" w:hAnsi="Arial" w:cs="Arial"/>
                <w:sz w:val="17"/>
                <w:szCs w:val="17"/>
                <w:lang w:val="en-CA"/>
              </w:rPr>
            </w:pPr>
            <w:r w:rsidRPr="00DA4360">
              <w:rPr>
                <w:rFonts w:ascii="Arial" w:hAnsi="Arial" w:cs="Arial"/>
                <w:sz w:val="17"/>
                <w:szCs w:val="17"/>
                <w:lang w:val="en-CA"/>
              </w:rPr>
              <w:t>Patient visits</w:t>
            </w:r>
          </w:p>
        </w:tc>
        <w:tc>
          <w:tcPr>
            <w:tcW w:w="810" w:type="dxa"/>
            <w:tcBorders>
              <w:bottom w:val="single" w:sz="4" w:space="0" w:color="auto"/>
            </w:tcBorders>
            <w:shd w:val="clear" w:color="auto" w:fill="D0CECE"/>
            <w:vAlign w:val="bottom"/>
          </w:tcPr>
          <w:p w14:paraId="587AFBF6" w14:textId="77777777" w:rsidR="00B05C79" w:rsidRPr="00DA4360" w:rsidRDefault="00FB59C4" w:rsidP="003F6F1A">
            <w:pPr>
              <w:spacing w:after="0" w:line="240" w:lineRule="auto"/>
              <w:jc w:val="right"/>
              <w:rPr>
                <w:rFonts w:ascii="Arial" w:hAnsi="Arial" w:cs="Arial"/>
                <w:b/>
                <w:sz w:val="17"/>
                <w:szCs w:val="17"/>
                <w:lang w:val="en-CA"/>
              </w:rPr>
            </w:pPr>
            <w:r w:rsidRPr="00DA4360">
              <w:rPr>
                <w:rFonts w:ascii="Arial" w:hAnsi="Arial" w:cs="Arial"/>
                <w:b/>
                <w:sz w:val="17"/>
                <w:szCs w:val="17"/>
                <w:lang w:val="en-CA"/>
              </w:rPr>
              <w:t>4,299</w:t>
            </w:r>
          </w:p>
        </w:tc>
        <w:tc>
          <w:tcPr>
            <w:tcW w:w="720" w:type="dxa"/>
            <w:tcBorders>
              <w:bottom w:val="single" w:sz="4" w:space="0" w:color="auto"/>
            </w:tcBorders>
            <w:shd w:val="clear" w:color="auto" w:fill="FFFFFF"/>
            <w:vAlign w:val="bottom"/>
          </w:tcPr>
          <w:p w14:paraId="0120F74B" w14:textId="77777777" w:rsidR="00B05C79" w:rsidRPr="00DA4360" w:rsidRDefault="00B05C79" w:rsidP="003F6F1A">
            <w:pPr>
              <w:spacing w:after="0" w:line="240" w:lineRule="auto"/>
              <w:jc w:val="right"/>
              <w:rPr>
                <w:rFonts w:ascii="Arial" w:hAnsi="Arial" w:cs="Arial"/>
                <w:sz w:val="17"/>
                <w:szCs w:val="17"/>
                <w:lang w:val="en-CA"/>
              </w:rPr>
            </w:pPr>
            <w:r w:rsidRPr="00DA4360">
              <w:rPr>
                <w:rFonts w:ascii="Arial" w:hAnsi="Arial" w:cs="Arial"/>
                <w:b/>
                <w:sz w:val="17"/>
                <w:szCs w:val="17"/>
                <w:lang w:val="en-CA"/>
              </w:rPr>
              <w:t>1,198</w:t>
            </w:r>
          </w:p>
        </w:tc>
        <w:tc>
          <w:tcPr>
            <w:tcW w:w="784" w:type="dxa"/>
            <w:tcBorders>
              <w:bottom w:val="single" w:sz="4" w:space="0" w:color="auto"/>
            </w:tcBorders>
            <w:shd w:val="clear" w:color="auto" w:fill="auto"/>
            <w:vAlign w:val="bottom"/>
          </w:tcPr>
          <w:p w14:paraId="68BBB370" w14:textId="77777777" w:rsidR="00B05C79" w:rsidRPr="00DA4360" w:rsidRDefault="00B05C79" w:rsidP="003F6F1A">
            <w:pPr>
              <w:spacing w:after="0" w:line="240" w:lineRule="auto"/>
              <w:jc w:val="right"/>
              <w:rPr>
                <w:rFonts w:ascii="Arial" w:hAnsi="Arial" w:cs="Arial"/>
                <w:sz w:val="17"/>
                <w:szCs w:val="17"/>
                <w:lang w:val="en-CA"/>
              </w:rPr>
            </w:pPr>
            <w:r w:rsidRPr="00DA4360">
              <w:rPr>
                <w:rFonts w:ascii="Arial" w:hAnsi="Arial" w:cs="Arial"/>
                <w:sz w:val="17"/>
                <w:szCs w:val="17"/>
                <w:lang w:val="en-CA"/>
              </w:rPr>
              <w:t>1,314</w:t>
            </w:r>
          </w:p>
        </w:tc>
        <w:tc>
          <w:tcPr>
            <w:tcW w:w="784" w:type="dxa"/>
            <w:tcBorders>
              <w:bottom w:val="single" w:sz="4" w:space="0" w:color="auto"/>
            </w:tcBorders>
            <w:shd w:val="clear" w:color="auto" w:fill="auto"/>
            <w:vAlign w:val="bottom"/>
          </w:tcPr>
          <w:p w14:paraId="03DFBC90" w14:textId="77777777" w:rsidR="00B05C79" w:rsidRPr="00DA4360" w:rsidRDefault="00B05C79" w:rsidP="003F6F1A">
            <w:pPr>
              <w:spacing w:after="0" w:line="240" w:lineRule="auto"/>
              <w:jc w:val="right"/>
              <w:rPr>
                <w:rFonts w:ascii="Arial" w:hAnsi="Arial" w:cs="Arial"/>
                <w:sz w:val="17"/>
                <w:szCs w:val="17"/>
                <w:lang w:val="en-CA"/>
              </w:rPr>
            </w:pPr>
            <w:r w:rsidRPr="00DA4360">
              <w:rPr>
                <w:rFonts w:ascii="Arial" w:hAnsi="Arial" w:cs="Arial"/>
                <w:sz w:val="17"/>
                <w:szCs w:val="17"/>
                <w:lang w:val="en-CA"/>
              </w:rPr>
              <w:t>1,864</w:t>
            </w:r>
          </w:p>
        </w:tc>
        <w:tc>
          <w:tcPr>
            <w:tcW w:w="772" w:type="dxa"/>
            <w:tcBorders>
              <w:bottom w:val="single" w:sz="4" w:space="0" w:color="auto"/>
            </w:tcBorders>
            <w:shd w:val="clear" w:color="auto" w:fill="auto"/>
            <w:vAlign w:val="bottom"/>
          </w:tcPr>
          <w:p w14:paraId="39519C55" w14:textId="77777777" w:rsidR="00B05C79" w:rsidRPr="00DA4360" w:rsidRDefault="00B05C79" w:rsidP="003F6F1A">
            <w:pPr>
              <w:spacing w:after="0" w:line="240" w:lineRule="auto"/>
              <w:jc w:val="right"/>
              <w:rPr>
                <w:rFonts w:ascii="Arial" w:hAnsi="Arial" w:cs="Arial"/>
                <w:sz w:val="17"/>
                <w:szCs w:val="17"/>
                <w:lang w:val="en-CA"/>
              </w:rPr>
            </w:pPr>
            <w:r w:rsidRPr="00DA4360">
              <w:rPr>
                <w:rFonts w:ascii="Arial" w:hAnsi="Arial" w:cs="Arial"/>
                <w:sz w:val="17"/>
                <w:szCs w:val="17"/>
                <w:lang w:val="en-CA"/>
              </w:rPr>
              <w:t>2,187</w:t>
            </w:r>
          </w:p>
        </w:tc>
        <w:tc>
          <w:tcPr>
            <w:tcW w:w="720" w:type="dxa"/>
            <w:tcBorders>
              <w:bottom w:val="single" w:sz="4" w:space="0" w:color="auto"/>
            </w:tcBorders>
            <w:shd w:val="clear" w:color="auto" w:fill="auto"/>
            <w:vAlign w:val="bottom"/>
          </w:tcPr>
          <w:p w14:paraId="0AE72F51" w14:textId="77777777" w:rsidR="00B05C79" w:rsidRPr="00DA4360" w:rsidRDefault="00B05C79" w:rsidP="003F6F1A">
            <w:pPr>
              <w:spacing w:after="0" w:line="240" w:lineRule="auto"/>
              <w:jc w:val="right"/>
              <w:rPr>
                <w:rFonts w:ascii="Arial" w:hAnsi="Arial" w:cs="Arial"/>
                <w:sz w:val="17"/>
                <w:szCs w:val="17"/>
                <w:lang w:val="en-CA"/>
              </w:rPr>
            </w:pPr>
            <w:r w:rsidRPr="00DA4360">
              <w:rPr>
                <w:rFonts w:ascii="Arial" w:hAnsi="Arial" w:cs="Arial"/>
                <w:sz w:val="17"/>
                <w:szCs w:val="17"/>
                <w:lang w:val="en-CA"/>
              </w:rPr>
              <w:t>2,242</w:t>
            </w:r>
          </w:p>
        </w:tc>
        <w:tc>
          <w:tcPr>
            <w:tcW w:w="720" w:type="dxa"/>
            <w:tcBorders>
              <w:bottom w:val="single" w:sz="4" w:space="0" w:color="auto"/>
            </w:tcBorders>
            <w:shd w:val="clear" w:color="auto" w:fill="auto"/>
            <w:vAlign w:val="bottom"/>
          </w:tcPr>
          <w:p w14:paraId="620EE002" w14:textId="77777777" w:rsidR="00B05C79" w:rsidRPr="00DA4360" w:rsidRDefault="00B05C79" w:rsidP="003F6F1A">
            <w:pPr>
              <w:spacing w:after="0" w:line="240" w:lineRule="auto"/>
              <w:jc w:val="right"/>
              <w:rPr>
                <w:rFonts w:ascii="Arial" w:hAnsi="Arial" w:cs="Arial"/>
                <w:sz w:val="17"/>
                <w:szCs w:val="17"/>
                <w:lang w:val="en-CA"/>
              </w:rPr>
            </w:pPr>
            <w:r w:rsidRPr="00DA4360">
              <w:rPr>
                <w:rFonts w:ascii="Arial" w:hAnsi="Arial" w:cs="Arial"/>
                <w:sz w:val="17"/>
                <w:szCs w:val="17"/>
                <w:lang w:val="en-CA"/>
              </w:rPr>
              <w:t>1,893</w:t>
            </w:r>
          </w:p>
        </w:tc>
        <w:tc>
          <w:tcPr>
            <w:tcW w:w="720" w:type="dxa"/>
            <w:tcBorders>
              <w:bottom w:val="single" w:sz="4" w:space="0" w:color="auto"/>
            </w:tcBorders>
            <w:shd w:val="clear" w:color="auto" w:fill="auto"/>
            <w:vAlign w:val="bottom"/>
          </w:tcPr>
          <w:p w14:paraId="6FB4A5A9" w14:textId="77777777" w:rsidR="00B05C79" w:rsidRPr="00DA4360" w:rsidRDefault="00B05C79" w:rsidP="003F6F1A">
            <w:pPr>
              <w:spacing w:after="0" w:line="240" w:lineRule="auto"/>
              <w:jc w:val="right"/>
              <w:rPr>
                <w:rFonts w:ascii="Arial" w:hAnsi="Arial" w:cs="Arial"/>
                <w:sz w:val="17"/>
                <w:szCs w:val="17"/>
                <w:lang w:val="en-CA"/>
              </w:rPr>
            </w:pPr>
            <w:r w:rsidRPr="00DA4360">
              <w:rPr>
                <w:rFonts w:ascii="Arial" w:hAnsi="Arial" w:cs="Arial"/>
                <w:sz w:val="17"/>
                <w:szCs w:val="17"/>
                <w:lang w:val="en-CA"/>
              </w:rPr>
              <w:t>2,520</w:t>
            </w:r>
          </w:p>
        </w:tc>
        <w:tc>
          <w:tcPr>
            <w:tcW w:w="810" w:type="dxa"/>
            <w:tcBorders>
              <w:bottom w:val="single" w:sz="4" w:space="0" w:color="auto"/>
            </w:tcBorders>
            <w:shd w:val="clear" w:color="auto" w:fill="D0CECE"/>
            <w:vAlign w:val="bottom"/>
          </w:tcPr>
          <w:p w14:paraId="004424AE" w14:textId="77777777" w:rsidR="00B05C79" w:rsidRPr="00DA4360" w:rsidRDefault="00FB59C4" w:rsidP="000E01AB">
            <w:pPr>
              <w:spacing w:after="0" w:line="240" w:lineRule="auto"/>
              <w:jc w:val="right"/>
              <w:rPr>
                <w:rFonts w:ascii="Arial" w:hAnsi="Arial" w:cs="Arial"/>
                <w:b/>
                <w:sz w:val="17"/>
                <w:szCs w:val="17"/>
                <w:lang w:val="en-CA"/>
              </w:rPr>
            </w:pPr>
            <w:r w:rsidRPr="00DA4360">
              <w:rPr>
                <w:rFonts w:ascii="Arial" w:hAnsi="Arial" w:cs="Arial"/>
                <w:b/>
                <w:sz w:val="17"/>
                <w:szCs w:val="17"/>
                <w:lang w:val="en-CA"/>
              </w:rPr>
              <w:t>5,497</w:t>
            </w:r>
          </w:p>
        </w:tc>
        <w:tc>
          <w:tcPr>
            <w:tcW w:w="810" w:type="dxa"/>
            <w:tcBorders>
              <w:bottom w:val="single" w:sz="4" w:space="0" w:color="auto"/>
            </w:tcBorders>
            <w:shd w:val="clear" w:color="auto" w:fill="auto"/>
            <w:vAlign w:val="bottom"/>
          </w:tcPr>
          <w:p w14:paraId="513FEA6C" w14:textId="77777777" w:rsidR="00B05C79" w:rsidRPr="00DA4360" w:rsidRDefault="00B05C79" w:rsidP="000E01AB">
            <w:pPr>
              <w:spacing w:after="0" w:line="240" w:lineRule="auto"/>
              <w:jc w:val="right"/>
              <w:rPr>
                <w:rFonts w:ascii="Arial" w:hAnsi="Arial" w:cs="Arial"/>
                <w:sz w:val="17"/>
                <w:szCs w:val="17"/>
                <w:lang w:val="en-CA"/>
              </w:rPr>
            </w:pPr>
            <w:r w:rsidRPr="00DA4360">
              <w:rPr>
                <w:rFonts w:ascii="Arial" w:hAnsi="Arial" w:cs="Arial"/>
                <w:sz w:val="17"/>
                <w:szCs w:val="17"/>
                <w:lang w:val="en-CA"/>
              </w:rPr>
              <w:t>4,429</w:t>
            </w:r>
          </w:p>
        </w:tc>
      </w:tr>
      <w:bookmarkEnd w:id="3"/>
    </w:tbl>
    <w:p w14:paraId="547E1C7C" w14:textId="77777777" w:rsidR="007D3CB8" w:rsidRDefault="007D3CB8" w:rsidP="003F6F1A">
      <w:pPr>
        <w:pStyle w:val="Heading7"/>
        <w:tabs>
          <w:tab w:val="left" w:pos="540"/>
        </w:tabs>
      </w:pPr>
    </w:p>
    <w:p w14:paraId="0517B2CB" w14:textId="77777777" w:rsidR="007D3CB8" w:rsidRDefault="007D3CB8" w:rsidP="003F6F1A">
      <w:pPr>
        <w:spacing w:after="0"/>
        <w:jc w:val="both"/>
        <w:rPr>
          <w:rFonts w:ascii="Arial" w:hAnsi="Arial" w:cs="Arial"/>
          <w:sz w:val="20"/>
          <w:szCs w:val="20"/>
        </w:rPr>
      </w:pPr>
      <w:r w:rsidRPr="00C90A0A">
        <w:rPr>
          <w:rFonts w:ascii="Arial" w:hAnsi="Arial" w:cs="Arial"/>
          <w:sz w:val="20"/>
          <w:szCs w:val="20"/>
        </w:rPr>
        <w:t xml:space="preserve">The </w:t>
      </w:r>
      <w:r>
        <w:rPr>
          <w:rFonts w:ascii="Arial" w:hAnsi="Arial" w:cs="Arial"/>
          <w:sz w:val="20"/>
          <w:szCs w:val="20"/>
        </w:rPr>
        <w:t>C</w:t>
      </w:r>
      <w:r w:rsidRPr="00C90A0A">
        <w:rPr>
          <w:rFonts w:ascii="Arial" w:hAnsi="Arial" w:cs="Arial"/>
          <w:sz w:val="20"/>
          <w:szCs w:val="20"/>
        </w:rPr>
        <w:t xml:space="preserve">ompany has a limited operating history, which can make it difficult for investors to evaluate the </w:t>
      </w:r>
      <w:r>
        <w:rPr>
          <w:rFonts w:ascii="Arial" w:hAnsi="Arial" w:cs="Arial"/>
          <w:sz w:val="20"/>
          <w:szCs w:val="20"/>
        </w:rPr>
        <w:t xml:space="preserve">Company’s </w:t>
      </w:r>
      <w:r w:rsidRPr="00C90A0A">
        <w:rPr>
          <w:rFonts w:ascii="Arial" w:hAnsi="Arial" w:cs="Arial"/>
          <w:sz w:val="20"/>
          <w:szCs w:val="20"/>
        </w:rPr>
        <w:t>operations</w:t>
      </w:r>
      <w:r>
        <w:rPr>
          <w:rFonts w:ascii="Arial" w:hAnsi="Arial" w:cs="Arial"/>
          <w:sz w:val="20"/>
          <w:szCs w:val="20"/>
        </w:rPr>
        <w:t>.</w:t>
      </w:r>
      <w:r w:rsidR="004E5202">
        <w:rPr>
          <w:rFonts w:ascii="Arial" w:hAnsi="Arial" w:cs="Arial"/>
          <w:sz w:val="20"/>
          <w:szCs w:val="20"/>
        </w:rPr>
        <w:t xml:space="preserve"> As a result,</w:t>
      </w:r>
      <w:r w:rsidR="004E5202" w:rsidRPr="004E5202">
        <w:rPr>
          <w:rFonts w:ascii="Arial" w:hAnsi="Arial" w:cs="Arial"/>
          <w:sz w:val="20"/>
          <w:szCs w:val="20"/>
        </w:rPr>
        <w:t xml:space="preserve"> the prior periods shown in the above table are not necessarily comparable and should not be relied upon as an indication of future performance. </w:t>
      </w:r>
    </w:p>
    <w:p w14:paraId="7932BEE1" w14:textId="77777777" w:rsidR="007D3CB8" w:rsidRPr="00C90A0A" w:rsidRDefault="007D3CB8" w:rsidP="003F6F1A">
      <w:pPr>
        <w:spacing w:after="0"/>
        <w:jc w:val="both"/>
        <w:rPr>
          <w:rFonts w:ascii="Arial" w:hAnsi="Arial" w:cs="Arial"/>
          <w:sz w:val="20"/>
          <w:szCs w:val="20"/>
        </w:rPr>
      </w:pPr>
    </w:p>
    <w:p w14:paraId="2AD1B33A" w14:textId="77777777" w:rsidR="007D3CB8" w:rsidRPr="00C90A0A" w:rsidRDefault="007D3CB8" w:rsidP="003F6F1A">
      <w:pPr>
        <w:spacing w:after="0"/>
        <w:jc w:val="both"/>
        <w:rPr>
          <w:rFonts w:ascii="Arial" w:hAnsi="Arial" w:cs="Arial"/>
          <w:sz w:val="20"/>
          <w:szCs w:val="20"/>
        </w:rPr>
      </w:pPr>
      <w:r w:rsidRPr="00C90A0A">
        <w:rPr>
          <w:rFonts w:ascii="Arial" w:hAnsi="Arial" w:cs="Arial"/>
          <w:sz w:val="20"/>
          <w:szCs w:val="20"/>
        </w:rPr>
        <w:t xml:space="preserve">The </w:t>
      </w:r>
      <w:r>
        <w:rPr>
          <w:rFonts w:ascii="Arial" w:hAnsi="Arial" w:cs="Arial"/>
          <w:sz w:val="20"/>
          <w:szCs w:val="20"/>
        </w:rPr>
        <w:t>C</w:t>
      </w:r>
      <w:r w:rsidRPr="00C90A0A">
        <w:rPr>
          <w:rFonts w:ascii="Arial" w:hAnsi="Arial" w:cs="Arial"/>
          <w:sz w:val="20"/>
          <w:szCs w:val="20"/>
        </w:rPr>
        <w:t xml:space="preserve">ompany is expected to remain subject to many of the risks common to early-stage enterprises for the foreseeable future, including challenges related to laws, regulations, licensing, integrating and retaining qualified employees; making effective use of limited resources; achieving market acceptance of existing and future solutions; competing against companies with greater financial and technical resources; acquiring and retaining customers; and developing new solutions. </w:t>
      </w:r>
    </w:p>
    <w:p w14:paraId="49D58AB7" w14:textId="77777777" w:rsidR="00D3689F" w:rsidRDefault="00D3689F" w:rsidP="003F6F1A">
      <w:pPr>
        <w:jc w:val="both"/>
        <w:rPr>
          <w:i/>
          <w:color w:val="000000"/>
          <w:sz w:val="20"/>
          <w:u w:val="single"/>
        </w:rPr>
      </w:pPr>
    </w:p>
    <w:p w14:paraId="203775BC" w14:textId="77777777" w:rsidR="00D3689F" w:rsidRDefault="00D3689F" w:rsidP="003F6F1A">
      <w:pPr>
        <w:jc w:val="both"/>
        <w:rPr>
          <w:i/>
          <w:color w:val="000000"/>
          <w:sz w:val="20"/>
          <w:u w:val="single"/>
        </w:rPr>
      </w:pPr>
    </w:p>
    <w:p w14:paraId="0AAC6C51" w14:textId="77777777" w:rsidR="00D3689F" w:rsidRDefault="00D3689F" w:rsidP="003F6F1A">
      <w:pPr>
        <w:jc w:val="both"/>
        <w:rPr>
          <w:i/>
          <w:color w:val="000000"/>
          <w:sz w:val="20"/>
          <w:u w:val="single"/>
        </w:rPr>
      </w:pPr>
    </w:p>
    <w:p w14:paraId="13C409B0" w14:textId="77777777" w:rsidR="00D3689F" w:rsidRDefault="00D3689F" w:rsidP="003F6F1A">
      <w:pPr>
        <w:jc w:val="both"/>
        <w:rPr>
          <w:i/>
          <w:color w:val="000000"/>
          <w:sz w:val="20"/>
          <w:u w:val="single"/>
        </w:rPr>
      </w:pPr>
    </w:p>
    <w:p w14:paraId="62B4697F" w14:textId="77777777" w:rsidR="00D3689F" w:rsidRDefault="00D3689F" w:rsidP="003F6F1A">
      <w:pPr>
        <w:jc w:val="both"/>
        <w:rPr>
          <w:i/>
          <w:color w:val="000000"/>
          <w:sz w:val="20"/>
          <w:u w:val="single"/>
        </w:rPr>
      </w:pPr>
    </w:p>
    <w:p w14:paraId="3E400EB2" w14:textId="77777777" w:rsidR="00D3689F" w:rsidRDefault="00D3689F" w:rsidP="003F6F1A">
      <w:pPr>
        <w:jc w:val="both"/>
        <w:rPr>
          <w:i/>
          <w:color w:val="000000"/>
          <w:sz w:val="20"/>
          <w:u w:val="single"/>
        </w:rPr>
      </w:pPr>
    </w:p>
    <w:p w14:paraId="3A80892C" w14:textId="77777777" w:rsidR="00D3689F" w:rsidRDefault="00D3689F" w:rsidP="003F6F1A">
      <w:pPr>
        <w:jc w:val="both"/>
        <w:rPr>
          <w:i/>
          <w:color w:val="000000"/>
          <w:sz w:val="20"/>
          <w:u w:val="single"/>
        </w:rPr>
      </w:pPr>
    </w:p>
    <w:p w14:paraId="701B33E6" w14:textId="77777777" w:rsidR="00D3689F" w:rsidRDefault="00D3689F" w:rsidP="003F6F1A">
      <w:pPr>
        <w:jc w:val="both"/>
        <w:rPr>
          <w:i/>
          <w:color w:val="000000"/>
          <w:sz w:val="20"/>
          <w:u w:val="single"/>
        </w:rPr>
      </w:pPr>
    </w:p>
    <w:p w14:paraId="46B5E509" w14:textId="09E8D38D" w:rsidR="00453FBE" w:rsidRPr="005F6D26" w:rsidRDefault="00D242CC" w:rsidP="003F6F1A">
      <w:pPr>
        <w:jc w:val="both"/>
        <w:rPr>
          <w:rFonts w:ascii="Arial" w:hAnsi="Arial" w:cs="Arial"/>
          <w:i/>
          <w:color w:val="000000"/>
          <w:sz w:val="20"/>
          <w:u w:val="single"/>
        </w:rPr>
      </w:pPr>
      <w:r>
        <w:rPr>
          <w:rFonts w:ascii="Arial" w:hAnsi="Arial" w:cs="Arial"/>
          <w:i/>
          <w:color w:val="000000"/>
          <w:sz w:val="20"/>
          <w:u w:val="single"/>
        </w:rPr>
        <w:lastRenderedPageBreak/>
        <w:br/>
      </w:r>
      <w:r w:rsidR="00C870E2" w:rsidRPr="005F6D26">
        <w:rPr>
          <w:rFonts w:ascii="Arial" w:hAnsi="Arial" w:cs="Arial"/>
          <w:i/>
          <w:color w:val="000000"/>
          <w:sz w:val="20"/>
          <w:u w:val="single"/>
        </w:rPr>
        <w:t>Review of Consolidated Financial Information for Q</w:t>
      </w:r>
      <w:r w:rsidR="004B4490" w:rsidRPr="005F6D26">
        <w:rPr>
          <w:rFonts w:ascii="Arial" w:hAnsi="Arial" w:cs="Arial"/>
          <w:i/>
          <w:color w:val="000000"/>
          <w:sz w:val="20"/>
          <w:u w:val="single"/>
        </w:rPr>
        <w:t>2</w:t>
      </w:r>
      <w:r w:rsidR="00C870E2" w:rsidRPr="005F6D26">
        <w:rPr>
          <w:rFonts w:ascii="Arial" w:hAnsi="Arial" w:cs="Arial"/>
          <w:i/>
          <w:color w:val="000000"/>
          <w:sz w:val="20"/>
          <w:u w:val="single"/>
        </w:rPr>
        <w:t xml:space="preserve"> 201</w:t>
      </w:r>
      <w:r w:rsidR="008F357A" w:rsidRPr="005F6D26">
        <w:rPr>
          <w:rFonts w:ascii="Arial" w:hAnsi="Arial" w:cs="Arial"/>
          <w:i/>
          <w:color w:val="000000"/>
          <w:sz w:val="20"/>
          <w:u w:val="single"/>
        </w:rPr>
        <w:t>9</w:t>
      </w:r>
      <w:r w:rsidR="00C870E2" w:rsidRPr="005F6D26">
        <w:rPr>
          <w:rFonts w:ascii="Arial" w:hAnsi="Arial" w:cs="Arial"/>
          <w:i/>
          <w:color w:val="000000"/>
          <w:sz w:val="20"/>
          <w:u w:val="single"/>
        </w:rPr>
        <w:t xml:space="preserve"> compared to </w:t>
      </w:r>
      <w:r w:rsidR="004B4490" w:rsidRPr="005F6D26">
        <w:rPr>
          <w:rFonts w:ascii="Arial" w:hAnsi="Arial" w:cs="Arial"/>
          <w:i/>
          <w:color w:val="000000"/>
          <w:sz w:val="20"/>
          <w:u w:val="single"/>
        </w:rPr>
        <w:t>Q2</w:t>
      </w:r>
      <w:r w:rsidR="00C870E2" w:rsidRPr="005F6D26">
        <w:rPr>
          <w:rFonts w:ascii="Arial" w:hAnsi="Arial" w:cs="Arial"/>
          <w:i/>
          <w:color w:val="000000"/>
          <w:sz w:val="20"/>
          <w:u w:val="single"/>
        </w:rPr>
        <w:t xml:space="preserve"> 201</w:t>
      </w:r>
      <w:r w:rsidR="008F357A" w:rsidRPr="005F6D26">
        <w:rPr>
          <w:rFonts w:ascii="Arial" w:hAnsi="Arial" w:cs="Arial"/>
          <w:i/>
          <w:color w:val="000000"/>
          <w:sz w:val="20"/>
          <w:u w:val="single"/>
        </w:rPr>
        <w:t>8</w:t>
      </w:r>
    </w:p>
    <w:p w14:paraId="4B205220" w14:textId="77777777" w:rsidR="00631CA5" w:rsidRDefault="00631CA5" w:rsidP="003F6F1A">
      <w:pPr>
        <w:spacing w:after="0"/>
        <w:rPr>
          <w:rFonts w:ascii="Arial" w:hAnsi="Arial" w:cs="Arial"/>
          <w:sz w:val="20"/>
          <w:szCs w:val="20"/>
          <w:u w:val="single"/>
        </w:rPr>
      </w:pPr>
    </w:p>
    <w:tbl>
      <w:tblPr>
        <w:tblW w:w="9419" w:type="dxa"/>
        <w:tblLayout w:type="fixed"/>
        <w:tblLook w:val="04A0" w:firstRow="1" w:lastRow="0" w:firstColumn="1" w:lastColumn="0" w:noHBand="0" w:noVBand="1"/>
      </w:tblPr>
      <w:tblGrid>
        <w:gridCol w:w="4770"/>
        <w:gridCol w:w="236"/>
        <w:gridCol w:w="2054"/>
        <w:gridCol w:w="236"/>
        <w:gridCol w:w="2123"/>
      </w:tblGrid>
      <w:tr w:rsidR="003E0848" w:rsidRPr="00DA4360" w14:paraId="78C364FF" w14:textId="77777777" w:rsidTr="004A1755">
        <w:tc>
          <w:tcPr>
            <w:tcW w:w="4770" w:type="dxa"/>
            <w:tcBorders>
              <w:top w:val="single" w:sz="4" w:space="0" w:color="auto"/>
              <w:bottom w:val="single" w:sz="12" w:space="0" w:color="auto"/>
            </w:tcBorders>
            <w:shd w:val="clear" w:color="auto" w:fill="auto"/>
          </w:tcPr>
          <w:p w14:paraId="31FB76E2" w14:textId="77777777" w:rsidR="00631CA5" w:rsidRPr="00DA4360" w:rsidRDefault="00631CA5" w:rsidP="003F6F1A">
            <w:pPr>
              <w:keepNext/>
              <w:tabs>
                <w:tab w:val="left" w:pos="360"/>
              </w:tabs>
              <w:suppressAutoHyphens/>
              <w:spacing w:after="0" w:line="240" w:lineRule="auto"/>
              <w:jc w:val="both"/>
              <w:rPr>
                <w:rFonts w:ascii="Arial" w:hAnsi="Arial" w:cs="Arial"/>
                <w:sz w:val="20"/>
                <w:szCs w:val="20"/>
                <w:lang w:val="en-CA"/>
              </w:rPr>
            </w:pPr>
          </w:p>
        </w:tc>
        <w:tc>
          <w:tcPr>
            <w:tcW w:w="2290" w:type="dxa"/>
            <w:gridSpan w:val="2"/>
            <w:tcBorders>
              <w:top w:val="single" w:sz="4" w:space="0" w:color="auto"/>
              <w:bottom w:val="single" w:sz="12" w:space="0" w:color="auto"/>
            </w:tcBorders>
            <w:shd w:val="clear" w:color="auto" w:fill="auto"/>
            <w:vAlign w:val="bottom"/>
          </w:tcPr>
          <w:p w14:paraId="170C8D1A" w14:textId="77777777" w:rsidR="00631CA5" w:rsidRPr="00DA4360" w:rsidRDefault="00631CA5" w:rsidP="003F6F1A">
            <w:pPr>
              <w:keepNext/>
              <w:tabs>
                <w:tab w:val="left" w:pos="360"/>
              </w:tabs>
              <w:suppressAutoHyphens/>
              <w:spacing w:after="0" w:line="240" w:lineRule="auto"/>
              <w:jc w:val="right"/>
              <w:rPr>
                <w:rFonts w:ascii="Arial" w:hAnsi="Arial" w:cs="Arial"/>
                <w:b/>
                <w:i/>
                <w:sz w:val="20"/>
                <w:szCs w:val="20"/>
                <w:lang w:val="en-CA"/>
              </w:rPr>
            </w:pPr>
            <w:r w:rsidRPr="00DA4360">
              <w:rPr>
                <w:rFonts w:ascii="Arial" w:hAnsi="Arial" w:cs="Arial"/>
                <w:b/>
                <w:sz w:val="20"/>
                <w:szCs w:val="20"/>
                <w:lang w:val="en-CA"/>
              </w:rPr>
              <w:t>Q</w:t>
            </w:r>
            <w:r w:rsidR="004B4490" w:rsidRPr="00DA4360">
              <w:rPr>
                <w:rFonts w:ascii="Arial" w:hAnsi="Arial" w:cs="Arial"/>
                <w:b/>
                <w:sz w:val="20"/>
                <w:szCs w:val="20"/>
                <w:lang w:val="en-CA"/>
              </w:rPr>
              <w:t>2</w:t>
            </w:r>
            <w:r w:rsidRPr="00DA4360">
              <w:rPr>
                <w:rFonts w:ascii="Arial" w:hAnsi="Arial" w:cs="Arial"/>
                <w:b/>
                <w:sz w:val="20"/>
                <w:szCs w:val="20"/>
                <w:lang w:val="en-CA"/>
              </w:rPr>
              <w:t xml:space="preserve"> 201</w:t>
            </w:r>
            <w:r w:rsidR="008F357A" w:rsidRPr="00DA4360">
              <w:rPr>
                <w:rFonts w:ascii="Arial" w:hAnsi="Arial" w:cs="Arial"/>
                <w:b/>
                <w:sz w:val="20"/>
                <w:szCs w:val="20"/>
                <w:lang w:val="en-CA"/>
              </w:rPr>
              <w:t>9</w:t>
            </w:r>
          </w:p>
        </w:tc>
        <w:tc>
          <w:tcPr>
            <w:tcW w:w="2359" w:type="dxa"/>
            <w:gridSpan w:val="2"/>
            <w:tcBorders>
              <w:top w:val="single" w:sz="4" w:space="0" w:color="auto"/>
              <w:bottom w:val="single" w:sz="12" w:space="0" w:color="auto"/>
            </w:tcBorders>
            <w:shd w:val="clear" w:color="auto" w:fill="auto"/>
            <w:vAlign w:val="bottom"/>
          </w:tcPr>
          <w:p w14:paraId="578DDF7B" w14:textId="77777777" w:rsidR="00631CA5" w:rsidRPr="00DA4360" w:rsidRDefault="00631CA5" w:rsidP="003F6F1A">
            <w:pPr>
              <w:keepNext/>
              <w:tabs>
                <w:tab w:val="left" w:pos="360"/>
              </w:tabs>
              <w:suppressAutoHyphens/>
              <w:spacing w:after="0" w:line="240" w:lineRule="auto"/>
              <w:jc w:val="right"/>
              <w:rPr>
                <w:rFonts w:ascii="Arial" w:hAnsi="Arial" w:cs="Arial"/>
                <w:sz w:val="20"/>
                <w:szCs w:val="20"/>
                <w:lang w:val="en-CA"/>
              </w:rPr>
            </w:pPr>
            <w:r w:rsidRPr="00DA4360">
              <w:rPr>
                <w:rFonts w:ascii="Arial" w:hAnsi="Arial" w:cs="Arial"/>
                <w:sz w:val="20"/>
                <w:szCs w:val="20"/>
                <w:lang w:val="en-CA"/>
              </w:rPr>
              <w:t>Q</w:t>
            </w:r>
            <w:r w:rsidR="004B4490" w:rsidRPr="00DA4360">
              <w:rPr>
                <w:rFonts w:ascii="Arial" w:hAnsi="Arial" w:cs="Arial"/>
                <w:sz w:val="20"/>
                <w:szCs w:val="20"/>
                <w:lang w:val="en-CA"/>
              </w:rPr>
              <w:t>2</w:t>
            </w:r>
            <w:r w:rsidRPr="00DA4360">
              <w:rPr>
                <w:rFonts w:ascii="Arial" w:hAnsi="Arial" w:cs="Arial"/>
                <w:sz w:val="20"/>
                <w:szCs w:val="20"/>
                <w:lang w:val="en-CA"/>
              </w:rPr>
              <w:t xml:space="preserve"> 201</w:t>
            </w:r>
            <w:r w:rsidR="008F357A" w:rsidRPr="00DA4360">
              <w:rPr>
                <w:rFonts w:ascii="Arial" w:hAnsi="Arial" w:cs="Arial"/>
                <w:sz w:val="20"/>
                <w:szCs w:val="20"/>
                <w:lang w:val="en-CA"/>
              </w:rPr>
              <w:t>8</w:t>
            </w:r>
          </w:p>
        </w:tc>
      </w:tr>
      <w:tr w:rsidR="003E0848" w:rsidRPr="00DA4360" w14:paraId="30FD7BCA" w14:textId="77777777" w:rsidTr="004A1755">
        <w:tc>
          <w:tcPr>
            <w:tcW w:w="4770" w:type="dxa"/>
            <w:tcBorders>
              <w:top w:val="single" w:sz="12" w:space="0" w:color="auto"/>
            </w:tcBorders>
            <w:shd w:val="clear" w:color="auto" w:fill="auto"/>
          </w:tcPr>
          <w:p w14:paraId="7B067961" w14:textId="77777777" w:rsidR="00631CA5" w:rsidRPr="00DA4360" w:rsidRDefault="00631CA5" w:rsidP="003F6F1A">
            <w:pPr>
              <w:keepNext/>
              <w:tabs>
                <w:tab w:val="left" w:pos="360"/>
              </w:tabs>
              <w:suppressAutoHyphens/>
              <w:spacing w:after="0" w:line="240" w:lineRule="auto"/>
              <w:jc w:val="both"/>
              <w:rPr>
                <w:rFonts w:ascii="Arial" w:hAnsi="Arial" w:cs="Arial"/>
                <w:sz w:val="20"/>
                <w:szCs w:val="20"/>
                <w:lang w:val="en-CA"/>
              </w:rPr>
            </w:pPr>
          </w:p>
        </w:tc>
        <w:tc>
          <w:tcPr>
            <w:tcW w:w="236" w:type="dxa"/>
            <w:tcBorders>
              <w:top w:val="single" w:sz="12" w:space="0" w:color="auto"/>
            </w:tcBorders>
            <w:shd w:val="clear" w:color="auto" w:fill="auto"/>
          </w:tcPr>
          <w:p w14:paraId="426B6A0F" w14:textId="77777777" w:rsidR="00631CA5" w:rsidRPr="00DA4360" w:rsidRDefault="00631CA5" w:rsidP="003F6F1A">
            <w:pPr>
              <w:keepNext/>
              <w:tabs>
                <w:tab w:val="left" w:pos="360"/>
              </w:tabs>
              <w:suppressAutoHyphens/>
              <w:spacing w:after="0" w:line="240" w:lineRule="auto"/>
              <w:jc w:val="right"/>
              <w:rPr>
                <w:rFonts w:ascii="Arial" w:hAnsi="Arial" w:cs="Arial"/>
                <w:b/>
                <w:sz w:val="20"/>
                <w:szCs w:val="20"/>
                <w:lang w:val="en-CA"/>
              </w:rPr>
            </w:pPr>
          </w:p>
        </w:tc>
        <w:tc>
          <w:tcPr>
            <w:tcW w:w="2054" w:type="dxa"/>
            <w:tcBorders>
              <w:top w:val="single" w:sz="12" w:space="0" w:color="auto"/>
            </w:tcBorders>
            <w:shd w:val="clear" w:color="auto" w:fill="auto"/>
            <w:vAlign w:val="bottom"/>
          </w:tcPr>
          <w:p w14:paraId="2DD0A9FA" w14:textId="77777777" w:rsidR="00631CA5" w:rsidRPr="00DA4360" w:rsidRDefault="00631CA5" w:rsidP="003F6F1A">
            <w:pPr>
              <w:keepNext/>
              <w:tabs>
                <w:tab w:val="left" w:pos="360"/>
              </w:tabs>
              <w:suppressAutoHyphens/>
              <w:spacing w:after="0" w:line="240" w:lineRule="auto"/>
              <w:jc w:val="right"/>
              <w:rPr>
                <w:rFonts w:ascii="Arial" w:hAnsi="Arial" w:cs="Arial"/>
                <w:b/>
                <w:sz w:val="20"/>
                <w:szCs w:val="20"/>
                <w:lang w:val="en-CA"/>
              </w:rPr>
            </w:pPr>
          </w:p>
        </w:tc>
        <w:tc>
          <w:tcPr>
            <w:tcW w:w="236" w:type="dxa"/>
            <w:tcBorders>
              <w:top w:val="single" w:sz="12" w:space="0" w:color="auto"/>
            </w:tcBorders>
            <w:shd w:val="clear" w:color="auto" w:fill="auto"/>
            <w:vAlign w:val="bottom"/>
          </w:tcPr>
          <w:p w14:paraId="39159E35" w14:textId="77777777" w:rsidR="00631CA5" w:rsidRPr="00DA4360" w:rsidRDefault="00631CA5" w:rsidP="003F6F1A">
            <w:pPr>
              <w:keepNext/>
              <w:tabs>
                <w:tab w:val="left" w:pos="360"/>
              </w:tabs>
              <w:suppressAutoHyphens/>
              <w:spacing w:after="0" w:line="240" w:lineRule="auto"/>
              <w:jc w:val="right"/>
              <w:rPr>
                <w:rFonts w:ascii="Arial" w:hAnsi="Arial" w:cs="Arial"/>
                <w:sz w:val="20"/>
                <w:szCs w:val="20"/>
                <w:lang w:val="en-CA"/>
              </w:rPr>
            </w:pPr>
          </w:p>
        </w:tc>
        <w:tc>
          <w:tcPr>
            <w:tcW w:w="2123" w:type="dxa"/>
            <w:tcBorders>
              <w:top w:val="single" w:sz="12" w:space="0" w:color="auto"/>
            </w:tcBorders>
            <w:shd w:val="clear" w:color="auto" w:fill="auto"/>
            <w:vAlign w:val="bottom"/>
          </w:tcPr>
          <w:p w14:paraId="0D632E8C" w14:textId="77777777" w:rsidR="00631CA5" w:rsidRPr="00DA4360" w:rsidRDefault="00631CA5" w:rsidP="003F6F1A">
            <w:pPr>
              <w:keepNext/>
              <w:tabs>
                <w:tab w:val="left" w:pos="360"/>
              </w:tabs>
              <w:suppressAutoHyphens/>
              <w:spacing w:after="0" w:line="240" w:lineRule="auto"/>
              <w:jc w:val="right"/>
              <w:rPr>
                <w:rFonts w:ascii="Arial" w:hAnsi="Arial" w:cs="Arial"/>
                <w:sz w:val="20"/>
                <w:szCs w:val="20"/>
                <w:lang w:val="en-CA"/>
              </w:rPr>
            </w:pPr>
          </w:p>
        </w:tc>
      </w:tr>
      <w:tr w:rsidR="003E0848" w:rsidRPr="00DA4360" w14:paraId="7B24A510" w14:textId="77777777" w:rsidTr="004A1755">
        <w:tc>
          <w:tcPr>
            <w:tcW w:w="4770" w:type="dxa"/>
            <w:shd w:val="clear" w:color="auto" w:fill="auto"/>
          </w:tcPr>
          <w:p w14:paraId="0782C070" w14:textId="77777777" w:rsidR="00700C72" w:rsidRPr="00DA4360" w:rsidRDefault="00700C72" w:rsidP="003F6F1A">
            <w:pPr>
              <w:keepNext/>
              <w:tabs>
                <w:tab w:val="left" w:pos="360"/>
              </w:tabs>
              <w:suppressAutoHyphens/>
              <w:spacing w:after="0" w:line="240" w:lineRule="auto"/>
              <w:jc w:val="both"/>
              <w:rPr>
                <w:rFonts w:ascii="Arial" w:hAnsi="Arial" w:cs="Arial"/>
                <w:sz w:val="20"/>
                <w:szCs w:val="20"/>
                <w:lang w:val="en-CA"/>
              </w:rPr>
            </w:pPr>
            <w:r w:rsidRPr="00DA4360">
              <w:rPr>
                <w:rFonts w:ascii="Arial" w:hAnsi="Arial" w:cs="Arial"/>
                <w:sz w:val="20"/>
                <w:szCs w:val="20"/>
                <w:lang w:val="en-CA"/>
              </w:rPr>
              <w:t>Clinic revenues</w:t>
            </w:r>
          </w:p>
        </w:tc>
        <w:tc>
          <w:tcPr>
            <w:tcW w:w="236" w:type="dxa"/>
            <w:shd w:val="clear" w:color="auto" w:fill="auto"/>
          </w:tcPr>
          <w:p w14:paraId="3E1D4A2D" w14:textId="77777777" w:rsidR="00700C72" w:rsidRPr="00DA4360" w:rsidRDefault="00700C72" w:rsidP="003F6F1A">
            <w:pPr>
              <w:keepNext/>
              <w:tabs>
                <w:tab w:val="left" w:pos="360"/>
              </w:tabs>
              <w:suppressAutoHyphens/>
              <w:spacing w:after="0" w:line="240" w:lineRule="auto"/>
              <w:jc w:val="right"/>
              <w:rPr>
                <w:rFonts w:ascii="Arial" w:hAnsi="Arial" w:cs="Arial"/>
                <w:b/>
                <w:sz w:val="20"/>
                <w:szCs w:val="20"/>
                <w:lang w:val="en-CA"/>
              </w:rPr>
            </w:pPr>
            <w:r w:rsidRPr="00DA4360">
              <w:rPr>
                <w:rFonts w:ascii="Arial" w:hAnsi="Arial" w:cs="Arial"/>
                <w:b/>
                <w:sz w:val="20"/>
                <w:szCs w:val="20"/>
                <w:lang w:val="en-CA"/>
              </w:rPr>
              <w:t>$</w:t>
            </w:r>
          </w:p>
        </w:tc>
        <w:tc>
          <w:tcPr>
            <w:tcW w:w="2054" w:type="dxa"/>
            <w:shd w:val="clear" w:color="auto" w:fill="auto"/>
            <w:vAlign w:val="bottom"/>
          </w:tcPr>
          <w:p w14:paraId="04B370C0" w14:textId="77777777" w:rsidR="00700C72" w:rsidRPr="00DA4360" w:rsidRDefault="004B4490" w:rsidP="003F6F1A">
            <w:pPr>
              <w:keepNext/>
              <w:tabs>
                <w:tab w:val="left" w:pos="360"/>
              </w:tabs>
              <w:suppressAutoHyphens/>
              <w:spacing w:after="0" w:line="240" w:lineRule="auto"/>
              <w:jc w:val="right"/>
              <w:rPr>
                <w:rFonts w:ascii="Arial" w:hAnsi="Arial" w:cs="Arial"/>
                <w:b/>
                <w:sz w:val="20"/>
                <w:szCs w:val="20"/>
                <w:lang w:val="en-CA"/>
              </w:rPr>
            </w:pPr>
            <w:r w:rsidRPr="00DA4360">
              <w:rPr>
                <w:rFonts w:ascii="Arial" w:hAnsi="Arial" w:cs="Arial"/>
                <w:b/>
                <w:sz w:val="20"/>
                <w:szCs w:val="20"/>
                <w:lang w:val="en-CA"/>
              </w:rPr>
              <w:t>591,024</w:t>
            </w:r>
          </w:p>
        </w:tc>
        <w:tc>
          <w:tcPr>
            <w:tcW w:w="236" w:type="dxa"/>
            <w:shd w:val="clear" w:color="auto" w:fill="auto"/>
            <w:vAlign w:val="bottom"/>
          </w:tcPr>
          <w:p w14:paraId="72F92567" w14:textId="77777777" w:rsidR="00700C72" w:rsidRPr="00DA4360" w:rsidRDefault="00700C72" w:rsidP="003F6F1A">
            <w:pPr>
              <w:keepNext/>
              <w:tabs>
                <w:tab w:val="left" w:pos="360"/>
              </w:tabs>
              <w:suppressAutoHyphens/>
              <w:spacing w:after="0" w:line="240" w:lineRule="auto"/>
              <w:jc w:val="right"/>
              <w:rPr>
                <w:rFonts w:ascii="Arial" w:hAnsi="Arial" w:cs="Arial"/>
                <w:sz w:val="20"/>
                <w:szCs w:val="20"/>
                <w:lang w:val="en-CA"/>
              </w:rPr>
            </w:pPr>
            <w:r w:rsidRPr="00DA4360">
              <w:rPr>
                <w:rFonts w:ascii="Arial" w:hAnsi="Arial" w:cs="Arial"/>
                <w:sz w:val="20"/>
                <w:szCs w:val="20"/>
                <w:lang w:val="en-CA"/>
              </w:rPr>
              <w:t>$</w:t>
            </w:r>
          </w:p>
        </w:tc>
        <w:tc>
          <w:tcPr>
            <w:tcW w:w="2123" w:type="dxa"/>
            <w:shd w:val="clear" w:color="auto" w:fill="auto"/>
            <w:vAlign w:val="bottom"/>
          </w:tcPr>
          <w:p w14:paraId="5B1CCE56" w14:textId="77777777" w:rsidR="00700C72" w:rsidRPr="00DA4360" w:rsidRDefault="004B4490" w:rsidP="003F6F1A">
            <w:pPr>
              <w:keepNext/>
              <w:tabs>
                <w:tab w:val="left" w:pos="360"/>
              </w:tabs>
              <w:suppressAutoHyphens/>
              <w:spacing w:after="0" w:line="240" w:lineRule="auto"/>
              <w:jc w:val="right"/>
              <w:rPr>
                <w:rFonts w:ascii="Arial" w:hAnsi="Arial" w:cs="Arial"/>
                <w:sz w:val="20"/>
                <w:szCs w:val="20"/>
                <w:lang w:val="en-CA"/>
              </w:rPr>
            </w:pPr>
            <w:r w:rsidRPr="00DA4360">
              <w:rPr>
                <w:rFonts w:ascii="Arial" w:hAnsi="Arial" w:cs="Arial"/>
                <w:sz w:val="20"/>
                <w:szCs w:val="20"/>
                <w:lang w:val="en-CA"/>
              </w:rPr>
              <w:t>312,485</w:t>
            </w:r>
          </w:p>
        </w:tc>
      </w:tr>
      <w:tr w:rsidR="003E0848" w:rsidRPr="00DA4360" w14:paraId="0085491C" w14:textId="77777777" w:rsidTr="004A1755">
        <w:tc>
          <w:tcPr>
            <w:tcW w:w="4770" w:type="dxa"/>
            <w:shd w:val="clear" w:color="auto" w:fill="auto"/>
          </w:tcPr>
          <w:p w14:paraId="47DD3F43" w14:textId="77777777" w:rsidR="00526BEA" w:rsidRPr="00DA4360" w:rsidRDefault="00526BEA" w:rsidP="003F6F1A">
            <w:pPr>
              <w:keepNext/>
              <w:tabs>
                <w:tab w:val="left" w:pos="360"/>
              </w:tabs>
              <w:suppressAutoHyphens/>
              <w:spacing w:after="0" w:line="240" w:lineRule="auto"/>
              <w:jc w:val="both"/>
              <w:rPr>
                <w:rFonts w:ascii="Arial" w:hAnsi="Arial" w:cs="Arial"/>
                <w:sz w:val="20"/>
                <w:szCs w:val="20"/>
                <w:lang w:val="en-CA"/>
              </w:rPr>
            </w:pPr>
          </w:p>
        </w:tc>
        <w:tc>
          <w:tcPr>
            <w:tcW w:w="236" w:type="dxa"/>
            <w:shd w:val="clear" w:color="auto" w:fill="auto"/>
          </w:tcPr>
          <w:p w14:paraId="0DD0CF46" w14:textId="77777777" w:rsidR="00526BEA" w:rsidRPr="00DA4360" w:rsidRDefault="00526BEA" w:rsidP="003F6F1A">
            <w:pPr>
              <w:keepNext/>
              <w:tabs>
                <w:tab w:val="left" w:pos="360"/>
              </w:tabs>
              <w:suppressAutoHyphens/>
              <w:spacing w:after="0" w:line="240" w:lineRule="auto"/>
              <w:jc w:val="right"/>
              <w:rPr>
                <w:rFonts w:ascii="Arial" w:hAnsi="Arial" w:cs="Arial"/>
                <w:b/>
                <w:sz w:val="20"/>
                <w:szCs w:val="20"/>
                <w:lang w:val="en-CA"/>
              </w:rPr>
            </w:pPr>
          </w:p>
        </w:tc>
        <w:tc>
          <w:tcPr>
            <w:tcW w:w="2054" w:type="dxa"/>
            <w:shd w:val="clear" w:color="auto" w:fill="auto"/>
            <w:vAlign w:val="bottom"/>
          </w:tcPr>
          <w:p w14:paraId="1EAC736B" w14:textId="77777777" w:rsidR="00526BEA" w:rsidRPr="00DA4360" w:rsidRDefault="00526BEA" w:rsidP="003F6F1A">
            <w:pPr>
              <w:keepNext/>
              <w:tabs>
                <w:tab w:val="left" w:pos="360"/>
              </w:tabs>
              <w:suppressAutoHyphens/>
              <w:spacing w:after="0" w:line="240" w:lineRule="auto"/>
              <w:jc w:val="right"/>
              <w:rPr>
                <w:rFonts w:ascii="Arial" w:hAnsi="Arial" w:cs="Arial"/>
                <w:b/>
                <w:sz w:val="20"/>
                <w:szCs w:val="20"/>
                <w:lang w:val="en-CA"/>
              </w:rPr>
            </w:pPr>
          </w:p>
        </w:tc>
        <w:tc>
          <w:tcPr>
            <w:tcW w:w="236" w:type="dxa"/>
            <w:shd w:val="clear" w:color="auto" w:fill="auto"/>
            <w:vAlign w:val="bottom"/>
          </w:tcPr>
          <w:p w14:paraId="58D4922E" w14:textId="77777777" w:rsidR="00526BEA" w:rsidRPr="00DA4360" w:rsidRDefault="00526BEA" w:rsidP="003F6F1A">
            <w:pPr>
              <w:keepNext/>
              <w:tabs>
                <w:tab w:val="left" w:pos="360"/>
              </w:tabs>
              <w:suppressAutoHyphens/>
              <w:spacing w:after="0" w:line="240" w:lineRule="auto"/>
              <w:jc w:val="right"/>
              <w:rPr>
                <w:rFonts w:ascii="Arial" w:hAnsi="Arial" w:cs="Arial"/>
                <w:sz w:val="20"/>
                <w:szCs w:val="20"/>
                <w:lang w:val="en-CA"/>
              </w:rPr>
            </w:pPr>
          </w:p>
        </w:tc>
        <w:tc>
          <w:tcPr>
            <w:tcW w:w="2123" w:type="dxa"/>
            <w:shd w:val="clear" w:color="auto" w:fill="auto"/>
            <w:vAlign w:val="bottom"/>
          </w:tcPr>
          <w:p w14:paraId="6DF8E565" w14:textId="77777777" w:rsidR="00526BEA" w:rsidRPr="00DA4360" w:rsidRDefault="00526BEA" w:rsidP="003F6F1A">
            <w:pPr>
              <w:keepNext/>
              <w:tabs>
                <w:tab w:val="left" w:pos="360"/>
              </w:tabs>
              <w:suppressAutoHyphens/>
              <w:spacing w:after="0" w:line="240" w:lineRule="auto"/>
              <w:jc w:val="right"/>
              <w:rPr>
                <w:rFonts w:ascii="Arial" w:hAnsi="Arial" w:cs="Arial"/>
                <w:sz w:val="20"/>
                <w:szCs w:val="20"/>
                <w:lang w:val="en-CA"/>
              </w:rPr>
            </w:pPr>
          </w:p>
        </w:tc>
      </w:tr>
      <w:tr w:rsidR="003E0848" w:rsidRPr="00DA4360" w14:paraId="1D1AC259" w14:textId="77777777" w:rsidTr="004A1755">
        <w:tc>
          <w:tcPr>
            <w:tcW w:w="4770" w:type="dxa"/>
            <w:tcBorders>
              <w:bottom w:val="single" w:sz="4" w:space="0" w:color="auto"/>
            </w:tcBorders>
            <w:shd w:val="clear" w:color="auto" w:fill="auto"/>
          </w:tcPr>
          <w:p w14:paraId="14525C90" w14:textId="77777777" w:rsidR="00631CA5" w:rsidRPr="00DA4360" w:rsidRDefault="00631CA5" w:rsidP="003F6F1A">
            <w:pPr>
              <w:keepNext/>
              <w:tabs>
                <w:tab w:val="left" w:pos="360"/>
              </w:tabs>
              <w:suppressAutoHyphens/>
              <w:spacing w:after="0" w:line="240" w:lineRule="auto"/>
              <w:jc w:val="both"/>
              <w:rPr>
                <w:rFonts w:ascii="Arial" w:hAnsi="Arial" w:cs="Arial"/>
                <w:sz w:val="20"/>
                <w:szCs w:val="20"/>
                <w:lang w:val="en-CA"/>
              </w:rPr>
            </w:pPr>
            <w:r w:rsidRPr="00DA4360">
              <w:rPr>
                <w:rFonts w:ascii="Arial" w:hAnsi="Arial" w:cs="Arial"/>
                <w:sz w:val="20"/>
                <w:szCs w:val="20"/>
                <w:lang w:val="en-CA"/>
              </w:rPr>
              <w:t>Direct clinic expenses</w:t>
            </w:r>
          </w:p>
        </w:tc>
        <w:tc>
          <w:tcPr>
            <w:tcW w:w="236" w:type="dxa"/>
            <w:tcBorders>
              <w:bottom w:val="single" w:sz="4" w:space="0" w:color="auto"/>
            </w:tcBorders>
            <w:shd w:val="clear" w:color="auto" w:fill="auto"/>
          </w:tcPr>
          <w:p w14:paraId="36B5CC4B" w14:textId="77777777" w:rsidR="00631CA5" w:rsidRPr="00DA4360" w:rsidRDefault="00631CA5" w:rsidP="003F6F1A">
            <w:pPr>
              <w:keepNext/>
              <w:tabs>
                <w:tab w:val="left" w:pos="360"/>
              </w:tabs>
              <w:suppressAutoHyphens/>
              <w:spacing w:after="0" w:line="240" w:lineRule="auto"/>
              <w:jc w:val="right"/>
              <w:rPr>
                <w:rFonts w:ascii="Arial" w:hAnsi="Arial" w:cs="Arial"/>
                <w:b/>
                <w:sz w:val="20"/>
                <w:szCs w:val="20"/>
                <w:lang w:val="en-CA"/>
              </w:rPr>
            </w:pPr>
          </w:p>
        </w:tc>
        <w:tc>
          <w:tcPr>
            <w:tcW w:w="2054" w:type="dxa"/>
            <w:tcBorders>
              <w:bottom w:val="single" w:sz="4" w:space="0" w:color="auto"/>
            </w:tcBorders>
            <w:shd w:val="clear" w:color="auto" w:fill="auto"/>
            <w:vAlign w:val="bottom"/>
          </w:tcPr>
          <w:p w14:paraId="776B1F43" w14:textId="77777777" w:rsidR="00631CA5" w:rsidRPr="00DA4360" w:rsidRDefault="004B4490" w:rsidP="003F6F1A">
            <w:pPr>
              <w:keepNext/>
              <w:tabs>
                <w:tab w:val="left" w:pos="360"/>
              </w:tabs>
              <w:suppressAutoHyphens/>
              <w:spacing w:after="0" w:line="240" w:lineRule="auto"/>
              <w:jc w:val="right"/>
              <w:rPr>
                <w:rFonts w:ascii="Arial" w:hAnsi="Arial" w:cs="Arial"/>
                <w:b/>
                <w:sz w:val="20"/>
                <w:szCs w:val="20"/>
                <w:lang w:val="en-CA"/>
              </w:rPr>
            </w:pPr>
            <w:r w:rsidRPr="00DA4360">
              <w:rPr>
                <w:rFonts w:ascii="Arial" w:hAnsi="Arial" w:cs="Arial"/>
                <w:b/>
                <w:sz w:val="20"/>
                <w:szCs w:val="20"/>
                <w:lang w:val="en-CA"/>
              </w:rPr>
              <w:t>82,750</w:t>
            </w:r>
          </w:p>
        </w:tc>
        <w:tc>
          <w:tcPr>
            <w:tcW w:w="236" w:type="dxa"/>
            <w:tcBorders>
              <w:bottom w:val="single" w:sz="4" w:space="0" w:color="auto"/>
            </w:tcBorders>
            <w:shd w:val="clear" w:color="auto" w:fill="auto"/>
            <w:vAlign w:val="bottom"/>
          </w:tcPr>
          <w:p w14:paraId="639B56E8" w14:textId="77777777" w:rsidR="00631CA5" w:rsidRPr="00DA4360" w:rsidRDefault="00631CA5" w:rsidP="003F6F1A">
            <w:pPr>
              <w:keepNext/>
              <w:tabs>
                <w:tab w:val="left" w:pos="360"/>
              </w:tabs>
              <w:suppressAutoHyphens/>
              <w:spacing w:after="0" w:line="240" w:lineRule="auto"/>
              <w:jc w:val="right"/>
              <w:rPr>
                <w:rFonts w:ascii="Arial" w:hAnsi="Arial" w:cs="Arial"/>
                <w:sz w:val="20"/>
                <w:szCs w:val="20"/>
                <w:lang w:val="en-CA"/>
              </w:rPr>
            </w:pPr>
          </w:p>
        </w:tc>
        <w:tc>
          <w:tcPr>
            <w:tcW w:w="2123" w:type="dxa"/>
            <w:tcBorders>
              <w:bottom w:val="single" w:sz="4" w:space="0" w:color="auto"/>
            </w:tcBorders>
            <w:shd w:val="clear" w:color="auto" w:fill="auto"/>
            <w:vAlign w:val="bottom"/>
          </w:tcPr>
          <w:p w14:paraId="5961EF00" w14:textId="77777777" w:rsidR="00631CA5" w:rsidRPr="00DA4360" w:rsidRDefault="004B4490" w:rsidP="003F6F1A">
            <w:pPr>
              <w:keepNext/>
              <w:tabs>
                <w:tab w:val="left" w:pos="360"/>
              </w:tabs>
              <w:suppressAutoHyphens/>
              <w:spacing w:after="0" w:line="240" w:lineRule="auto"/>
              <w:jc w:val="right"/>
              <w:rPr>
                <w:rFonts w:ascii="Arial" w:hAnsi="Arial" w:cs="Arial"/>
                <w:sz w:val="20"/>
                <w:szCs w:val="20"/>
                <w:lang w:val="en-CA"/>
              </w:rPr>
            </w:pPr>
            <w:r w:rsidRPr="00DA4360">
              <w:rPr>
                <w:rFonts w:ascii="Arial" w:hAnsi="Arial" w:cs="Arial"/>
                <w:sz w:val="20"/>
                <w:szCs w:val="20"/>
                <w:lang w:val="en-CA"/>
              </w:rPr>
              <w:t>107,27</w:t>
            </w:r>
            <w:r w:rsidR="00D3689F" w:rsidRPr="00DA4360">
              <w:rPr>
                <w:rFonts w:ascii="Arial" w:hAnsi="Arial" w:cs="Arial"/>
                <w:sz w:val="20"/>
                <w:szCs w:val="20"/>
                <w:lang w:val="en-CA"/>
              </w:rPr>
              <w:t>1</w:t>
            </w:r>
          </w:p>
        </w:tc>
      </w:tr>
      <w:tr w:rsidR="003E0848" w:rsidRPr="00DA4360" w14:paraId="4BD8C550" w14:textId="77777777" w:rsidTr="004A1755">
        <w:tc>
          <w:tcPr>
            <w:tcW w:w="4770" w:type="dxa"/>
            <w:tcBorders>
              <w:top w:val="single" w:sz="4" w:space="0" w:color="auto"/>
            </w:tcBorders>
            <w:shd w:val="clear" w:color="auto" w:fill="auto"/>
          </w:tcPr>
          <w:p w14:paraId="269E80AA" w14:textId="77777777" w:rsidR="00EB57B1" w:rsidRPr="00DA4360" w:rsidRDefault="00EB57B1" w:rsidP="003F6F1A">
            <w:pPr>
              <w:keepNext/>
              <w:tabs>
                <w:tab w:val="left" w:pos="360"/>
              </w:tabs>
              <w:suppressAutoHyphens/>
              <w:spacing w:after="0" w:line="240" w:lineRule="auto"/>
              <w:jc w:val="both"/>
              <w:rPr>
                <w:rFonts w:ascii="Arial" w:hAnsi="Arial" w:cs="Arial"/>
                <w:sz w:val="20"/>
                <w:szCs w:val="20"/>
                <w:lang w:val="en-CA"/>
              </w:rPr>
            </w:pPr>
          </w:p>
        </w:tc>
        <w:tc>
          <w:tcPr>
            <w:tcW w:w="236" w:type="dxa"/>
            <w:tcBorders>
              <w:top w:val="single" w:sz="4" w:space="0" w:color="auto"/>
            </w:tcBorders>
            <w:shd w:val="clear" w:color="auto" w:fill="auto"/>
          </w:tcPr>
          <w:p w14:paraId="29BAB34E" w14:textId="77777777" w:rsidR="00EB57B1" w:rsidRPr="00DA4360" w:rsidRDefault="00EB57B1" w:rsidP="003F6F1A">
            <w:pPr>
              <w:keepNext/>
              <w:tabs>
                <w:tab w:val="left" w:pos="360"/>
              </w:tabs>
              <w:suppressAutoHyphens/>
              <w:spacing w:after="0" w:line="240" w:lineRule="auto"/>
              <w:jc w:val="right"/>
              <w:rPr>
                <w:rFonts w:ascii="Arial" w:hAnsi="Arial" w:cs="Arial"/>
                <w:b/>
                <w:sz w:val="20"/>
                <w:szCs w:val="20"/>
                <w:lang w:val="en-CA"/>
              </w:rPr>
            </w:pPr>
          </w:p>
        </w:tc>
        <w:tc>
          <w:tcPr>
            <w:tcW w:w="2054" w:type="dxa"/>
            <w:tcBorders>
              <w:top w:val="single" w:sz="4" w:space="0" w:color="auto"/>
            </w:tcBorders>
            <w:shd w:val="clear" w:color="auto" w:fill="auto"/>
            <w:vAlign w:val="bottom"/>
          </w:tcPr>
          <w:p w14:paraId="7A7D7DFD" w14:textId="77777777" w:rsidR="00EB57B1" w:rsidRPr="00DA4360" w:rsidRDefault="00EB57B1" w:rsidP="003F6F1A">
            <w:pPr>
              <w:keepNext/>
              <w:tabs>
                <w:tab w:val="left" w:pos="360"/>
              </w:tabs>
              <w:suppressAutoHyphens/>
              <w:spacing w:after="0" w:line="240" w:lineRule="auto"/>
              <w:jc w:val="right"/>
              <w:rPr>
                <w:rFonts w:ascii="Arial" w:hAnsi="Arial" w:cs="Arial"/>
                <w:b/>
                <w:sz w:val="20"/>
                <w:szCs w:val="20"/>
                <w:lang w:val="en-CA"/>
              </w:rPr>
            </w:pPr>
          </w:p>
        </w:tc>
        <w:tc>
          <w:tcPr>
            <w:tcW w:w="236" w:type="dxa"/>
            <w:tcBorders>
              <w:top w:val="single" w:sz="4" w:space="0" w:color="auto"/>
            </w:tcBorders>
            <w:shd w:val="clear" w:color="auto" w:fill="auto"/>
            <w:vAlign w:val="bottom"/>
          </w:tcPr>
          <w:p w14:paraId="3B575E21" w14:textId="77777777" w:rsidR="00EB57B1" w:rsidRPr="00DA4360" w:rsidRDefault="00EB57B1" w:rsidP="003F6F1A">
            <w:pPr>
              <w:keepNext/>
              <w:tabs>
                <w:tab w:val="left" w:pos="360"/>
              </w:tabs>
              <w:suppressAutoHyphens/>
              <w:spacing w:after="0" w:line="240" w:lineRule="auto"/>
              <w:jc w:val="right"/>
              <w:rPr>
                <w:rFonts w:ascii="Arial" w:hAnsi="Arial" w:cs="Arial"/>
                <w:sz w:val="20"/>
                <w:szCs w:val="20"/>
                <w:lang w:val="en-CA"/>
              </w:rPr>
            </w:pPr>
          </w:p>
        </w:tc>
        <w:tc>
          <w:tcPr>
            <w:tcW w:w="2123" w:type="dxa"/>
            <w:tcBorders>
              <w:top w:val="single" w:sz="4" w:space="0" w:color="auto"/>
            </w:tcBorders>
            <w:shd w:val="clear" w:color="auto" w:fill="auto"/>
            <w:vAlign w:val="bottom"/>
          </w:tcPr>
          <w:p w14:paraId="21C2DE59" w14:textId="77777777" w:rsidR="00EB57B1" w:rsidRPr="00DA4360" w:rsidRDefault="00EB57B1" w:rsidP="003F6F1A">
            <w:pPr>
              <w:keepNext/>
              <w:tabs>
                <w:tab w:val="left" w:pos="360"/>
              </w:tabs>
              <w:suppressAutoHyphens/>
              <w:spacing w:after="0" w:line="240" w:lineRule="auto"/>
              <w:jc w:val="right"/>
              <w:rPr>
                <w:rFonts w:ascii="Arial" w:hAnsi="Arial" w:cs="Arial"/>
                <w:sz w:val="20"/>
                <w:szCs w:val="20"/>
                <w:lang w:val="en-CA"/>
              </w:rPr>
            </w:pPr>
          </w:p>
        </w:tc>
      </w:tr>
      <w:tr w:rsidR="003E0848" w:rsidRPr="00DA4360" w14:paraId="69A2CFDD" w14:textId="77777777" w:rsidTr="004A1755">
        <w:tc>
          <w:tcPr>
            <w:tcW w:w="4770" w:type="dxa"/>
            <w:shd w:val="clear" w:color="auto" w:fill="auto"/>
          </w:tcPr>
          <w:p w14:paraId="561664C1" w14:textId="77777777" w:rsidR="00EB57B1" w:rsidRPr="00DA4360" w:rsidRDefault="00EB57B1" w:rsidP="003F6F1A">
            <w:pPr>
              <w:keepNext/>
              <w:tabs>
                <w:tab w:val="left" w:pos="360"/>
              </w:tabs>
              <w:suppressAutoHyphens/>
              <w:spacing w:after="0" w:line="240" w:lineRule="auto"/>
              <w:jc w:val="both"/>
              <w:rPr>
                <w:rFonts w:ascii="Arial" w:hAnsi="Arial" w:cs="Arial"/>
                <w:sz w:val="20"/>
                <w:szCs w:val="20"/>
                <w:lang w:val="en-CA"/>
              </w:rPr>
            </w:pPr>
            <w:r w:rsidRPr="00DA4360">
              <w:rPr>
                <w:rFonts w:ascii="Arial" w:hAnsi="Arial" w:cs="Arial"/>
                <w:sz w:val="20"/>
                <w:szCs w:val="20"/>
                <w:lang w:val="en-CA"/>
              </w:rPr>
              <w:t>Earnings from clinic operations</w:t>
            </w:r>
          </w:p>
        </w:tc>
        <w:tc>
          <w:tcPr>
            <w:tcW w:w="236" w:type="dxa"/>
            <w:shd w:val="clear" w:color="auto" w:fill="auto"/>
          </w:tcPr>
          <w:p w14:paraId="34242006" w14:textId="77777777" w:rsidR="00EB57B1" w:rsidRPr="00DA4360" w:rsidRDefault="00EB57B1" w:rsidP="003F6F1A">
            <w:pPr>
              <w:keepNext/>
              <w:tabs>
                <w:tab w:val="left" w:pos="360"/>
              </w:tabs>
              <w:suppressAutoHyphens/>
              <w:spacing w:after="0" w:line="240" w:lineRule="auto"/>
              <w:jc w:val="right"/>
              <w:rPr>
                <w:rFonts w:ascii="Arial" w:hAnsi="Arial" w:cs="Arial"/>
                <w:b/>
                <w:sz w:val="20"/>
                <w:szCs w:val="20"/>
                <w:lang w:val="en-CA"/>
              </w:rPr>
            </w:pPr>
          </w:p>
        </w:tc>
        <w:tc>
          <w:tcPr>
            <w:tcW w:w="2054" w:type="dxa"/>
            <w:shd w:val="clear" w:color="auto" w:fill="auto"/>
            <w:vAlign w:val="bottom"/>
          </w:tcPr>
          <w:p w14:paraId="68ED4CD6" w14:textId="77777777" w:rsidR="00EB57B1" w:rsidRPr="00DA4360" w:rsidRDefault="004B4490" w:rsidP="003F6F1A">
            <w:pPr>
              <w:keepNext/>
              <w:tabs>
                <w:tab w:val="left" w:pos="360"/>
              </w:tabs>
              <w:suppressAutoHyphens/>
              <w:spacing w:after="0" w:line="240" w:lineRule="auto"/>
              <w:jc w:val="right"/>
              <w:rPr>
                <w:rFonts w:ascii="Arial" w:hAnsi="Arial" w:cs="Arial"/>
                <w:b/>
                <w:sz w:val="20"/>
                <w:szCs w:val="20"/>
                <w:lang w:val="en-CA"/>
              </w:rPr>
            </w:pPr>
            <w:r w:rsidRPr="00DA4360">
              <w:rPr>
                <w:rFonts w:ascii="Arial" w:hAnsi="Arial" w:cs="Arial"/>
                <w:b/>
                <w:sz w:val="20"/>
                <w:szCs w:val="20"/>
                <w:lang w:val="en-CA"/>
              </w:rPr>
              <w:t>508,274</w:t>
            </w:r>
          </w:p>
        </w:tc>
        <w:tc>
          <w:tcPr>
            <w:tcW w:w="236" w:type="dxa"/>
            <w:shd w:val="clear" w:color="auto" w:fill="auto"/>
            <w:vAlign w:val="bottom"/>
          </w:tcPr>
          <w:p w14:paraId="72A99298" w14:textId="77777777" w:rsidR="00EB57B1" w:rsidRPr="00DA4360" w:rsidRDefault="00EB57B1" w:rsidP="003F6F1A">
            <w:pPr>
              <w:keepNext/>
              <w:tabs>
                <w:tab w:val="left" w:pos="360"/>
              </w:tabs>
              <w:suppressAutoHyphens/>
              <w:spacing w:after="0" w:line="240" w:lineRule="auto"/>
              <w:jc w:val="right"/>
              <w:rPr>
                <w:rFonts w:ascii="Arial" w:hAnsi="Arial" w:cs="Arial"/>
                <w:sz w:val="20"/>
                <w:szCs w:val="20"/>
                <w:lang w:val="en-CA"/>
              </w:rPr>
            </w:pPr>
          </w:p>
        </w:tc>
        <w:tc>
          <w:tcPr>
            <w:tcW w:w="2123" w:type="dxa"/>
            <w:shd w:val="clear" w:color="auto" w:fill="auto"/>
            <w:vAlign w:val="bottom"/>
          </w:tcPr>
          <w:p w14:paraId="6E69BDCA" w14:textId="77777777" w:rsidR="00EB57B1" w:rsidRPr="00DA4360" w:rsidRDefault="004B4490" w:rsidP="003F6F1A">
            <w:pPr>
              <w:keepNext/>
              <w:tabs>
                <w:tab w:val="left" w:pos="360"/>
              </w:tabs>
              <w:suppressAutoHyphens/>
              <w:spacing w:after="0" w:line="240" w:lineRule="auto"/>
              <w:jc w:val="right"/>
              <w:rPr>
                <w:rFonts w:ascii="Arial" w:hAnsi="Arial" w:cs="Arial"/>
                <w:sz w:val="20"/>
                <w:szCs w:val="20"/>
                <w:lang w:val="en-CA"/>
              </w:rPr>
            </w:pPr>
            <w:r w:rsidRPr="00DA4360">
              <w:rPr>
                <w:rFonts w:ascii="Arial" w:hAnsi="Arial" w:cs="Arial"/>
                <w:sz w:val="20"/>
                <w:szCs w:val="20"/>
                <w:lang w:val="en-CA"/>
              </w:rPr>
              <w:t>205,21</w:t>
            </w:r>
            <w:r w:rsidR="00D3689F" w:rsidRPr="00DA4360">
              <w:rPr>
                <w:rFonts w:ascii="Arial" w:hAnsi="Arial" w:cs="Arial"/>
                <w:sz w:val="20"/>
                <w:szCs w:val="20"/>
                <w:lang w:val="en-CA"/>
              </w:rPr>
              <w:t>4</w:t>
            </w:r>
          </w:p>
        </w:tc>
      </w:tr>
      <w:tr w:rsidR="003E0848" w:rsidRPr="00DA4360" w14:paraId="03AEB88D" w14:textId="77777777" w:rsidTr="004A1755">
        <w:tc>
          <w:tcPr>
            <w:tcW w:w="4770" w:type="dxa"/>
            <w:shd w:val="clear" w:color="auto" w:fill="auto"/>
          </w:tcPr>
          <w:p w14:paraId="260D3744" w14:textId="77777777" w:rsidR="00EB57B1" w:rsidRPr="00DA4360" w:rsidRDefault="00EB57B1" w:rsidP="003F6F1A">
            <w:pPr>
              <w:keepNext/>
              <w:tabs>
                <w:tab w:val="left" w:pos="360"/>
              </w:tabs>
              <w:suppressAutoHyphens/>
              <w:spacing w:after="0" w:line="240" w:lineRule="auto"/>
              <w:jc w:val="both"/>
              <w:rPr>
                <w:rFonts w:ascii="Arial" w:hAnsi="Arial" w:cs="Arial"/>
                <w:sz w:val="20"/>
                <w:szCs w:val="20"/>
                <w:lang w:val="en-CA"/>
              </w:rPr>
            </w:pPr>
          </w:p>
        </w:tc>
        <w:tc>
          <w:tcPr>
            <w:tcW w:w="236" w:type="dxa"/>
            <w:shd w:val="clear" w:color="auto" w:fill="auto"/>
          </w:tcPr>
          <w:p w14:paraId="640DE758" w14:textId="77777777" w:rsidR="00EB57B1" w:rsidRPr="00DA4360" w:rsidRDefault="00EB57B1" w:rsidP="003F6F1A">
            <w:pPr>
              <w:keepNext/>
              <w:tabs>
                <w:tab w:val="left" w:pos="360"/>
              </w:tabs>
              <w:suppressAutoHyphens/>
              <w:spacing w:after="0" w:line="240" w:lineRule="auto"/>
              <w:jc w:val="right"/>
              <w:rPr>
                <w:rFonts w:ascii="Arial" w:hAnsi="Arial" w:cs="Arial"/>
                <w:b/>
                <w:sz w:val="20"/>
                <w:szCs w:val="20"/>
                <w:lang w:val="en-CA"/>
              </w:rPr>
            </w:pPr>
          </w:p>
        </w:tc>
        <w:tc>
          <w:tcPr>
            <w:tcW w:w="2054" w:type="dxa"/>
            <w:shd w:val="clear" w:color="auto" w:fill="auto"/>
            <w:vAlign w:val="bottom"/>
          </w:tcPr>
          <w:p w14:paraId="04710B4A" w14:textId="77777777" w:rsidR="00EB57B1" w:rsidRPr="00DA4360" w:rsidRDefault="00EB57B1" w:rsidP="003F6F1A">
            <w:pPr>
              <w:keepNext/>
              <w:tabs>
                <w:tab w:val="left" w:pos="360"/>
              </w:tabs>
              <w:suppressAutoHyphens/>
              <w:spacing w:after="0" w:line="240" w:lineRule="auto"/>
              <w:jc w:val="right"/>
              <w:rPr>
                <w:rFonts w:ascii="Arial" w:hAnsi="Arial" w:cs="Arial"/>
                <w:b/>
                <w:sz w:val="20"/>
                <w:szCs w:val="20"/>
                <w:lang w:val="en-CA"/>
              </w:rPr>
            </w:pPr>
          </w:p>
        </w:tc>
        <w:tc>
          <w:tcPr>
            <w:tcW w:w="236" w:type="dxa"/>
            <w:shd w:val="clear" w:color="auto" w:fill="auto"/>
            <w:vAlign w:val="bottom"/>
          </w:tcPr>
          <w:p w14:paraId="7FCAD412" w14:textId="77777777" w:rsidR="00EB57B1" w:rsidRPr="00DA4360" w:rsidRDefault="00EB57B1" w:rsidP="003F6F1A">
            <w:pPr>
              <w:keepNext/>
              <w:tabs>
                <w:tab w:val="left" w:pos="360"/>
              </w:tabs>
              <w:suppressAutoHyphens/>
              <w:spacing w:after="0" w:line="240" w:lineRule="auto"/>
              <w:jc w:val="right"/>
              <w:rPr>
                <w:rFonts w:ascii="Arial" w:hAnsi="Arial" w:cs="Arial"/>
                <w:sz w:val="20"/>
                <w:szCs w:val="20"/>
                <w:lang w:val="en-CA"/>
              </w:rPr>
            </w:pPr>
          </w:p>
        </w:tc>
        <w:tc>
          <w:tcPr>
            <w:tcW w:w="2123" w:type="dxa"/>
            <w:shd w:val="clear" w:color="auto" w:fill="auto"/>
            <w:vAlign w:val="bottom"/>
          </w:tcPr>
          <w:p w14:paraId="2336AD9A" w14:textId="77777777" w:rsidR="00EB57B1" w:rsidRPr="00DA4360" w:rsidRDefault="00EB57B1" w:rsidP="003F6F1A">
            <w:pPr>
              <w:keepNext/>
              <w:tabs>
                <w:tab w:val="left" w:pos="360"/>
              </w:tabs>
              <w:suppressAutoHyphens/>
              <w:spacing w:after="0" w:line="240" w:lineRule="auto"/>
              <w:jc w:val="right"/>
              <w:rPr>
                <w:rFonts w:ascii="Arial" w:hAnsi="Arial" w:cs="Arial"/>
                <w:sz w:val="20"/>
                <w:szCs w:val="20"/>
                <w:lang w:val="en-CA"/>
              </w:rPr>
            </w:pPr>
          </w:p>
        </w:tc>
      </w:tr>
      <w:tr w:rsidR="003E0848" w:rsidRPr="00DA4360" w14:paraId="226E2488" w14:textId="77777777" w:rsidTr="004A1755">
        <w:tc>
          <w:tcPr>
            <w:tcW w:w="4770" w:type="dxa"/>
            <w:shd w:val="clear" w:color="auto" w:fill="auto"/>
          </w:tcPr>
          <w:p w14:paraId="60EAB743" w14:textId="77777777" w:rsidR="004F71B9" w:rsidRPr="00DA4360" w:rsidRDefault="004F71B9" w:rsidP="003F6F1A">
            <w:pPr>
              <w:keepNext/>
              <w:tabs>
                <w:tab w:val="left" w:pos="360"/>
              </w:tabs>
              <w:suppressAutoHyphens/>
              <w:spacing w:after="0" w:line="240" w:lineRule="auto"/>
              <w:jc w:val="both"/>
              <w:rPr>
                <w:rFonts w:ascii="Arial" w:hAnsi="Arial" w:cs="Arial"/>
                <w:sz w:val="20"/>
                <w:szCs w:val="20"/>
                <w:lang w:val="en-CA"/>
              </w:rPr>
            </w:pPr>
            <w:r w:rsidRPr="00DA4360">
              <w:rPr>
                <w:rFonts w:ascii="Arial" w:hAnsi="Arial" w:cs="Arial"/>
                <w:sz w:val="20"/>
                <w:szCs w:val="20"/>
                <w:lang w:val="en-CA"/>
              </w:rPr>
              <w:t>Operating expenses</w:t>
            </w:r>
          </w:p>
        </w:tc>
        <w:tc>
          <w:tcPr>
            <w:tcW w:w="236" w:type="dxa"/>
            <w:shd w:val="clear" w:color="auto" w:fill="auto"/>
          </w:tcPr>
          <w:p w14:paraId="27856E77" w14:textId="77777777" w:rsidR="004F71B9" w:rsidRPr="00DA4360" w:rsidRDefault="004F71B9" w:rsidP="003F6F1A">
            <w:pPr>
              <w:keepNext/>
              <w:tabs>
                <w:tab w:val="left" w:pos="360"/>
              </w:tabs>
              <w:suppressAutoHyphens/>
              <w:spacing w:after="0" w:line="240" w:lineRule="auto"/>
              <w:jc w:val="right"/>
              <w:rPr>
                <w:rFonts w:ascii="Arial" w:hAnsi="Arial" w:cs="Arial"/>
                <w:b/>
                <w:sz w:val="20"/>
                <w:szCs w:val="20"/>
                <w:lang w:val="en-CA"/>
              </w:rPr>
            </w:pPr>
          </w:p>
        </w:tc>
        <w:tc>
          <w:tcPr>
            <w:tcW w:w="2054" w:type="dxa"/>
            <w:shd w:val="clear" w:color="auto" w:fill="auto"/>
            <w:vAlign w:val="bottom"/>
          </w:tcPr>
          <w:p w14:paraId="44EB9F00" w14:textId="77777777" w:rsidR="004F71B9" w:rsidRPr="00DA4360" w:rsidRDefault="00D3689F" w:rsidP="003F6F1A">
            <w:pPr>
              <w:keepNext/>
              <w:tabs>
                <w:tab w:val="left" w:pos="360"/>
              </w:tabs>
              <w:suppressAutoHyphens/>
              <w:spacing w:after="0" w:line="240" w:lineRule="auto"/>
              <w:jc w:val="right"/>
              <w:rPr>
                <w:rFonts w:ascii="Arial" w:hAnsi="Arial" w:cs="Arial"/>
                <w:b/>
                <w:sz w:val="20"/>
                <w:szCs w:val="20"/>
                <w:lang w:val="en-CA"/>
              </w:rPr>
            </w:pPr>
            <w:r w:rsidRPr="00DA4360">
              <w:rPr>
                <w:rFonts w:ascii="Arial" w:hAnsi="Arial" w:cs="Arial"/>
                <w:b/>
                <w:sz w:val="20"/>
                <w:szCs w:val="20"/>
                <w:lang w:val="en-CA"/>
              </w:rPr>
              <w:t>1,082,248</w:t>
            </w:r>
          </w:p>
        </w:tc>
        <w:tc>
          <w:tcPr>
            <w:tcW w:w="236" w:type="dxa"/>
            <w:shd w:val="clear" w:color="auto" w:fill="auto"/>
            <w:vAlign w:val="bottom"/>
          </w:tcPr>
          <w:p w14:paraId="1E3F9FB0" w14:textId="77777777" w:rsidR="004F71B9" w:rsidRPr="00DA4360" w:rsidRDefault="004F71B9" w:rsidP="003F6F1A">
            <w:pPr>
              <w:keepNext/>
              <w:tabs>
                <w:tab w:val="left" w:pos="360"/>
              </w:tabs>
              <w:suppressAutoHyphens/>
              <w:spacing w:after="0" w:line="240" w:lineRule="auto"/>
              <w:jc w:val="right"/>
              <w:rPr>
                <w:rFonts w:ascii="Arial" w:hAnsi="Arial" w:cs="Arial"/>
                <w:sz w:val="20"/>
                <w:szCs w:val="20"/>
                <w:lang w:val="en-CA"/>
              </w:rPr>
            </w:pPr>
          </w:p>
        </w:tc>
        <w:tc>
          <w:tcPr>
            <w:tcW w:w="2123" w:type="dxa"/>
            <w:shd w:val="clear" w:color="auto" w:fill="auto"/>
            <w:vAlign w:val="bottom"/>
          </w:tcPr>
          <w:p w14:paraId="09DDF0DE" w14:textId="77777777" w:rsidR="004F71B9" w:rsidRPr="00DA4360" w:rsidRDefault="004B4490" w:rsidP="003F6F1A">
            <w:pPr>
              <w:keepNext/>
              <w:tabs>
                <w:tab w:val="left" w:pos="360"/>
              </w:tabs>
              <w:suppressAutoHyphens/>
              <w:spacing w:after="0" w:line="240" w:lineRule="auto"/>
              <w:jc w:val="right"/>
              <w:rPr>
                <w:rFonts w:ascii="Arial" w:hAnsi="Arial" w:cs="Arial"/>
                <w:sz w:val="20"/>
                <w:szCs w:val="20"/>
                <w:lang w:val="en-CA"/>
              </w:rPr>
            </w:pPr>
            <w:r w:rsidRPr="00DA4360">
              <w:rPr>
                <w:rFonts w:ascii="Arial" w:hAnsi="Arial" w:cs="Arial"/>
                <w:sz w:val="20"/>
                <w:szCs w:val="20"/>
                <w:lang w:val="en-CA"/>
              </w:rPr>
              <w:t>1,</w:t>
            </w:r>
            <w:r w:rsidR="00BD2307" w:rsidRPr="00DA4360">
              <w:rPr>
                <w:rFonts w:ascii="Arial" w:hAnsi="Arial" w:cs="Arial"/>
                <w:sz w:val="20"/>
                <w:szCs w:val="20"/>
                <w:lang w:val="en-CA"/>
              </w:rPr>
              <w:t>722,957</w:t>
            </w:r>
          </w:p>
        </w:tc>
      </w:tr>
      <w:tr w:rsidR="003E0848" w:rsidRPr="00DA4360" w14:paraId="51373C29" w14:textId="77777777" w:rsidTr="004A1755">
        <w:tc>
          <w:tcPr>
            <w:tcW w:w="4770" w:type="dxa"/>
            <w:shd w:val="clear" w:color="auto" w:fill="auto"/>
          </w:tcPr>
          <w:p w14:paraId="767C2B80" w14:textId="77777777" w:rsidR="004F71B9" w:rsidRPr="00DA4360" w:rsidRDefault="004F71B9" w:rsidP="003F6F1A">
            <w:pPr>
              <w:keepNext/>
              <w:tabs>
                <w:tab w:val="left" w:pos="360"/>
              </w:tabs>
              <w:suppressAutoHyphens/>
              <w:spacing w:after="0" w:line="240" w:lineRule="auto"/>
              <w:jc w:val="both"/>
              <w:rPr>
                <w:rFonts w:ascii="Arial" w:hAnsi="Arial" w:cs="Arial"/>
                <w:sz w:val="20"/>
                <w:szCs w:val="20"/>
                <w:lang w:val="en-CA"/>
              </w:rPr>
            </w:pPr>
            <w:r w:rsidRPr="00DA4360">
              <w:rPr>
                <w:rFonts w:ascii="Arial" w:hAnsi="Arial" w:cs="Arial"/>
                <w:sz w:val="20"/>
                <w:szCs w:val="20"/>
                <w:lang w:val="en-CA"/>
              </w:rPr>
              <w:t>Legal and professional fees</w:t>
            </w:r>
          </w:p>
        </w:tc>
        <w:tc>
          <w:tcPr>
            <w:tcW w:w="236" w:type="dxa"/>
            <w:shd w:val="clear" w:color="auto" w:fill="auto"/>
          </w:tcPr>
          <w:p w14:paraId="149DD340" w14:textId="77777777" w:rsidR="004F71B9" w:rsidRPr="00DA4360" w:rsidRDefault="004F71B9" w:rsidP="003F6F1A">
            <w:pPr>
              <w:keepNext/>
              <w:tabs>
                <w:tab w:val="left" w:pos="360"/>
              </w:tabs>
              <w:suppressAutoHyphens/>
              <w:spacing w:after="0" w:line="240" w:lineRule="auto"/>
              <w:jc w:val="right"/>
              <w:rPr>
                <w:rFonts w:ascii="Arial" w:hAnsi="Arial" w:cs="Arial"/>
                <w:b/>
                <w:sz w:val="20"/>
                <w:szCs w:val="20"/>
                <w:lang w:val="en-CA"/>
              </w:rPr>
            </w:pPr>
          </w:p>
        </w:tc>
        <w:tc>
          <w:tcPr>
            <w:tcW w:w="2054" w:type="dxa"/>
            <w:shd w:val="clear" w:color="auto" w:fill="auto"/>
            <w:vAlign w:val="bottom"/>
          </w:tcPr>
          <w:p w14:paraId="05BDFA92" w14:textId="77777777" w:rsidR="004F71B9" w:rsidRPr="00DA4360" w:rsidRDefault="004B4490" w:rsidP="003F6F1A">
            <w:pPr>
              <w:keepNext/>
              <w:tabs>
                <w:tab w:val="left" w:pos="360"/>
              </w:tabs>
              <w:suppressAutoHyphens/>
              <w:spacing w:after="0" w:line="240" w:lineRule="auto"/>
              <w:jc w:val="right"/>
              <w:rPr>
                <w:rFonts w:ascii="Arial" w:hAnsi="Arial" w:cs="Arial"/>
                <w:b/>
                <w:sz w:val="20"/>
                <w:szCs w:val="20"/>
                <w:lang w:val="en-CA"/>
              </w:rPr>
            </w:pPr>
            <w:r w:rsidRPr="00DA4360">
              <w:rPr>
                <w:rFonts w:ascii="Arial" w:hAnsi="Arial" w:cs="Arial"/>
                <w:b/>
                <w:sz w:val="20"/>
                <w:szCs w:val="20"/>
                <w:lang w:val="en-CA"/>
              </w:rPr>
              <w:t>320,668</w:t>
            </w:r>
          </w:p>
        </w:tc>
        <w:tc>
          <w:tcPr>
            <w:tcW w:w="236" w:type="dxa"/>
            <w:shd w:val="clear" w:color="auto" w:fill="auto"/>
            <w:vAlign w:val="bottom"/>
          </w:tcPr>
          <w:p w14:paraId="64426EFB" w14:textId="77777777" w:rsidR="004F71B9" w:rsidRPr="00DA4360" w:rsidRDefault="004F71B9" w:rsidP="003F6F1A">
            <w:pPr>
              <w:keepNext/>
              <w:tabs>
                <w:tab w:val="left" w:pos="360"/>
              </w:tabs>
              <w:suppressAutoHyphens/>
              <w:spacing w:after="0" w:line="240" w:lineRule="auto"/>
              <w:jc w:val="right"/>
              <w:rPr>
                <w:rFonts w:ascii="Arial" w:hAnsi="Arial" w:cs="Arial"/>
                <w:sz w:val="20"/>
                <w:szCs w:val="20"/>
                <w:lang w:val="en-CA"/>
              </w:rPr>
            </w:pPr>
          </w:p>
        </w:tc>
        <w:tc>
          <w:tcPr>
            <w:tcW w:w="2123" w:type="dxa"/>
            <w:shd w:val="clear" w:color="auto" w:fill="auto"/>
            <w:vAlign w:val="bottom"/>
          </w:tcPr>
          <w:p w14:paraId="63A87902" w14:textId="77777777" w:rsidR="004F71B9" w:rsidRPr="00DA4360" w:rsidRDefault="00BD2307" w:rsidP="003F6F1A">
            <w:pPr>
              <w:keepNext/>
              <w:tabs>
                <w:tab w:val="left" w:pos="360"/>
              </w:tabs>
              <w:suppressAutoHyphens/>
              <w:spacing w:after="0" w:line="240" w:lineRule="auto"/>
              <w:jc w:val="right"/>
              <w:rPr>
                <w:rFonts w:ascii="Arial" w:hAnsi="Arial" w:cs="Arial"/>
                <w:sz w:val="20"/>
                <w:szCs w:val="20"/>
                <w:lang w:val="en-CA"/>
              </w:rPr>
            </w:pPr>
            <w:r w:rsidRPr="00DA4360">
              <w:rPr>
                <w:rFonts w:ascii="Arial" w:hAnsi="Arial" w:cs="Arial"/>
                <w:sz w:val="20"/>
                <w:szCs w:val="20"/>
                <w:lang w:val="en-CA"/>
              </w:rPr>
              <w:t>285,098</w:t>
            </w:r>
          </w:p>
        </w:tc>
      </w:tr>
      <w:tr w:rsidR="003E0848" w:rsidRPr="00DA4360" w14:paraId="63320C98" w14:textId="77777777" w:rsidTr="004A1755">
        <w:tc>
          <w:tcPr>
            <w:tcW w:w="4770" w:type="dxa"/>
            <w:shd w:val="clear" w:color="auto" w:fill="auto"/>
          </w:tcPr>
          <w:p w14:paraId="4F0BC317" w14:textId="77777777" w:rsidR="004F71B9" w:rsidRPr="00DA4360" w:rsidRDefault="004F71B9" w:rsidP="003F6F1A">
            <w:pPr>
              <w:keepNext/>
              <w:tabs>
                <w:tab w:val="left" w:pos="360"/>
              </w:tabs>
              <w:suppressAutoHyphens/>
              <w:spacing w:after="0" w:line="240" w:lineRule="auto"/>
              <w:jc w:val="both"/>
              <w:rPr>
                <w:rFonts w:ascii="Arial" w:hAnsi="Arial" w:cs="Arial"/>
                <w:sz w:val="20"/>
                <w:szCs w:val="20"/>
                <w:lang w:val="en-CA"/>
              </w:rPr>
            </w:pPr>
            <w:r w:rsidRPr="00DA4360">
              <w:rPr>
                <w:rFonts w:ascii="Arial" w:hAnsi="Arial" w:cs="Arial"/>
                <w:sz w:val="20"/>
                <w:szCs w:val="20"/>
                <w:lang w:val="en-CA"/>
              </w:rPr>
              <w:t>Depreciation and amortization expense</w:t>
            </w:r>
          </w:p>
        </w:tc>
        <w:tc>
          <w:tcPr>
            <w:tcW w:w="236" w:type="dxa"/>
            <w:shd w:val="clear" w:color="auto" w:fill="auto"/>
          </w:tcPr>
          <w:p w14:paraId="11482D2A" w14:textId="77777777" w:rsidR="004F71B9" w:rsidRPr="00DA4360" w:rsidRDefault="004F71B9" w:rsidP="003F6F1A">
            <w:pPr>
              <w:keepNext/>
              <w:tabs>
                <w:tab w:val="left" w:pos="360"/>
              </w:tabs>
              <w:suppressAutoHyphens/>
              <w:spacing w:after="0" w:line="240" w:lineRule="auto"/>
              <w:jc w:val="right"/>
              <w:rPr>
                <w:rFonts w:ascii="Arial" w:hAnsi="Arial" w:cs="Arial"/>
                <w:b/>
                <w:sz w:val="20"/>
                <w:szCs w:val="20"/>
                <w:lang w:val="en-CA"/>
              </w:rPr>
            </w:pPr>
          </w:p>
        </w:tc>
        <w:tc>
          <w:tcPr>
            <w:tcW w:w="2054" w:type="dxa"/>
            <w:shd w:val="clear" w:color="auto" w:fill="auto"/>
            <w:vAlign w:val="bottom"/>
          </w:tcPr>
          <w:p w14:paraId="18F955A3" w14:textId="77777777" w:rsidR="004F71B9" w:rsidRPr="00DA4360" w:rsidRDefault="00D3689F" w:rsidP="003F6F1A">
            <w:pPr>
              <w:keepNext/>
              <w:tabs>
                <w:tab w:val="left" w:pos="360"/>
              </w:tabs>
              <w:suppressAutoHyphens/>
              <w:spacing w:after="0" w:line="240" w:lineRule="auto"/>
              <w:jc w:val="right"/>
              <w:rPr>
                <w:rFonts w:ascii="Arial" w:hAnsi="Arial" w:cs="Arial"/>
                <w:b/>
                <w:sz w:val="20"/>
                <w:szCs w:val="20"/>
                <w:lang w:val="en-CA"/>
              </w:rPr>
            </w:pPr>
            <w:r w:rsidRPr="00DA4360">
              <w:rPr>
                <w:rFonts w:ascii="Arial" w:hAnsi="Arial" w:cs="Arial"/>
                <w:b/>
                <w:sz w:val="20"/>
                <w:szCs w:val="20"/>
                <w:lang w:val="en-CA"/>
              </w:rPr>
              <w:t>72,268</w:t>
            </w:r>
          </w:p>
        </w:tc>
        <w:tc>
          <w:tcPr>
            <w:tcW w:w="236" w:type="dxa"/>
            <w:shd w:val="clear" w:color="auto" w:fill="auto"/>
            <w:vAlign w:val="bottom"/>
          </w:tcPr>
          <w:p w14:paraId="30571C97" w14:textId="77777777" w:rsidR="004F71B9" w:rsidRPr="00DA4360" w:rsidRDefault="004F71B9" w:rsidP="003F6F1A">
            <w:pPr>
              <w:keepNext/>
              <w:tabs>
                <w:tab w:val="left" w:pos="360"/>
              </w:tabs>
              <w:suppressAutoHyphens/>
              <w:spacing w:after="0" w:line="240" w:lineRule="auto"/>
              <w:jc w:val="right"/>
              <w:rPr>
                <w:rFonts w:ascii="Arial" w:hAnsi="Arial" w:cs="Arial"/>
                <w:sz w:val="20"/>
                <w:szCs w:val="20"/>
                <w:lang w:val="en-CA"/>
              </w:rPr>
            </w:pPr>
          </w:p>
        </w:tc>
        <w:tc>
          <w:tcPr>
            <w:tcW w:w="2123" w:type="dxa"/>
            <w:shd w:val="clear" w:color="auto" w:fill="auto"/>
            <w:vAlign w:val="bottom"/>
          </w:tcPr>
          <w:p w14:paraId="18F0A68C" w14:textId="77777777" w:rsidR="004F71B9" w:rsidRPr="00DA4360" w:rsidRDefault="00BD2307" w:rsidP="003F6F1A">
            <w:pPr>
              <w:keepNext/>
              <w:tabs>
                <w:tab w:val="left" w:pos="360"/>
              </w:tabs>
              <w:suppressAutoHyphens/>
              <w:spacing w:after="0" w:line="240" w:lineRule="auto"/>
              <w:jc w:val="right"/>
              <w:rPr>
                <w:rFonts w:ascii="Arial" w:hAnsi="Arial" w:cs="Arial"/>
                <w:sz w:val="20"/>
                <w:szCs w:val="20"/>
                <w:lang w:val="en-CA"/>
              </w:rPr>
            </w:pPr>
            <w:r w:rsidRPr="00DA4360">
              <w:rPr>
                <w:rFonts w:ascii="Arial" w:hAnsi="Arial" w:cs="Arial"/>
                <w:sz w:val="20"/>
                <w:szCs w:val="20"/>
                <w:lang w:val="en-CA"/>
              </w:rPr>
              <w:t>8,633</w:t>
            </w:r>
          </w:p>
        </w:tc>
      </w:tr>
      <w:tr w:rsidR="003E0848" w:rsidRPr="00DA4360" w14:paraId="6DFF6E29" w14:textId="77777777" w:rsidTr="004A1755">
        <w:tc>
          <w:tcPr>
            <w:tcW w:w="4770" w:type="dxa"/>
            <w:tcBorders>
              <w:bottom w:val="single" w:sz="4" w:space="0" w:color="auto"/>
            </w:tcBorders>
            <w:shd w:val="clear" w:color="auto" w:fill="auto"/>
          </w:tcPr>
          <w:p w14:paraId="121A04DA" w14:textId="77777777" w:rsidR="004F71B9" w:rsidRPr="00DA4360" w:rsidRDefault="004F71B9" w:rsidP="003F6F1A">
            <w:pPr>
              <w:keepNext/>
              <w:tabs>
                <w:tab w:val="left" w:pos="360"/>
              </w:tabs>
              <w:suppressAutoHyphens/>
              <w:spacing w:after="0" w:line="240" w:lineRule="auto"/>
              <w:jc w:val="both"/>
              <w:rPr>
                <w:rFonts w:ascii="Arial" w:hAnsi="Arial" w:cs="Arial"/>
                <w:sz w:val="20"/>
                <w:szCs w:val="20"/>
                <w:lang w:val="en-CA"/>
              </w:rPr>
            </w:pPr>
            <w:r w:rsidRPr="00DA4360">
              <w:rPr>
                <w:rFonts w:ascii="Arial" w:hAnsi="Arial" w:cs="Arial"/>
                <w:sz w:val="20"/>
                <w:szCs w:val="20"/>
                <w:lang w:val="en-CA"/>
              </w:rPr>
              <w:t xml:space="preserve">Share-based payments </w:t>
            </w:r>
          </w:p>
        </w:tc>
        <w:tc>
          <w:tcPr>
            <w:tcW w:w="236" w:type="dxa"/>
            <w:tcBorders>
              <w:bottom w:val="single" w:sz="4" w:space="0" w:color="auto"/>
            </w:tcBorders>
            <w:shd w:val="clear" w:color="auto" w:fill="auto"/>
          </w:tcPr>
          <w:p w14:paraId="0B38ECAD" w14:textId="77777777" w:rsidR="004F71B9" w:rsidRPr="00DA4360" w:rsidRDefault="004F71B9" w:rsidP="003F6F1A">
            <w:pPr>
              <w:keepNext/>
              <w:tabs>
                <w:tab w:val="left" w:pos="360"/>
              </w:tabs>
              <w:suppressAutoHyphens/>
              <w:spacing w:after="0" w:line="240" w:lineRule="auto"/>
              <w:jc w:val="right"/>
              <w:rPr>
                <w:rFonts w:ascii="Arial" w:hAnsi="Arial" w:cs="Arial"/>
                <w:b/>
                <w:sz w:val="20"/>
                <w:szCs w:val="20"/>
                <w:lang w:val="en-CA"/>
              </w:rPr>
            </w:pPr>
          </w:p>
        </w:tc>
        <w:tc>
          <w:tcPr>
            <w:tcW w:w="2054" w:type="dxa"/>
            <w:tcBorders>
              <w:bottom w:val="single" w:sz="4" w:space="0" w:color="auto"/>
            </w:tcBorders>
            <w:shd w:val="clear" w:color="auto" w:fill="auto"/>
            <w:vAlign w:val="bottom"/>
          </w:tcPr>
          <w:p w14:paraId="21DC5548" w14:textId="77777777" w:rsidR="004F71B9" w:rsidRPr="00DA4360" w:rsidRDefault="004B4490" w:rsidP="003F6F1A">
            <w:pPr>
              <w:keepNext/>
              <w:tabs>
                <w:tab w:val="left" w:pos="360"/>
              </w:tabs>
              <w:suppressAutoHyphens/>
              <w:spacing w:after="0" w:line="240" w:lineRule="auto"/>
              <w:jc w:val="right"/>
              <w:rPr>
                <w:rFonts w:ascii="Arial" w:hAnsi="Arial" w:cs="Arial"/>
                <w:b/>
                <w:sz w:val="20"/>
                <w:szCs w:val="20"/>
                <w:lang w:val="en-CA"/>
              </w:rPr>
            </w:pPr>
            <w:r w:rsidRPr="00DA4360">
              <w:rPr>
                <w:rFonts w:ascii="Arial" w:hAnsi="Arial" w:cs="Arial"/>
                <w:b/>
                <w:sz w:val="20"/>
                <w:szCs w:val="20"/>
                <w:lang w:val="en-CA"/>
              </w:rPr>
              <w:t>457,160</w:t>
            </w:r>
          </w:p>
        </w:tc>
        <w:tc>
          <w:tcPr>
            <w:tcW w:w="236" w:type="dxa"/>
            <w:tcBorders>
              <w:bottom w:val="single" w:sz="4" w:space="0" w:color="auto"/>
            </w:tcBorders>
            <w:shd w:val="clear" w:color="auto" w:fill="auto"/>
            <w:vAlign w:val="bottom"/>
          </w:tcPr>
          <w:p w14:paraId="1CC079FC" w14:textId="77777777" w:rsidR="004F71B9" w:rsidRPr="00DA4360" w:rsidRDefault="004F71B9" w:rsidP="003F6F1A">
            <w:pPr>
              <w:keepNext/>
              <w:tabs>
                <w:tab w:val="left" w:pos="360"/>
              </w:tabs>
              <w:suppressAutoHyphens/>
              <w:spacing w:after="0" w:line="240" w:lineRule="auto"/>
              <w:jc w:val="right"/>
              <w:rPr>
                <w:rFonts w:ascii="Arial" w:hAnsi="Arial" w:cs="Arial"/>
                <w:sz w:val="20"/>
                <w:szCs w:val="20"/>
                <w:lang w:val="en-CA"/>
              </w:rPr>
            </w:pPr>
          </w:p>
        </w:tc>
        <w:tc>
          <w:tcPr>
            <w:tcW w:w="2123" w:type="dxa"/>
            <w:tcBorders>
              <w:bottom w:val="single" w:sz="4" w:space="0" w:color="auto"/>
            </w:tcBorders>
            <w:shd w:val="clear" w:color="auto" w:fill="auto"/>
            <w:vAlign w:val="bottom"/>
          </w:tcPr>
          <w:p w14:paraId="1F146F52" w14:textId="77777777" w:rsidR="004F71B9" w:rsidRPr="00DA4360" w:rsidRDefault="00BD2307" w:rsidP="003F6F1A">
            <w:pPr>
              <w:keepNext/>
              <w:tabs>
                <w:tab w:val="left" w:pos="360"/>
              </w:tabs>
              <w:suppressAutoHyphens/>
              <w:spacing w:after="0" w:line="240" w:lineRule="auto"/>
              <w:jc w:val="right"/>
              <w:rPr>
                <w:rFonts w:ascii="Arial" w:hAnsi="Arial" w:cs="Arial"/>
                <w:sz w:val="20"/>
                <w:szCs w:val="20"/>
                <w:lang w:val="en-CA"/>
              </w:rPr>
            </w:pPr>
            <w:r w:rsidRPr="00DA4360">
              <w:rPr>
                <w:rFonts w:ascii="Arial" w:hAnsi="Arial" w:cs="Arial"/>
                <w:sz w:val="20"/>
                <w:szCs w:val="20"/>
                <w:lang w:val="en-CA"/>
              </w:rPr>
              <w:t>892,417</w:t>
            </w:r>
          </w:p>
        </w:tc>
      </w:tr>
      <w:tr w:rsidR="003E0848" w:rsidRPr="00DA4360" w14:paraId="1D91C42A" w14:textId="77777777" w:rsidTr="004A1755">
        <w:tc>
          <w:tcPr>
            <w:tcW w:w="4770" w:type="dxa"/>
            <w:tcBorders>
              <w:top w:val="single" w:sz="4" w:space="0" w:color="auto"/>
            </w:tcBorders>
            <w:shd w:val="clear" w:color="auto" w:fill="auto"/>
          </w:tcPr>
          <w:p w14:paraId="7B31FEC5" w14:textId="77777777" w:rsidR="00EB57B1" w:rsidRPr="00DA4360" w:rsidRDefault="00EB57B1" w:rsidP="003F6F1A">
            <w:pPr>
              <w:keepNext/>
              <w:tabs>
                <w:tab w:val="left" w:pos="360"/>
              </w:tabs>
              <w:suppressAutoHyphens/>
              <w:spacing w:after="0" w:line="240" w:lineRule="auto"/>
              <w:jc w:val="both"/>
              <w:rPr>
                <w:rFonts w:ascii="Arial" w:hAnsi="Arial" w:cs="Arial"/>
                <w:sz w:val="20"/>
                <w:szCs w:val="20"/>
                <w:lang w:val="en-CA"/>
              </w:rPr>
            </w:pPr>
          </w:p>
        </w:tc>
        <w:tc>
          <w:tcPr>
            <w:tcW w:w="236" w:type="dxa"/>
            <w:tcBorders>
              <w:top w:val="single" w:sz="4" w:space="0" w:color="auto"/>
            </w:tcBorders>
            <w:shd w:val="clear" w:color="auto" w:fill="auto"/>
          </w:tcPr>
          <w:p w14:paraId="4807D0B7" w14:textId="77777777" w:rsidR="00EB57B1" w:rsidRPr="00DA4360" w:rsidRDefault="00EB57B1" w:rsidP="003F6F1A">
            <w:pPr>
              <w:keepNext/>
              <w:tabs>
                <w:tab w:val="left" w:pos="360"/>
              </w:tabs>
              <w:suppressAutoHyphens/>
              <w:spacing w:after="0" w:line="240" w:lineRule="auto"/>
              <w:jc w:val="right"/>
              <w:rPr>
                <w:rFonts w:ascii="Arial" w:hAnsi="Arial" w:cs="Arial"/>
                <w:b/>
                <w:sz w:val="20"/>
                <w:szCs w:val="20"/>
                <w:lang w:val="en-CA"/>
              </w:rPr>
            </w:pPr>
          </w:p>
        </w:tc>
        <w:tc>
          <w:tcPr>
            <w:tcW w:w="2054" w:type="dxa"/>
            <w:tcBorders>
              <w:top w:val="single" w:sz="4" w:space="0" w:color="auto"/>
            </w:tcBorders>
            <w:shd w:val="clear" w:color="auto" w:fill="auto"/>
            <w:vAlign w:val="bottom"/>
          </w:tcPr>
          <w:p w14:paraId="6EDECDC6" w14:textId="77777777" w:rsidR="00EB57B1" w:rsidRPr="00DA4360" w:rsidRDefault="00EB57B1" w:rsidP="003F6F1A">
            <w:pPr>
              <w:keepNext/>
              <w:tabs>
                <w:tab w:val="left" w:pos="360"/>
              </w:tabs>
              <w:suppressAutoHyphens/>
              <w:spacing w:after="0" w:line="240" w:lineRule="auto"/>
              <w:jc w:val="right"/>
              <w:rPr>
                <w:rFonts w:ascii="Arial" w:hAnsi="Arial" w:cs="Arial"/>
                <w:b/>
                <w:sz w:val="20"/>
                <w:szCs w:val="20"/>
                <w:lang w:val="en-CA"/>
              </w:rPr>
            </w:pPr>
          </w:p>
        </w:tc>
        <w:tc>
          <w:tcPr>
            <w:tcW w:w="236" w:type="dxa"/>
            <w:tcBorders>
              <w:top w:val="single" w:sz="4" w:space="0" w:color="auto"/>
            </w:tcBorders>
            <w:shd w:val="clear" w:color="auto" w:fill="auto"/>
            <w:vAlign w:val="bottom"/>
          </w:tcPr>
          <w:p w14:paraId="74892833" w14:textId="77777777" w:rsidR="00EB57B1" w:rsidRPr="00DA4360" w:rsidRDefault="00EB57B1" w:rsidP="003F6F1A">
            <w:pPr>
              <w:keepNext/>
              <w:tabs>
                <w:tab w:val="left" w:pos="360"/>
              </w:tabs>
              <w:suppressAutoHyphens/>
              <w:spacing w:after="0" w:line="240" w:lineRule="auto"/>
              <w:jc w:val="right"/>
              <w:rPr>
                <w:rFonts w:ascii="Arial" w:hAnsi="Arial" w:cs="Arial"/>
                <w:sz w:val="20"/>
                <w:szCs w:val="20"/>
                <w:lang w:val="en-CA"/>
              </w:rPr>
            </w:pPr>
          </w:p>
        </w:tc>
        <w:tc>
          <w:tcPr>
            <w:tcW w:w="2123" w:type="dxa"/>
            <w:tcBorders>
              <w:top w:val="single" w:sz="4" w:space="0" w:color="auto"/>
            </w:tcBorders>
            <w:shd w:val="clear" w:color="auto" w:fill="auto"/>
            <w:vAlign w:val="bottom"/>
          </w:tcPr>
          <w:p w14:paraId="4CD835B8" w14:textId="77777777" w:rsidR="00EB57B1" w:rsidRPr="00DA4360" w:rsidRDefault="00EB57B1" w:rsidP="003F6F1A">
            <w:pPr>
              <w:keepNext/>
              <w:tabs>
                <w:tab w:val="left" w:pos="360"/>
              </w:tabs>
              <w:suppressAutoHyphens/>
              <w:spacing w:after="0" w:line="240" w:lineRule="auto"/>
              <w:jc w:val="right"/>
              <w:rPr>
                <w:rFonts w:ascii="Arial" w:hAnsi="Arial" w:cs="Arial"/>
                <w:sz w:val="20"/>
                <w:szCs w:val="20"/>
                <w:lang w:val="en-CA"/>
              </w:rPr>
            </w:pPr>
          </w:p>
        </w:tc>
      </w:tr>
      <w:tr w:rsidR="003E0848" w:rsidRPr="00DA4360" w14:paraId="5BB3ACE0" w14:textId="77777777" w:rsidTr="004A1755">
        <w:tc>
          <w:tcPr>
            <w:tcW w:w="4770" w:type="dxa"/>
            <w:shd w:val="clear" w:color="auto" w:fill="auto"/>
          </w:tcPr>
          <w:p w14:paraId="7C1F3D72" w14:textId="77777777" w:rsidR="00EB57B1" w:rsidRPr="00DA4360" w:rsidRDefault="00EB57B1" w:rsidP="003F6F1A">
            <w:pPr>
              <w:keepNext/>
              <w:tabs>
                <w:tab w:val="left" w:pos="360"/>
              </w:tabs>
              <w:suppressAutoHyphens/>
              <w:spacing w:after="0" w:line="240" w:lineRule="auto"/>
              <w:jc w:val="both"/>
              <w:rPr>
                <w:rFonts w:ascii="Arial" w:hAnsi="Arial" w:cs="Arial"/>
                <w:sz w:val="20"/>
                <w:szCs w:val="20"/>
                <w:lang w:val="en-CA"/>
              </w:rPr>
            </w:pPr>
            <w:r w:rsidRPr="00DA4360">
              <w:rPr>
                <w:rFonts w:ascii="Arial" w:hAnsi="Arial" w:cs="Arial"/>
                <w:sz w:val="20"/>
                <w:szCs w:val="20"/>
                <w:lang w:val="en-CA"/>
              </w:rPr>
              <w:t>Loss from operations</w:t>
            </w:r>
          </w:p>
        </w:tc>
        <w:tc>
          <w:tcPr>
            <w:tcW w:w="236" w:type="dxa"/>
            <w:shd w:val="clear" w:color="auto" w:fill="auto"/>
          </w:tcPr>
          <w:p w14:paraId="55853579" w14:textId="77777777" w:rsidR="00EB57B1" w:rsidRPr="00DA4360" w:rsidRDefault="00EB57B1" w:rsidP="003F6F1A">
            <w:pPr>
              <w:keepNext/>
              <w:tabs>
                <w:tab w:val="left" w:pos="360"/>
              </w:tabs>
              <w:suppressAutoHyphens/>
              <w:spacing w:after="0" w:line="240" w:lineRule="auto"/>
              <w:jc w:val="right"/>
              <w:rPr>
                <w:rFonts w:ascii="Arial" w:hAnsi="Arial" w:cs="Arial"/>
                <w:b/>
                <w:sz w:val="20"/>
                <w:szCs w:val="20"/>
                <w:lang w:val="en-CA"/>
              </w:rPr>
            </w:pPr>
          </w:p>
        </w:tc>
        <w:tc>
          <w:tcPr>
            <w:tcW w:w="2054" w:type="dxa"/>
            <w:shd w:val="clear" w:color="auto" w:fill="auto"/>
            <w:vAlign w:val="bottom"/>
          </w:tcPr>
          <w:p w14:paraId="726154EC" w14:textId="77777777" w:rsidR="00EB57B1" w:rsidRPr="00DA4360" w:rsidRDefault="0089453C" w:rsidP="003F6F1A">
            <w:pPr>
              <w:keepNext/>
              <w:tabs>
                <w:tab w:val="left" w:pos="360"/>
              </w:tabs>
              <w:suppressAutoHyphens/>
              <w:spacing w:after="0" w:line="240" w:lineRule="auto"/>
              <w:jc w:val="right"/>
              <w:rPr>
                <w:rFonts w:ascii="Arial" w:hAnsi="Arial" w:cs="Arial"/>
                <w:b/>
                <w:sz w:val="20"/>
                <w:szCs w:val="20"/>
                <w:lang w:val="en-CA"/>
              </w:rPr>
            </w:pPr>
            <w:r w:rsidRPr="00DA4360">
              <w:rPr>
                <w:rFonts w:ascii="Arial" w:hAnsi="Arial" w:cs="Arial"/>
                <w:b/>
                <w:sz w:val="20"/>
                <w:szCs w:val="20"/>
                <w:lang w:val="en-CA"/>
              </w:rPr>
              <w:t>(</w:t>
            </w:r>
            <w:r w:rsidR="004B4490" w:rsidRPr="00DA4360">
              <w:rPr>
                <w:rFonts w:ascii="Arial" w:hAnsi="Arial" w:cs="Arial"/>
                <w:b/>
                <w:sz w:val="20"/>
                <w:szCs w:val="20"/>
                <w:lang w:val="en-CA"/>
              </w:rPr>
              <w:t>1</w:t>
            </w:r>
            <w:r w:rsidR="001A480E" w:rsidRPr="00DA4360">
              <w:rPr>
                <w:rFonts w:ascii="Arial" w:hAnsi="Arial" w:cs="Arial"/>
                <w:b/>
                <w:sz w:val="20"/>
                <w:szCs w:val="20"/>
                <w:lang w:val="en-CA"/>
              </w:rPr>
              <w:t>,</w:t>
            </w:r>
            <w:r w:rsidR="00CD59DC" w:rsidRPr="00DA4360">
              <w:rPr>
                <w:rFonts w:ascii="Arial" w:hAnsi="Arial" w:cs="Arial"/>
                <w:b/>
                <w:sz w:val="20"/>
                <w:szCs w:val="20"/>
                <w:lang w:val="en-CA"/>
              </w:rPr>
              <w:t>42</w:t>
            </w:r>
            <w:r w:rsidR="00D3689F" w:rsidRPr="00DA4360">
              <w:rPr>
                <w:rFonts w:ascii="Arial" w:hAnsi="Arial" w:cs="Arial"/>
                <w:b/>
                <w:sz w:val="20"/>
                <w:szCs w:val="20"/>
                <w:lang w:val="en-CA"/>
              </w:rPr>
              <w:t>4,070</w:t>
            </w:r>
            <w:r w:rsidRPr="00DA4360">
              <w:rPr>
                <w:rFonts w:ascii="Arial" w:hAnsi="Arial" w:cs="Arial"/>
                <w:b/>
                <w:sz w:val="20"/>
                <w:szCs w:val="20"/>
                <w:lang w:val="en-CA"/>
              </w:rPr>
              <w:t>)</w:t>
            </w:r>
          </w:p>
        </w:tc>
        <w:tc>
          <w:tcPr>
            <w:tcW w:w="236" w:type="dxa"/>
            <w:shd w:val="clear" w:color="auto" w:fill="auto"/>
            <w:vAlign w:val="bottom"/>
          </w:tcPr>
          <w:p w14:paraId="1B03C624" w14:textId="77777777" w:rsidR="00EB57B1" w:rsidRPr="00DA4360" w:rsidRDefault="00EB57B1" w:rsidP="003F6F1A">
            <w:pPr>
              <w:keepNext/>
              <w:tabs>
                <w:tab w:val="left" w:pos="360"/>
              </w:tabs>
              <w:suppressAutoHyphens/>
              <w:spacing w:after="0" w:line="240" w:lineRule="auto"/>
              <w:jc w:val="right"/>
              <w:rPr>
                <w:rFonts w:ascii="Arial" w:hAnsi="Arial" w:cs="Arial"/>
                <w:sz w:val="20"/>
                <w:szCs w:val="20"/>
                <w:lang w:val="en-CA"/>
              </w:rPr>
            </w:pPr>
          </w:p>
        </w:tc>
        <w:tc>
          <w:tcPr>
            <w:tcW w:w="2123" w:type="dxa"/>
            <w:shd w:val="clear" w:color="auto" w:fill="auto"/>
            <w:vAlign w:val="bottom"/>
          </w:tcPr>
          <w:p w14:paraId="7AD515D6" w14:textId="77777777" w:rsidR="00EB57B1" w:rsidRPr="00DA4360" w:rsidRDefault="0089453C" w:rsidP="003F6F1A">
            <w:pPr>
              <w:keepNext/>
              <w:tabs>
                <w:tab w:val="left" w:pos="360"/>
              </w:tabs>
              <w:suppressAutoHyphens/>
              <w:spacing w:after="0" w:line="240" w:lineRule="auto"/>
              <w:jc w:val="right"/>
              <w:rPr>
                <w:rFonts w:ascii="Arial" w:hAnsi="Arial" w:cs="Arial"/>
                <w:sz w:val="20"/>
                <w:szCs w:val="20"/>
                <w:lang w:val="en-CA"/>
              </w:rPr>
            </w:pPr>
            <w:r w:rsidRPr="00DA4360">
              <w:rPr>
                <w:rFonts w:ascii="Arial" w:hAnsi="Arial" w:cs="Arial"/>
                <w:sz w:val="20"/>
                <w:szCs w:val="20"/>
                <w:lang w:val="en-CA"/>
              </w:rPr>
              <w:t>(</w:t>
            </w:r>
            <w:r w:rsidR="00BD2307" w:rsidRPr="00DA4360">
              <w:rPr>
                <w:rFonts w:ascii="Arial" w:hAnsi="Arial" w:cs="Arial"/>
                <w:sz w:val="20"/>
                <w:szCs w:val="20"/>
                <w:lang w:val="en-CA"/>
              </w:rPr>
              <w:t>2,703,891</w:t>
            </w:r>
            <w:r w:rsidRPr="00DA4360">
              <w:rPr>
                <w:rFonts w:ascii="Arial" w:hAnsi="Arial" w:cs="Arial"/>
                <w:sz w:val="20"/>
                <w:szCs w:val="20"/>
                <w:lang w:val="en-CA"/>
              </w:rPr>
              <w:t>)</w:t>
            </w:r>
          </w:p>
        </w:tc>
      </w:tr>
      <w:tr w:rsidR="003E0848" w:rsidRPr="00DA4360" w14:paraId="10B9DB2F" w14:textId="77777777" w:rsidTr="004A1755">
        <w:tc>
          <w:tcPr>
            <w:tcW w:w="4770" w:type="dxa"/>
            <w:shd w:val="clear" w:color="auto" w:fill="auto"/>
          </w:tcPr>
          <w:p w14:paraId="16FBEA37" w14:textId="77777777" w:rsidR="00EB57B1" w:rsidRPr="00DA4360" w:rsidRDefault="00EB57B1" w:rsidP="003F6F1A">
            <w:pPr>
              <w:keepNext/>
              <w:tabs>
                <w:tab w:val="left" w:pos="360"/>
              </w:tabs>
              <w:suppressAutoHyphens/>
              <w:spacing w:after="0" w:line="240" w:lineRule="auto"/>
              <w:jc w:val="both"/>
              <w:rPr>
                <w:rFonts w:ascii="Arial" w:hAnsi="Arial" w:cs="Arial"/>
                <w:sz w:val="20"/>
                <w:szCs w:val="20"/>
                <w:highlight w:val="yellow"/>
                <w:lang w:val="en-CA"/>
              </w:rPr>
            </w:pPr>
          </w:p>
        </w:tc>
        <w:tc>
          <w:tcPr>
            <w:tcW w:w="236" w:type="dxa"/>
            <w:shd w:val="clear" w:color="auto" w:fill="auto"/>
          </w:tcPr>
          <w:p w14:paraId="5954F57A" w14:textId="77777777" w:rsidR="00EB57B1" w:rsidRPr="00DA4360" w:rsidRDefault="00EB57B1" w:rsidP="003F6F1A">
            <w:pPr>
              <w:keepNext/>
              <w:tabs>
                <w:tab w:val="left" w:pos="360"/>
              </w:tabs>
              <w:suppressAutoHyphens/>
              <w:spacing w:after="0" w:line="240" w:lineRule="auto"/>
              <w:jc w:val="right"/>
              <w:rPr>
                <w:rFonts w:ascii="Arial" w:hAnsi="Arial" w:cs="Arial"/>
                <w:b/>
                <w:sz w:val="20"/>
                <w:szCs w:val="20"/>
                <w:highlight w:val="yellow"/>
                <w:lang w:val="en-CA"/>
              </w:rPr>
            </w:pPr>
          </w:p>
        </w:tc>
        <w:tc>
          <w:tcPr>
            <w:tcW w:w="2054" w:type="dxa"/>
            <w:shd w:val="clear" w:color="auto" w:fill="auto"/>
            <w:vAlign w:val="bottom"/>
          </w:tcPr>
          <w:p w14:paraId="2B5A3DAF" w14:textId="77777777" w:rsidR="00EB57B1" w:rsidRPr="00DA4360" w:rsidRDefault="00EB57B1" w:rsidP="003F6F1A">
            <w:pPr>
              <w:keepNext/>
              <w:tabs>
                <w:tab w:val="left" w:pos="360"/>
              </w:tabs>
              <w:suppressAutoHyphens/>
              <w:spacing w:after="0" w:line="240" w:lineRule="auto"/>
              <w:jc w:val="right"/>
              <w:rPr>
                <w:rFonts w:ascii="Arial" w:hAnsi="Arial" w:cs="Arial"/>
                <w:b/>
                <w:sz w:val="20"/>
                <w:szCs w:val="20"/>
                <w:highlight w:val="yellow"/>
                <w:lang w:val="en-CA"/>
              </w:rPr>
            </w:pPr>
          </w:p>
        </w:tc>
        <w:tc>
          <w:tcPr>
            <w:tcW w:w="236" w:type="dxa"/>
            <w:shd w:val="clear" w:color="auto" w:fill="auto"/>
            <w:vAlign w:val="bottom"/>
          </w:tcPr>
          <w:p w14:paraId="3FFD3FC9" w14:textId="77777777" w:rsidR="00EB57B1" w:rsidRPr="00DA4360" w:rsidRDefault="00EB57B1" w:rsidP="003F6F1A">
            <w:pPr>
              <w:keepNext/>
              <w:tabs>
                <w:tab w:val="left" w:pos="360"/>
              </w:tabs>
              <w:suppressAutoHyphens/>
              <w:spacing w:after="0" w:line="240" w:lineRule="auto"/>
              <w:jc w:val="right"/>
              <w:rPr>
                <w:rFonts w:ascii="Arial" w:hAnsi="Arial" w:cs="Arial"/>
                <w:sz w:val="20"/>
                <w:szCs w:val="20"/>
                <w:highlight w:val="yellow"/>
                <w:lang w:val="en-CA"/>
              </w:rPr>
            </w:pPr>
          </w:p>
        </w:tc>
        <w:tc>
          <w:tcPr>
            <w:tcW w:w="2123" w:type="dxa"/>
            <w:shd w:val="clear" w:color="auto" w:fill="auto"/>
            <w:vAlign w:val="bottom"/>
          </w:tcPr>
          <w:p w14:paraId="7184DA5B" w14:textId="77777777" w:rsidR="00EB57B1" w:rsidRPr="00DA4360" w:rsidRDefault="00EB57B1" w:rsidP="003F6F1A">
            <w:pPr>
              <w:keepNext/>
              <w:tabs>
                <w:tab w:val="left" w:pos="360"/>
              </w:tabs>
              <w:suppressAutoHyphens/>
              <w:spacing w:after="0" w:line="240" w:lineRule="auto"/>
              <w:jc w:val="right"/>
              <w:rPr>
                <w:rFonts w:ascii="Arial" w:hAnsi="Arial" w:cs="Arial"/>
                <w:sz w:val="20"/>
                <w:szCs w:val="20"/>
                <w:highlight w:val="yellow"/>
                <w:lang w:val="en-CA"/>
              </w:rPr>
            </w:pPr>
          </w:p>
        </w:tc>
      </w:tr>
      <w:tr w:rsidR="003E0848" w:rsidRPr="00DA4360" w14:paraId="07421DCF" w14:textId="77777777" w:rsidTr="004A1755">
        <w:tc>
          <w:tcPr>
            <w:tcW w:w="4770" w:type="dxa"/>
            <w:shd w:val="clear" w:color="auto" w:fill="auto"/>
          </w:tcPr>
          <w:p w14:paraId="451A52F2" w14:textId="77777777" w:rsidR="004B4490" w:rsidRPr="00DA4360" w:rsidRDefault="004B4490" w:rsidP="003F6F1A">
            <w:pPr>
              <w:keepNext/>
              <w:tabs>
                <w:tab w:val="left" w:pos="360"/>
              </w:tabs>
              <w:suppressAutoHyphens/>
              <w:spacing w:after="0" w:line="240" w:lineRule="auto"/>
              <w:jc w:val="both"/>
              <w:rPr>
                <w:rFonts w:ascii="Arial" w:hAnsi="Arial" w:cs="Arial"/>
                <w:sz w:val="20"/>
                <w:szCs w:val="20"/>
                <w:lang w:val="en-CA"/>
              </w:rPr>
            </w:pPr>
            <w:r w:rsidRPr="00DA4360">
              <w:rPr>
                <w:rFonts w:ascii="Arial" w:hAnsi="Arial" w:cs="Arial"/>
                <w:sz w:val="20"/>
                <w:szCs w:val="20"/>
                <w:lang w:val="en-CA"/>
              </w:rPr>
              <w:t>Listing fee</w:t>
            </w:r>
          </w:p>
        </w:tc>
        <w:tc>
          <w:tcPr>
            <w:tcW w:w="236" w:type="dxa"/>
            <w:shd w:val="clear" w:color="auto" w:fill="auto"/>
          </w:tcPr>
          <w:p w14:paraId="1DECE296" w14:textId="77777777" w:rsidR="004B4490" w:rsidRPr="00DA4360" w:rsidRDefault="004B4490" w:rsidP="003F6F1A">
            <w:pPr>
              <w:keepNext/>
              <w:tabs>
                <w:tab w:val="left" w:pos="360"/>
              </w:tabs>
              <w:suppressAutoHyphens/>
              <w:spacing w:after="0" w:line="240" w:lineRule="auto"/>
              <w:jc w:val="right"/>
              <w:rPr>
                <w:rFonts w:ascii="Arial" w:hAnsi="Arial" w:cs="Arial"/>
                <w:b/>
                <w:sz w:val="20"/>
                <w:szCs w:val="20"/>
                <w:lang w:val="en-CA"/>
              </w:rPr>
            </w:pPr>
          </w:p>
        </w:tc>
        <w:tc>
          <w:tcPr>
            <w:tcW w:w="2054" w:type="dxa"/>
            <w:shd w:val="clear" w:color="auto" w:fill="auto"/>
            <w:vAlign w:val="bottom"/>
          </w:tcPr>
          <w:p w14:paraId="23BD51B6" w14:textId="77777777" w:rsidR="004B4490" w:rsidRPr="00DA4360" w:rsidRDefault="004B4490" w:rsidP="003F6F1A">
            <w:pPr>
              <w:keepNext/>
              <w:tabs>
                <w:tab w:val="left" w:pos="360"/>
              </w:tabs>
              <w:suppressAutoHyphens/>
              <w:spacing w:after="0" w:line="240" w:lineRule="auto"/>
              <w:jc w:val="right"/>
              <w:rPr>
                <w:rFonts w:ascii="Arial" w:hAnsi="Arial" w:cs="Arial"/>
                <w:b/>
                <w:sz w:val="20"/>
                <w:szCs w:val="20"/>
                <w:lang w:val="en-CA"/>
              </w:rPr>
            </w:pPr>
            <w:r w:rsidRPr="00DA4360">
              <w:rPr>
                <w:rFonts w:ascii="Arial" w:hAnsi="Arial" w:cs="Arial"/>
                <w:b/>
                <w:sz w:val="20"/>
                <w:szCs w:val="20"/>
                <w:lang w:val="en-CA"/>
              </w:rPr>
              <w:t>-</w:t>
            </w:r>
          </w:p>
        </w:tc>
        <w:tc>
          <w:tcPr>
            <w:tcW w:w="236" w:type="dxa"/>
            <w:shd w:val="clear" w:color="auto" w:fill="auto"/>
            <w:vAlign w:val="bottom"/>
          </w:tcPr>
          <w:p w14:paraId="30F475F4" w14:textId="77777777" w:rsidR="004B4490" w:rsidRPr="00DA4360" w:rsidRDefault="004B4490" w:rsidP="003F6F1A">
            <w:pPr>
              <w:keepNext/>
              <w:tabs>
                <w:tab w:val="left" w:pos="360"/>
              </w:tabs>
              <w:suppressAutoHyphens/>
              <w:spacing w:after="0" w:line="240" w:lineRule="auto"/>
              <w:jc w:val="right"/>
              <w:rPr>
                <w:rFonts w:ascii="Arial" w:hAnsi="Arial" w:cs="Arial"/>
                <w:sz w:val="20"/>
                <w:szCs w:val="20"/>
                <w:highlight w:val="yellow"/>
                <w:lang w:val="en-CA"/>
              </w:rPr>
            </w:pPr>
          </w:p>
        </w:tc>
        <w:tc>
          <w:tcPr>
            <w:tcW w:w="2123" w:type="dxa"/>
            <w:shd w:val="clear" w:color="auto" w:fill="auto"/>
            <w:vAlign w:val="bottom"/>
          </w:tcPr>
          <w:p w14:paraId="2D5DEC61" w14:textId="77777777" w:rsidR="004B4490" w:rsidRPr="00DA4360" w:rsidRDefault="004B4490" w:rsidP="003F6F1A">
            <w:pPr>
              <w:keepNext/>
              <w:tabs>
                <w:tab w:val="left" w:pos="360"/>
              </w:tabs>
              <w:suppressAutoHyphens/>
              <w:spacing w:after="0" w:line="240" w:lineRule="auto"/>
              <w:jc w:val="right"/>
              <w:rPr>
                <w:rFonts w:ascii="Arial" w:hAnsi="Arial" w:cs="Arial"/>
                <w:sz w:val="20"/>
                <w:szCs w:val="20"/>
                <w:lang w:val="en-CA"/>
              </w:rPr>
            </w:pPr>
            <w:r w:rsidRPr="00DA4360">
              <w:rPr>
                <w:rFonts w:ascii="Arial" w:hAnsi="Arial" w:cs="Arial"/>
                <w:sz w:val="20"/>
                <w:szCs w:val="20"/>
                <w:lang w:val="en-CA"/>
              </w:rPr>
              <w:t>1,143,660</w:t>
            </w:r>
          </w:p>
        </w:tc>
      </w:tr>
      <w:tr w:rsidR="003E0848" w:rsidRPr="00DA4360" w14:paraId="03914E51" w14:textId="77777777" w:rsidTr="004A1755">
        <w:tc>
          <w:tcPr>
            <w:tcW w:w="4770" w:type="dxa"/>
            <w:shd w:val="clear" w:color="auto" w:fill="auto"/>
          </w:tcPr>
          <w:p w14:paraId="0E7E3624" w14:textId="77777777" w:rsidR="00631CA5" w:rsidRPr="00DA4360" w:rsidRDefault="00631CA5" w:rsidP="003F6F1A">
            <w:pPr>
              <w:keepNext/>
              <w:tabs>
                <w:tab w:val="left" w:pos="360"/>
              </w:tabs>
              <w:suppressAutoHyphens/>
              <w:spacing w:after="0" w:line="240" w:lineRule="auto"/>
              <w:jc w:val="both"/>
              <w:rPr>
                <w:rFonts w:ascii="Arial" w:hAnsi="Arial" w:cs="Arial"/>
                <w:sz w:val="20"/>
                <w:szCs w:val="20"/>
                <w:lang w:val="en-CA"/>
              </w:rPr>
            </w:pPr>
            <w:r w:rsidRPr="00DA4360">
              <w:rPr>
                <w:rFonts w:ascii="Arial" w:hAnsi="Arial" w:cs="Arial"/>
                <w:sz w:val="20"/>
                <w:szCs w:val="20"/>
                <w:lang w:val="en-CA"/>
              </w:rPr>
              <w:t>Accretion expense</w:t>
            </w:r>
          </w:p>
        </w:tc>
        <w:tc>
          <w:tcPr>
            <w:tcW w:w="236" w:type="dxa"/>
            <w:shd w:val="clear" w:color="auto" w:fill="auto"/>
          </w:tcPr>
          <w:p w14:paraId="1AEFAF70" w14:textId="77777777" w:rsidR="00631CA5" w:rsidRPr="00DA4360" w:rsidRDefault="00631CA5" w:rsidP="003F6F1A">
            <w:pPr>
              <w:keepNext/>
              <w:tabs>
                <w:tab w:val="left" w:pos="360"/>
              </w:tabs>
              <w:suppressAutoHyphens/>
              <w:spacing w:after="0" w:line="240" w:lineRule="auto"/>
              <w:jc w:val="right"/>
              <w:rPr>
                <w:rFonts w:ascii="Arial" w:hAnsi="Arial" w:cs="Arial"/>
                <w:b/>
                <w:sz w:val="20"/>
                <w:szCs w:val="20"/>
                <w:lang w:val="en-CA"/>
              </w:rPr>
            </w:pPr>
          </w:p>
        </w:tc>
        <w:tc>
          <w:tcPr>
            <w:tcW w:w="2054" w:type="dxa"/>
            <w:shd w:val="clear" w:color="auto" w:fill="auto"/>
            <w:vAlign w:val="bottom"/>
          </w:tcPr>
          <w:p w14:paraId="782A238A" w14:textId="77777777" w:rsidR="00631CA5" w:rsidRPr="00DA4360" w:rsidRDefault="004B4490" w:rsidP="003F6F1A">
            <w:pPr>
              <w:keepNext/>
              <w:tabs>
                <w:tab w:val="left" w:pos="360"/>
              </w:tabs>
              <w:suppressAutoHyphens/>
              <w:spacing w:after="0" w:line="240" w:lineRule="auto"/>
              <w:jc w:val="right"/>
              <w:rPr>
                <w:rFonts w:ascii="Arial" w:hAnsi="Arial" w:cs="Arial"/>
                <w:b/>
                <w:sz w:val="20"/>
                <w:szCs w:val="20"/>
                <w:lang w:val="en-CA"/>
              </w:rPr>
            </w:pPr>
            <w:r w:rsidRPr="00DA4360">
              <w:rPr>
                <w:rFonts w:ascii="Arial" w:hAnsi="Arial" w:cs="Arial"/>
                <w:b/>
                <w:sz w:val="20"/>
                <w:szCs w:val="20"/>
                <w:lang w:val="en-CA"/>
              </w:rPr>
              <w:t>85,685</w:t>
            </w:r>
          </w:p>
        </w:tc>
        <w:tc>
          <w:tcPr>
            <w:tcW w:w="236" w:type="dxa"/>
            <w:shd w:val="clear" w:color="auto" w:fill="auto"/>
            <w:vAlign w:val="bottom"/>
          </w:tcPr>
          <w:p w14:paraId="03A26CC2" w14:textId="77777777" w:rsidR="00631CA5" w:rsidRPr="00DA4360" w:rsidRDefault="00631CA5" w:rsidP="003F6F1A">
            <w:pPr>
              <w:keepNext/>
              <w:tabs>
                <w:tab w:val="left" w:pos="360"/>
              </w:tabs>
              <w:suppressAutoHyphens/>
              <w:spacing w:after="0" w:line="240" w:lineRule="auto"/>
              <w:jc w:val="right"/>
              <w:rPr>
                <w:rFonts w:ascii="Arial" w:hAnsi="Arial" w:cs="Arial"/>
                <w:sz w:val="20"/>
                <w:szCs w:val="20"/>
                <w:highlight w:val="yellow"/>
                <w:lang w:val="en-CA"/>
              </w:rPr>
            </w:pPr>
          </w:p>
        </w:tc>
        <w:tc>
          <w:tcPr>
            <w:tcW w:w="2123" w:type="dxa"/>
            <w:shd w:val="clear" w:color="auto" w:fill="auto"/>
            <w:vAlign w:val="bottom"/>
          </w:tcPr>
          <w:p w14:paraId="0932F944" w14:textId="77777777" w:rsidR="00631CA5" w:rsidRPr="00DA4360" w:rsidRDefault="004B4490" w:rsidP="003F6F1A">
            <w:pPr>
              <w:keepNext/>
              <w:tabs>
                <w:tab w:val="left" w:pos="360"/>
              </w:tabs>
              <w:suppressAutoHyphens/>
              <w:spacing w:after="0" w:line="240" w:lineRule="auto"/>
              <w:jc w:val="right"/>
              <w:rPr>
                <w:rFonts w:ascii="Arial" w:hAnsi="Arial" w:cs="Arial"/>
                <w:sz w:val="20"/>
                <w:szCs w:val="20"/>
                <w:lang w:val="en-CA"/>
              </w:rPr>
            </w:pPr>
            <w:r w:rsidRPr="00DA4360">
              <w:rPr>
                <w:rFonts w:ascii="Arial" w:hAnsi="Arial" w:cs="Arial"/>
                <w:sz w:val="20"/>
                <w:szCs w:val="20"/>
                <w:lang w:val="en-CA"/>
              </w:rPr>
              <w:t>28,480</w:t>
            </w:r>
          </w:p>
        </w:tc>
      </w:tr>
      <w:tr w:rsidR="003E0848" w:rsidRPr="00DA4360" w14:paraId="51E5B13B" w14:textId="77777777" w:rsidTr="004A1755">
        <w:tc>
          <w:tcPr>
            <w:tcW w:w="4770" w:type="dxa"/>
            <w:shd w:val="clear" w:color="auto" w:fill="auto"/>
          </w:tcPr>
          <w:p w14:paraId="78763E22" w14:textId="77777777" w:rsidR="0089453C" w:rsidRPr="00DA4360" w:rsidRDefault="0089453C" w:rsidP="003F6F1A">
            <w:pPr>
              <w:keepNext/>
              <w:tabs>
                <w:tab w:val="left" w:pos="360"/>
              </w:tabs>
              <w:suppressAutoHyphens/>
              <w:spacing w:after="0" w:line="240" w:lineRule="auto"/>
              <w:jc w:val="both"/>
              <w:rPr>
                <w:rFonts w:ascii="Arial" w:hAnsi="Arial" w:cs="Arial"/>
                <w:sz w:val="20"/>
                <w:szCs w:val="20"/>
                <w:lang w:val="en-CA"/>
              </w:rPr>
            </w:pPr>
            <w:r w:rsidRPr="00DA4360">
              <w:rPr>
                <w:rFonts w:ascii="Arial" w:hAnsi="Arial" w:cs="Arial"/>
                <w:sz w:val="20"/>
                <w:szCs w:val="20"/>
                <w:lang w:val="en-CA"/>
              </w:rPr>
              <w:t>Interest income</w:t>
            </w:r>
          </w:p>
        </w:tc>
        <w:tc>
          <w:tcPr>
            <w:tcW w:w="236" w:type="dxa"/>
            <w:shd w:val="clear" w:color="auto" w:fill="auto"/>
          </w:tcPr>
          <w:p w14:paraId="6B3A8DD8" w14:textId="77777777" w:rsidR="0089453C" w:rsidRPr="00DA4360" w:rsidRDefault="0089453C" w:rsidP="003F6F1A">
            <w:pPr>
              <w:keepNext/>
              <w:tabs>
                <w:tab w:val="left" w:pos="360"/>
              </w:tabs>
              <w:suppressAutoHyphens/>
              <w:spacing w:after="0" w:line="240" w:lineRule="auto"/>
              <w:jc w:val="right"/>
              <w:rPr>
                <w:rFonts w:ascii="Arial" w:hAnsi="Arial" w:cs="Arial"/>
                <w:b/>
                <w:sz w:val="20"/>
                <w:szCs w:val="20"/>
                <w:lang w:val="en-CA"/>
              </w:rPr>
            </w:pPr>
          </w:p>
        </w:tc>
        <w:tc>
          <w:tcPr>
            <w:tcW w:w="2054" w:type="dxa"/>
            <w:shd w:val="clear" w:color="auto" w:fill="auto"/>
            <w:vAlign w:val="bottom"/>
          </w:tcPr>
          <w:p w14:paraId="40607C19" w14:textId="77777777" w:rsidR="0089453C" w:rsidRPr="00DA4360" w:rsidRDefault="004B4490" w:rsidP="003F6F1A">
            <w:pPr>
              <w:keepNext/>
              <w:tabs>
                <w:tab w:val="left" w:pos="360"/>
              </w:tabs>
              <w:suppressAutoHyphens/>
              <w:spacing w:after="0" w:line="240" w:lineRule="auto"/>
              <w:jc w:val="right"/>
              <w:rPr>
                <w:rFonts w:ascii="Arial" w:hAnsi="Arial" w:cs="Arial"/>
                <w:b/>
                <w:sz w:val="20"/>
                <w:szCs w:val="20"/>
                <w:lang w:val="en-CA"/>
              </w:rPr>
            </w:pPr>
            <w:r w:rsidRPr="00DA4360">
              <w:rPr>
                <w:rFonts w:ascii="Arial" w:hAnsi="Arial" w:cs="Arial"/>
                <w:b/>
                <w:sz w:val="20"/>
                <w:szCs w:val="20"/>
                <w:lang w:val="en-CA"/>
              </w:rPr>
              <w:t>(1,248)</w:t>
            </w:r>
          </w:p>
        </w:tc>
        <w:tc>
          <w:tcPr>
            <w:tcW w:w="236" w:type="dxa"/>
            <w:shd w:val="clear" w:color="auto" w:fill="auto"/>
            <w:vAlign w:val="bottom"/>
          </w:tcPr>
          <w:p w14:paraId="5085A2D3" w14:textId="77777777" w:rsidR="0089453C" w:rsidRPr="00DA4360" w:rsidRDefault="0089453C" w:rsidP="003F6F1A">
            <w:pPr>
              <w:keepNext/>
              <w:tabs>
                <w:tab w:val="left" w:pos="360"/>
              </w:tabs>
              <w:suppressAutoHyphens/>
              <w:spacing w:after="0" w:line="240" w:lineRule="auto"/>
              <w:jc w:val="right"/>
              <w:rPr>
                <w:rFonts w:ascii="Arial" w:hAnsi="Arial" w:cs="Arial"/>
                <w:sz w:val="20"/>
                <w:szCs w:val="20"/>
                <w:highlight w:val="yellow"/>
                <w:lang w:val="en-CA"/>
              </w:rPr>
            </w:pPr>
          </w:p>
        </w:tc>
        <w:tc>
          <w:tcPr>
            <w:tcW w:w="2123" w:type="dxa"/>
            <w:shd w:val="clear" w:color="auto" w:fill="auto"/>
            <w:vAlign w:val="bottom"/>
          </w:tcPr>
          <w:p w14:paraId="31C44707" w14:textId="77777777" w:rsidR="0089453C" w:rsidRPr="00DA4360" w:rsidRDefault="004B4490" w:rsidP="003F6F1A">
            <w:pPr>
              <w:keepNext/>
              <w:tabs>
                <w:tab w:val="left" w:pos="360"/>
              </w:tabs>
              <w:suppressAutoHyphens/>
              <w:spacing w:after="0" w:line="240" w:lineRule="auto"/>
              <w:jc w:val="right"/>
              <w:rPr>
                <w:rFonts w:ascii="Arial" w:hAnsi="Arial" w:cs="Arial"/>
                <w:sz w:val="20"/>
                <w:szCs w:val="20"/>
                <w:lang w:val="en-CA"/>
              </w:rPr>
            </w:pPr>
            <w:r w:rsidRPr="00DA4360">
              <w:rPr>
                <w:rFonts w:ascii="Arial" w:hAnsi="Arial" w:cs="Arial"/>
                <w:sz w:val="20"/>
                <w:szCs w:val="20"/>
                <w:lang w:val="en-CA"/>
              </w:rPr>
              <w:t>-</w:t>
            </w:r>
          </w:p>
        </w:tc>
      </w:tr>
      <w:tr w:rsidR="003E0848" w:rsidRPr="00DA4360" w14:paraId="186DCAB6" w14:textId="77777777" w:rsidTr="004A1755">
        <w:tc>
          <w:tcPr>
            <w:tcW w:w="4770" w:type="dxa"/>
            <w:shd w:val="clear" w:color="auto" w:fill="auto"/>
          </w:tcPr>
          <w:p w14:paraId="73CD0E87" w14:textId="77777777" w:rsidR="00631CA5" w:rsidRPr="00DA4360" w:rsidRDefault="00631CA5" w:rsidP="003F6F1A">
            <w:pPr>
              <w:keepNext/>
              <w:tabs>
                <w:tab w:val="left" w:pos="360"/>
              </w:tabs>
              <w:suppressAutoHyphens/>
              <w:spacing w:after="0" w:line="240" w:lineRule="auto"/>
              <w:jc w:val="both"/>
              <w:rPr>
                <w:rFonts w:ascii="Arial" w:hAnsi="Arial" w:cs="Arial"/>
                <w:sz w:val="20"/>
                <w:szCs w:val="20"/>
                <w:lang w:val="en-CA"/>
              </w:rPr>
            </w:pPr>
            <w:r w:rsidRPr="00DA4360">
              <w:rPr>
                <w:rFonts w:ascii="Arial" w:hAnsi="Arial" w:cs="Arial"/>
                <w:sz w:val="20"/>
                <w:szCs w:val="20"/>
                <w:lang w:val="en-CA"/>
              </w:rPr>
              <w:t>Interest expense</w:t>
            </w:r>
          </w:p>
        </w:tc>
        <w:tc>
          <w:tcPr>
            <w:tcW w:w="236" w:type="dxa"/>
            <w:shd w:val="clear" w:color="auto" w:fill="auto"/>
          </w:tcPr>
          <w:p w14:paraId="1CB3590A" w14:textId="77777777" w:rsidR="00631CA5" w:rsidRPr="00DA4360" w:rsidRDefault="00631CA5" w:rsidP="003F6F1A">
            <w:pPr>
              <w:keepNext/>
              <w:tabs>
                <w:tab w:val="left" w:pos="360"/>
              </w:tabs>
              <w:suppressAutoHyphens/>
              <w:spacing w:after="0" w:line="240" w:lineRule="auto"/>
              <w:jc w:val="right"/>
              <w:rPr>
                <w:rFonts w:ascii="Arial" w:hAnsi="Arial" w:cs="Arial"/>
                <w:b/>
                <w:sz w:val="20"/>
                <w:szCs w:val="20"/>
                <w:lang w:val="en-CA"/>
              </w:rPr>
            </w:pPr>
          </w:p>
        </w:tc>
        <w:tc>
          <w:tcPr>
            <w:tcW w:w="2054" w:type="dxa"/>
            <w:shd w:val="clear" w:color="auto" w:fill="auto"/>
            <w:vAlign w:val="bottom"/>
          </w:tcPr>
          <w:p w14:paraId="276BA22F" w14:textId="77777777" w:rsidR="00631CA5" w:rsidRPr="00DA4360" w:rsidRDefault="004B4490" w:rsidP="003F6F1A">
            <w:pPr>
              <w:keepNext/>
              <w:tabs>
                <w:tab w:val="left" w:pos="360"/>
              </w:tabs>
              <w:suppressAutoHyphens/>
              <w:spacing w:after="0" w:line="240" w:lineRule="auto"/>
              <w:jc w:val="right"/>
              <w:rPr>
                <w:rFonts w:ascii="Arial" w:hAnsi="Arial" w:cs="Arial"/>
                <w:b/>
                <w:sz w:val="20"/>
                <w:szCs w:val="20"/>
                <w:lang w:val="en-CA"/>
              </w:rPr>
            </w:pPr>
            <w:r w:rsidRPr="00DA4360">
              <w:rPr>
                <w:rFonts w:ascii="Arial" w:hAnsi="Arial" w:cs="Arial"/>
                <w:b/>
                <w:sz w:val="20"/>
                <w:szCs w:val="20"/>
                <w:lang w:val="en-CA"/>
              </w:rPr>
              <w:t>4</w:t>
            </w:r>
            <w:r w:rsidR="00D3689F" w:rsidRPr="00DA4360">
              <w:rPr>
                <w:rFonts w:ascii="Arial" w:hAnsi="Arial" w:cs="Arial"/>
                <w:b/>
                <w:sz w:val="20"/>
                <w:szCs w:val="20"/>
                <w:lang w:val="en-CA"/>
              </w:rPr>
              <w:t>2,287</w:t>
            </w:r>
          </w:p>
        </w:tc>
        <w:tc>
          <w:tcPr>
            <w:tcW w:w="236" w:type="dxa"/>
            <w:shd w:val="clear" w:color="auto" w:fill="auto"/>
            <w:vAlign w:val="bottom"/>
          </w:tcPr>
          <w:p w14:paraId="6739BED6" w14:textId="77777777" w:rsidR="00631CA5" w:rsidRPr="00DA4360" w:rsidRDefault="00631CA5" w:rsidP="003F6F1A">
            <w:pPr>
              <w:keepNext/>
              <w:tabs>
                <w:tab w:val="left" w:pos="360"/>
              </w:tabs>
              <w:suppressAutoHyphens/>
              <w:spacing w:after="0" w:line="240" w:lineRule="auto"/>
              <w:jc w:val="right"/>
              <w:rPr>
                <w:rFonts w:ascii="Arial" w:hAnsi="Arial" w:cs="Arial"/>
                <w:sz w:val="20"/>
                <w:szCs w:val="20"/>
                <w:highlight w:val="yellow"/>
                <w:lang w:val="en-CA"/>
              </w:rPr>
            </w:pPr>
          </w:p>
        </w:tc>
        <w:tc>
          <w:tcPr>
            <w:tcW w:w="2123" w:type="dxa"/>
            <w:shd w:val="clear" w:color="auto" w:fill="auto"/>
            <w:vAlign w:val="bottom"/>
          </w:tcPr>
          <w:p w14:paraId="2D5B08CF" w14:textId="77777777" w:rsidR="00631CA5" w:rsidRPr="00DA4360" w:rsidRDefault="004B4490" w:rsidP="003F6F1A">
            <w:pPr>
              <w:keepNext/>
              <w:tabs>
                <w:tab w:val="left" w:pos="360"/>
              </w:tabs>
              <w:suppressAutoHyphens/>
              <w:spacing w:after="0" w:line="240" w:lineRule="auto"/>
              <w:jc w:val="right"/>
              <w:rPr>
                <w:rFonts w:ascii="Arial" w:hAnsi="Arial" w:cs="Arial"/>
                <w:sz w:val="20"/>
                <w:szCs w:val="20"/>
                <w:lang w:val="en-CA"/>
              </w:rPr>
            </w:pPr>
            <w:r w:rsidRPr="00DA4360">
              <w:rPr>
                <w:rFonts w:ascii="Arial" w:hAnsi="Arial" w:cs="Arial"/>
                <w:sz w:val="20"/>
                <w:szCs w:val="20"/>
                <w:lang w:val="en-CA"/>
              </w:rPr>
              <w:t>39,412</w:t>
            </w:r>
          </w:p>
        </w:tc>
      </w:tr>
      <w:tr w:rsidR="003E0848" w:rsidRPr="00DA4360" w14:paraId="2F6E5FCB" w14:textId="77777777" w:rsidTr="004A1755">
        <w:tc>
          <w:tcPr>
            <w:tcW w:w="4770" w:type="dxa"/>
            <w:shd w:val="clear" w:color="auto" w:fill="auto"/>
          </w:tcPr>
          <w:p w14:paraId="470675F8" w14:textId="77777777" w:rsidR="00CD59DC" w:rsidRPr="00DA4360" w:rsidRDefault="00CD59DC" w:rsidP="003F6F1A">
            <w:pPr>
              <w:keepNext/>
              <w:tabs>
                <w:tab w:val="left" w:pos="360"/>
              </w:tabs>
              <w:suppressAutoHyphens/>
              <w:spacing w:after="0" w:line="240" w:lineRule="auto"/>
              <w:jc w:val="both"/>
              <w:rPr>
                <w:rFonts w:ascii="Arial" w:hAnsi="Arial" w:cs="Arial"/>
                <w:sz w:val="20"/>
                <w:szCs w:val="20"/>
                <w:lang w:val="en-CA"/>
              </w:rPr>
            </w:pPr>
            <w:r w:rsidRPr="00DA4360">
              <w:rPr>
                <w:rFonts w:ascii="Arial" w:hAnsi="Arial" w:cs="Arial"/>
                <w:sz w:val="20"/>
                <w:szCs w:val="20"/>
                <w:lang w:val="en-CA"/>
              </w:rPr>
              <w:t>Loss on disposal of property and equipment</w:t>
            </w:r>
          </w:p>
        </w:tc>
        <w:tc>
          <w:tcPr>
            <w:tcW w:w="236" w:type="dxa"/>
            <w:shd w:val="clear" w:color="auto" w:fill="auto"/>
          </w:tcPr>
          <w:p w14:paraId="5DE87A5E" w14:textId="77777777" w:rsidR="00CD59DC" w:rsidRPr="00DA4360" w:rsidRDefault="00CD59DC" w:rsidP="003F6F1A">
            <w:pPr>
              <w:keepNext/>
              <w:tabs>
                <w:tab w:val="left" w:pos="360"/>
              </w:tabs>
              <w:suppressAutoHyphens/>
              <w:spacing w:after="0" w:line="240" w:lineRule="auto"/>
              <w:jc w:val="right"/>
              <w:rPr>
                <w:rFonts w:ascii="Arial" w:hAnsi="Arial" w:cs="Arial"/>
                <w:b/>
                <w:sz w:val="20"/>
                <w:szCs w:val="20"/>
                <w:lang w:val="en-CA"/>
              </w:rPr>
            </w:pPr>
          </w:p>
        </w:tc>
        <w:tc>
          <w:tcPr>
            <w:tcW w:w="2054" w:type="dxa"/>
            <w:shd w:val="clear" w:color="auto" w:fill="auto"/>
            <w:vAlign w:val="bottom"/>
          </w:tcPr>
          <w:p w14:paraId="3AAB48BB" w14:textId="77777777" w:rsidR="00CD59DC" w:rsidRPr="00DA4360" w:rsidRDefault="00CD59DC" w:rsidP="003F6F1A">
            <w:pPr>
              <w:keepNext/>
              <w:tabs>
                <w:tab w:val="left" w:pos="360"/>
              </w:tabs>
              <w:suppressAutoHyphens/>
              <w:spacing w:after="0" w:line="240" w:lineRule="auto"/>
              <w:jc w:val="right"/>
              <w:rPr>
                <w:rFonts w:ascii="Arial" w:hAnsi="Arial" w:cs="Arial"/>
                <w:b/>
                <w:sz w:val="20"/>
                <w:szCs w:val="20"/>
                <w:lang w:val="en-CA"/>
              </w:rPr>
            </w:pPr>
            <w:r w:rsidRPr="00DA4360">
              <w:rPr>
                <w:rFonts w:ascii="Arial" w:hAnsi="Arial" w:cs="Arial"/>
                <w:b/>
                <w:sz w:val="20"/>
                <w:szCs w:val="20"/>
                <w:lang w:val="en-CA"/>
              </w:rPr>
              <w:t>114,516</w:t>
            </w:r>
          </w:p>
        </w:tc>
        <w:tc>
          <w:tcPr>
            <w:tcW w:w="236" w:type="dxa"/>
            <w:shd w:val="clear" w:color="auto" w:fill="auto"/>
            <w:vAlign w:val="bottom"/>
          </w:tcPr>
          <w:p w14:paraId="58120CF1" w14:textId="77777777" w:rsidR="00CD59DC" w:rsidRPr="00DA4360" w:rsidRDefault="00CD59DC" w:rsidP="003F6F1A">
            <w:pPr>
              <w:keepNext/>
              <w:tabs>
                <w:tab w:val="left" w:pos="360"/>
              </w:tabs>
              <w:suppressAutoHyphens/>
              <w:spacing w:after="0" w:line="240" w:lineRule="auto"/>
              <w:jc w:val="right"/>
              <w:rPr>
                <w:rFonts w:ascii="Arial" w:hAnsi="Arial" w:cs="Arial"/>
                <w:sz w:val="20"/>
                <w:szCs w:val="20"/>
                <w:highlight w:val="yellow"/>
                <w:lang w:val="en-CA"/>
              </w:rPr>
            </w:pPr>
          </w:p>
        </w:tc>
        <w:tc>
          <w:tcPr>
            <w:tcW w:w="2123" w:type="dxa"/>
            <w:shd w:val="clear" w:color="auto" w:fill="auto"/>
            <w:vAlign w:val="bottom"/>
          </w:tcPr>
          <w:p w14:paraId="47875FAE" w14:textId="77777777" w:rsidR="00CD59DC" w:rsidRPr="00DA4360" w:rsidRDefault="00CD59DC" w:rsidP="003F6F1A">
            <w:pPr>
              <w:keepNext/>
              <w:tabs>
                <w:tab w:val="left" w:pos="360"/>
              </w:tabs>
              <w:suppressAutoHyphens/>
              <w:spacing w:after="0" w:line="240" w:lineRule="auto"/>
              <w:jc w:val="right"/>
              <w:rPr>
                <w:rFonts w:ascii="Arial" w:hAnsi="Arial" w:cs="Arial"/>
                <w:sz w:val="20"/>
                <w:szCs w:val="20"/>
                <w:lang w:val="en-CA"/>
              </w:rPr>
            </w:pPr>
            <w:r w:rsidRPr="00DA4360">
              <w:rPr>
                <w:rFonts w:ascii="Arial" w:hAnsi="Arial" w:cs="Arial"/>
                <w:sz w:val="20"/>
                <w:szCs w:val="20"/>
                <w:lang w:val="en-CA"/>
              </w:rPr>
              <w:t>-</w:t>
            </w:r>
          </w:p>
        </w:tc>
      </w:tr>
      <w:tr w:rsidR="003E0848" w:rsidRPr="00DA4360" w14:paraId="351711E4" w14:textId="77777777" w:rsidTr="004A1755">
        <w:tc>
          <w:tcPr>
            <w:tcW w:w="4770" w:type="dxa"/>
            <w:shd w:val="clear" w:color="auto" w:fill="auto"/>
          </w:tcPr>
          <w:p w14:paraId="385DB076" w14:textId="77777777" w:rsidR="00631CA5" w:rsidRPr="00DA4360" w:rsidRDefault="00A86E9F" w:rsidP="003F6F1A">
            <w:pPr>
              <w:keepNext/>
              <w:tabs>
                <w:tab w:val="left" w:pos="360"/>
              </w:tabs>
              <w:suppressAutoHyphens/>
              <w:spacing w:after="0" w:line="240" w:lineRule="auto"/>
              <w:jc w:val="both"/>
              <w:rPr>
                <w:rFonts w:ascii="Arial" w:hAnsi="Arial" w:cs="Arial"/>
                <w:sz w:val="20"/>
                <w:szCs w:val="20"/>
                <w:lang w:val="en-CA"/>
              </w:rPr>
            </w:pPr>
            <w:r w:rsidRPr="00DA4360">
              <w:rPr>
                <w:rFonts w:ascii="Arial" w:hAnsi="Arial" w:cs="Arial"/>
                <w:sz w:val="20"/>
                <w:szCs w:val="20"/>
                <w:lang w:val="en-CA"/>
              </w:rPr>
              <w:t>Gain</w:t>
            </w:r>
            <w:r w:rsidR="00631CA5" w:rsidRPr="00DA4360">
              <w:rPr>
                <w:rFonts w:ascii="Arial" w:hAnsi="Arial" w:cs="Arial"/>
                <w:sz w:val="20"/>
                <w:szCs w:val="20"/>
                <w:lang w:val="en-CA"/>
              </w:rPr>
              <w:t xml:space="preserve"> on change in fair value of warrant liability</w:t>
            </w:r>
          </w:p>
        </w:tc>
        <w:tc>
          <w:tcPr>
            <w:tcW w:w="236" w:type="dxa"/>
            <w:shd w:val="clear" w:color="auto" w:fill="auto"/>
          </w:tcPr>
          <w:p w14:paraId="7D475DCE" w14:textId="77777777" w:rsidR="00631CA5" w:rsidRPr="00DA4360" w:rsidRDefault="00631CA5" w:rsidP="003F6F1A">
            <w:pPr>
              <w:keepNext/>
              <w:tabs>
                <w:tab w:val="left" w:pos="360"/>
              </w:tabs>
              <w:suppressAutoHyphens/>
              <w:spacing w:after="0" w:line="240" w:lineRule="auto"/>
              <w:jc w:val="right"/>
              <w:rPr>
                <w:rFonts w:ascii="Arial" w:hAnsi="Arial" w:cs="Arial"/>
                <w:b/>
                <w:sz w:val="20"/>
                <w:szCs w:val="20"/>
                <w:lang w:val="en-CA"/>
              </w:rPr>
            </w:pPr>
          </w:p>
        </w:tc>
        <w:tc>
          <w:tcPr>
            <w:tcW w:w="2054" w:type="dxa"/>
            <w:shd w:val="clear" w:color="auto" w:fill="auto"/>
            <w:vAlign w:val="bottom"/>
          </w:tcPr>
          <w:p w14:paraId="35E697DB" w14:textId="77777777" w:rsidR="00631CA5" w:rsidRPr="00DA4360" w:rsidRDefault="004B4490" w:rsidP="003F6F1A">
            <w:pPr>
              <w:keepNext/>
              <w:tabs>
                <w:tab w:val="left" w:pos="360"/>
              </w:tabs>
              <w:suppressAutoHyphens/>
              <w:spacing w:after="0" w:line="240" w:lineRule="auto"/>
              <w:jc w:val="right"/>
              <w:rPr>
                <w:rFonts w:ascii="Arial" w:hAnsi="Arial" w:cs="Arial"/>
                <w:b/>
                <w:sz w:val="20"/>
                <w:szCs w:val="20"/>
                <w:lang w:val="en-CA"/>
              </w:rPr>
            </w:pPr>
            <w:r w:rsidRPr="00DA4360">
              <w:rPr>
                <w:rFonts w:ascii="Arial" w:hAnsi="Arial" w:cs="Arial"/>
                <w:b/>
                <w:sz w:val="20"/>
                <w:szCs w:val="20"/>
                <w:lang w:val="en-CA"/>
              </w:rPr>
              <w:t>(161,064)</w:t>
            </w:r>
          </w:p>
        </w:tc>
        <w:tc>
          <w:tcPr>
            <w:tcW w:w="236" w:type="dxa"/>
            <w:shd w:val="clear" w:color="auto" w:fill="auto"/>
            <w:vAlign w:val="bottom"/>
          </w:tcPr>
          <w:p w14:paraId="6A5C7550" w14:textId="77777777" w:rsidR="00631CA5" w:rsidRPr="00DA4360" w:rsidRDefault="00631CA5" w:rsidP="003F6F1A">
            <w:pPr>
              <w:keepNext/>
              <w:tabs>
                <w:tab w:val="left" w:pos="360"/>
              </w:tabs>
              <w:suppressAutoHyphens/>
              <w:spacing w:after="0" w:line="240" w:lineRule="auto"/>
              <w:jc w:val="right"/>
              <w:rPr>
                <w:rFonts w:ascii="Arial" w:hAnsi="Arial" w:cs="Arial"/>
                <w:sz w:val="20"/>
                <w:szCs w:val="20"/>
                <w:highlight w:val="yellow"/>
                <w:lang w:val="en-CA"/>
              </w:rPr>
            </w:pPr>
          </w:p>
        </w:tc>
        <w:tc>
          <w:tcPr>
            <w:tcW w:w="2123" w:type="dxa"/>
            <w:shd w:val="clear" w:color="auto" w:fill="auto"/>
            <w:vAlign w:val="bottom"/>
          </w:tcPr>
          <w:p w14:paraId="780D6636" w14:textId="77777777" w:rsidR="00631CA5" w:rsidRPr="00DA4360" w:rsidRDefault="004B4490" w:rsidP="003F6F1A">
            <w:pPr>
              <w:keepNext/>
              <w:tabs>
                <w:tab w:val="left" w:pos="360"/>
              </w:tabs>
              <w:suppressAutoHyphens/>
              <w:spacing w:after="0" w:line="240" w:lineRule="auto"/>
              <w:jc w:val="right"/>
              <w:rPr>
                <w:rFonts w:ascii="Arial" w:hAnsi="Arial" w:cs="Arial"/>
                <w:sz w:val="20"/>
                <w:szCs w:val="20"/>
                <w:lang w:val="en-CA"/>
              </w:rPr>
            </w:pPr>
            <w:r w:rsidRPr="00DA4360">
              <w:rPr>
                <w:rFonts w:ascii="Arial" w:hAnsi="Arial" w:cs="Arial"/>
                <w:sz w:val="20"/>
                <w:szCs w:val="20"/>
                <w:lang w:val="en-CA"/>
              </w:rPr>
              <w:t>-</w:t>
            </w:r>
          </w:p>
        </w:tc>
      </w:tr>
      <w:tr w:rsidR="003E0848" w:rsidRPr="00DA4360" w14:paraId="0CC6B352" w14:textId="77777777" w:rsidTr="004A1755">
        <w:tc>
          <w:tcPr>
            <w:tcW w:w="4770" w:type="dxa"/>
            <w:shd w:val="clear" w:color="auto" w:fill="auto"/>
          </w:tcPr>
          <w:p w14:paraId="51161D70" w14:textId="77777777" w:rsidR="00631CA5" w:rsidRPr="00DA4360" w:rsidRDefault="00A86E9F" w:rsidP="003F6F1A">
            <w:pPr>
              <w:keepNext/>
              <w:tabs>
                <w:tab w:val="left" w:pos="360"/>
              </w:tabs>
              <w:suppressAutoHyphens/>
              <w:spacing w:after="0" w:line="240" w:lineRule="auto"/>
              <w:jc w:val="both"/>
              <w:rPr>
                <w:rFonts w:ascii="Arial" w:hAnsi="Arial" w:cs="Arial"/>
                <w:sz w:val="20"/>
                <w:szCs w:val="20"/>
                <w:lang w:val="en-CA"/>
              </w:rPr>
            </w:pPr>
            <w:r w:rsidRPr="00DA4360">
              <w:rPr>
                <w:rFonts w:ascii="Arial" w:hAnsi="Arial" w:cs="Arial"/>
                <w:sz w:val="20"/>
                <w:szCs w:val="20"/>
                <w:lang w:val="en-CA"/>
              </w:rPr>
              <w:t>Gain</w:t>
            </w:r>
            <w:r w:rsidR="0043518D" w:rsidRPr="00DA4360">
              <w:rPr>
                <w:rFonts w:ascii="Arial" w:hAnsi="Arial" w:cs="Arial"/>
                <w:sz w:val="20"/>
                <w:szCs w:val="20"/>
                <w:lang w:val="en-CA"/>
              </w:rPr>
              <w:t xml:space="preserve"> </w:t>
            </w:r>
            <w:r w:rsidR="00631CA5" w:rsidRPr="00DA4360">
              <w:rPr>
                <w:rFonts w:ascii="Arial" w:hAnsi="Arial" w:cs="Arial"/>
                <w:sz w:val="20"/>
                <w:szCs w:val="20"/>
                <w:lang w:val="en-CA"/>
              </w:rPr>
              <w:t>on change in fair value of conversion option</w:t>
            </w:r>
          </w:p>
        </w:tc>
        <w:tc>
          <w:tcPr>
            <w:tcW w:w="236" w:type="dxa"/>
            <w:shd w:val="clear" w:color="auto" w:fill="auto"/>
          </w:tcPr>
          <w:p w14:paraId="587421B6" w14:textId="77777777" w:rsidR="00631CA5" w:rsidRPr="00DA4360" w:rsidRDefault="00631CA5" w:rsidP="003F6F1A">
            <w:pPr>
              <w:keepNext/>
              <w:tabs>
                <w:tab w:val="left" w:pos="360"/>
              </w:tabs>
              <w:suppressAutoHyphens/>
              <w:spacing w:after="0" w:line="240" w:lineRule="auto"/>
              <w:jc w:val="right"/>
              <w:rPr>
                <w:rFonts w:ascii="Arial" w:hAnsi="Arial" w:cs="Arial"/>
                <w:b/>
                <w:sz w:val="20"/>
                <w:szCs w:val="20"/>
                <w:lang w:val="en-CA"/>
              </w:rPr>
            </w:pPr>
          </w:p>
        </w:tc>
        <w:tc>
          <w:tcPr>
            <w:tcW w:w="2054" w:type="dxa"/>
            <w:shd w:val="clear" w:color="auto" w:fill="auto"/>
            <w:vAlign w:val="bottom"/>
          </w:tcPr>
          <w:p w14:paraId="7A3E1CA7" w14:textId="77777777" w:rsidR="00631CA5" w:rsidRPr="00DA4360" w:rsidRDefault="004B4490" w:rsidP="003F6F1A">
            <w:pPr>
              <w:keepNext/>
              <w:tabs>
                <w:tab w:val="left" w:pos="360"/>
              </w:tabs>
              <w:suppressAutoHyphens/>
              <w:spacing w:after="0" w:line="240" w:lineRule="auto"/>
              <w:jc w:val="right"/>
              <w:rPr>
                <w:rFonts w:ascii="Arial" w:hAnsi="Arial" w:cs="Arial"/>
                <w:b/>
                <w:sz w:val="20"/>
                <w:szCs w:val="20"/>
                <w:lang w:val="en-CA"/>
              </w:rPr>
            </w:pPr>
            <w:r w:rsidRPr="00DA4360">
              <w:rPr>
                <w:rFonts w:ascii="Arial" w:hAnsi="Arial" w:cs="Arial"/>
                <w:b/>
                <w:sz w:val="20"/>
                <w:szCs w:val="20"/>
                <w:lang w:val="en-CA"/>
              </w:rPr>
              <w:t>(97,788)</w:t>
            </w:r>
          </w:p>
        </w:tc>
        <w:tc>
          <w:tcPr>
            <w:tcW w:w="236" w:type="dxa"/>
            <w:shd w:val="clear" w:color="auto" w:fill="auto"/>
            <w:vAlign w:val="bottom"/>
          </w:tcPr>
          <w:p w14:paraId="3BDE3532" w14:textId="77777777" w:rsidR="00631CA5" w:rsidRPr="00DA4360" w:rsidRDefault="00631CA5" w:rsidP="003F6F1A">
            <w:pPr>
              <w:keepNext/>
              <w:tabs>
                <w:tab w:val="left" w:pos="360"/>
              </w:tabs>
              <w:suppressAutoHyphens/>
              <w:spacing w:after="0" w:line="240" w:lineRule="auto"/>
              <w:jc w:val="right"/>
              <w:rPr>
                <w:rFonts w:ascii="Arial" w:hAnsi="Arial" w:cs="Arial"/>
                <w:sz w:val="20"/>
                <w:szCs w:val="20"/>
                <w:highlight w:val="yellow"/>
                <w:lang w:val="en-CA"/>
              </w:rPr>
            </w:pPr>
          </w:p>
        </w:tc>
        <w:tc>
          <w:tcPr>
            <w:tcW w:w="2123" w:type="dxa"/>
            <w:shd w:val="clear" w:color="auto" w:fill="auto"/>
            <w:vAlign w:val="bottom"/>
          </w:tcPr>
          <w:p w14:paraId="56AB82D3" w14:textId="77777777" w:rsidR="00631CA5" w:rsidRPr="00DA4360" w:rsidRDefault="004B4490" w:rsidP="003F6F1A">
            <w:pPr>
              <w:keepNext/>
              <w:tabs>
                <w:tab w:val="left" w:pos="360"/>
              </w:tabs>
              <w:suppressAutoHyphens/>
              <w:spacing w:after="0" w:line="240" w:lineRule="auto"/>
              <w:jc w:val="right"/>
              <w:rPr>
                <w:rFonts w:ascii="Arial" w:hAnsi="Arial" w:cs="Arial"/>
                <w:sz w:val="20"/>
                <w:szCs w:val="20"/>
                <w:lang w:val="en-CA"/>
              </w:rPr>
            </w:pPr>
            <w:r w:rsidRPr="00DA4360">
              <w:rPr>
                <w:rFonts w:ascii="Arial" w:hAnsi="Arial" w:cs="Arial"/>
                <w:sz w:val="20"/>
                <w:szCs w:val="20"/>
                <w:lang w:val="en-CA"/>
              </w:rPr>
              <w:t>-</w:t>
            </w:r>
          </w:p>
        </w:tc>
      </w:tr>
      <w:tr w:rsidR="003E0848" w:rsidRPr="00DA4360" w14:paraId="37E46203" w14:textId="77777777" w:rsidTr="004A1755">
        <w:tc>
          <w:tcPr>
            <w:tcW w:w="4770" w:type="dxa"/>
            <w:tcBorders>
              <w:bottom w:val="single" w:sz="4" w:space="0" w:color="auto"/>
            </w:tcBorders>
            <w:shd w:val="clear" w:color="auto" w:fill="auto"/>
          </w:tcPr>
          <w:p w14:paraId="3DD9FC06" w14:textId="77777777" w:rsidR="00631CA5" w:rsidRPr="00DA4360" w:rsidRDefault="00631CA5" w:rsidP="003F6F1A">
            <w:pPr>
              <w:keepNext/>
              <w:tabs>
                <w:tab w:val="left" w:pos="360"/>
              </w:tabs>
              <w:suppressAutoHyphens/>
              <w:spacing w:after="0" w:line="240" w:lineRule="auto"/>
              <w:jc w:val="both"/>
              <w:rPr>
                <w:rFonts w:ascii="Arial" w:hAnsi="Arial" w:cs="Arial"/>
                <w:sz w:val="20"/>
                <w:szCs w:val="20"/>
                <w:lang w:val="en-CA"/>
              </w:rPr>
            </w:pPr>
            <w:r w:rsidRPr="00DA4360">
              <w:rPr>
                <w:rFonts w:ascii="Arial" w:hAnsi="Arial" w:cs="Arial"/>
                <w:sz w:val="20"/>
                <w:szCs w:val="20"/>
                <w:lang w:val="en-CA"/>
              </w:rPr>
              <w:t xml:space="preserve">Other </w:t>
            </w:r>
            <w:r w:rsidR="0043518D" w:rsidRPr="00DA4360">
              <w:rPr>
                <w:rFonts w:ascii="Arial" w:hAnsi="Arial" w:cs="Arial"/>
                <w:sz w:val="20"/>
                <w:szCs w:val="20"/>
                <w:lang w:val="en-CA"/>
              </w:rPr>
              <w:t>expense</w:t>
            </w:r>
            <w:r w:rsidR="00C707E2" w:rsidRPr="00DA4360">
              <w:rPr>
                <w:rFonts w:ascii="Arial" w:hAnsi="Arial" w:cs="Arial"/>
                <w:sz w:val="20"/>
                <w:szCs w:val="20"/>
                <w:lang w:val="en-CA"/>
              </w:rPr>
              <w:t>, net</w:t>
            </w:r>
          </w:p>
        </w:tc>
        <w:tc>
          <w:tcPr>
            <w:tcW w:w="236" w:type="dxa"/>
            <w:tcBorders>
              <w:bottom w:val="single" w:sz="4" w:space="0" w:color="auto"/>
            </w:tcBorders>
            <w:shd w:val="clear" w:color="auto" w:fill="auto"/>
          </w:tcPr>
          <w:p w14:paraId="6EA64499" w14:textId="77777777" w:rsidR="00631CA5" w:rsidRPr="00DA4360" w:rsidRDefault="00631CA5" w:rsidP="003F6F1A">
            <w:pPr>
              <w:keepNext/>
              <w:tabs>
                <w:tab w:val="left" w:pos="360"/>
              </w:tabs>
              <w:suppressAutoHyphens/>
              <w:spacing w:after="0" w:line="240" w:lineRule="auto"/>
              <w:jc w:val="right"/>
              <w:rPr>
                <w:rFonts w:ascii="Arial" w:hAnsi="Arial" w:cs="Arial"/>
                <w:b/>
                <w:sz w:val="20"/>
                <w:szCs w:val="20"/>
                <w:lang w:val="en-CA"/>
              </w:rPr>
            </w:pPr>
          </w:p>
        </w:tc>
        <w:tc>
          <w:tcPr>
            <w:tcW w:w="2054" w:type="dxa"/>
            <w:tcBorders>
              <w:bottom w:val="single" w:sz="4" w:space="0" w:color="auto"/>
            </w:tcBorders>
            <w:shd w:val="clear" w:color="auto" w:fill="auto"/>
            <w:vAlign w:val="bottom"/>
          </w:tcPr>
          <w:p w14:paraId="7BA29A4A" w14:textId="77777777" w:rsidR="00631CA5" w:rsidRPr="00DA4360" w:rsidRDefault="004B4490" w:rsidP="003F6F1A">
            <w:pPr>
              <w:keepNext/>
              <w:tabs>
                <w:tab w:val="left" w:pos="360"/>
              </w:tabs>
              <w:suppressAutoHyphens/>
              <w:spacing w:after="0" w:line="240" w:lineRule="auto"/>
              <w:jc w:val="right"/>
              <w:rPr>
                <w:rFonts w:ascii="Arial" w:hAnsi="Arial" w:cs="Arial"/>
                <w:b/>
                <w:sz w:val="20"/>
                <w:szCs w:val="20"/>
                <w:lang w:val="en-CA"/>
              </w:rPr>
            </w:pPr>
            <w:r w:rsidRPr="00DA4360">
              <w:rPr>
                <w:rFonts w:ascii="Arial" w:hAnsi="Arial" w:cs="Arial"/>
                <w:b/>
                <w:sz w:val="20"/>
                <w:szCs w:val="20"/>
                <w:lang w:val="en-CA"/>
              </w:rPr>
              <w:t>50,04</w:t>
            </w:r>
            <w:r w:rsidR="00CD59DC" w:rsidRPr="00DA4360">
              <w:rPr>
                <w:rFonts w:ascii="Arial" w:hAnsi="Arial" w:cs="Arial"/>
                <w:b/>
                <w:sz w:val="20"/>
                <w:szCs w:val="20"/>
                <w:lang w:val="en-CA"/>
              </w:rPr>
              <w:t>7</w:t>
            </w:r>
          </w:p>
        </w:tc>
        <w:tc>
          <w:tcPr>
            <w:tcW w:w="236" w:type="dxa"/>
            <w:tcBorders>
              <w:bottom w:val="single" w:sz="4" w:space="0" w:color="auto"/>
            </w:tcBorders>
            <w:shd w:val="clear" w:color="auto" w:fill="auto"/>
            <w:vAlign w:val="bottom"/>
          </w:tcPr>
          <w:p w14:paraId="2805FAB3" w14:textId="77777777" w:rsidR="00631CA5" w:rsidRPr="00DA4360" w:rsidRDefault="00631CA5" w:rsidP="003F6F1A">
            <w:pPr>
              <w:keepNext/>
              <w:tabs>
                <w:tab w:val="left" w:pos="360"/>
              </w:tabs>
              <w:suppressAutoHyphens/>
              <w:spacing w:after="0" w:line="240" w:lineRule="auto"/>
              <w:jc w:val="right"/>
              <w:rPr>
                <w:rFonts w:ascii="Arial" w:hAnsi="Arial" w:cs="Arial"/>
                <w:sz w:val="20"/>
                <w:szCs w:val="20"/>
                <w:highlight w:val="yellow"/>
                <w:lang w:val="en-CA"/>
              </w:rPr>
            </w:pPr>
          </w:p>
        </w:tc>
        <w:tc>
          <w:tcPr>
            <w:tcW w:w="2123" w:type="dxa"/>
            <w:tcBorders>
              <w:bottom w:val="single" w:sz="4" w:space="0" w:color="auto"/>
            </w:tcBorders>
            <w:shd w:val="clear" w:color="auto" w:fill="auto"/>
            <w:vAlign w:val="bottom"/>
          </w:tcPr>
          <w:p w14:paraId="086F7B93" w14:textId="77777777" w:rsidR="00631CA5" w:rsidRPr="00DA4360" w:rsidRDefault="004B4490" w:rsidP="003F6F1A">
            <w:pPr>
              <w:keepNext/>
              <w:tabs>
                <w:tab w:val="left" w:pos="360"/>
              </w:tabs>
              <w:suppressAutoHyphens/>
              <w:spacing w:after="0" w:line="240" w:lineRule="auto"/>
              <w:jc w:val="right"/>
              <w:rPr>
                <w:rFonts w:ascii="Arial" w:hAnsi="Arial" w:cs="Arial"/>
                <w:sz w:val="20"/>
                <w:szCs w:val="20"/>
                <w:lang w:val="en-CA"/>
              </w:rPr>
            </w:pPr>
            <w:r w:rsidRPr="00DA4360">
              <w:rPr>
                <w:rFonts w:ascii="Arial" w:hAnsi="Arial" w:cs="Arial"/>
                <w:sz w:val="20"/>
                <w:szCs w:val="20"/>
                <w:lang w:val="en-CA"/>
              </w:rPr>
              <w:t>-</w:t>
            </w:r>
          </w:p>
        </w:tc>
      </w:tr>
      <w:tr w:rsidR="003E0848" w:rsidRPr="00DA4360" w14:paraId="0CFCD74D" w14:textId="77777777" w:rsidTr="004A1755">
        <w:tc>
          <w:tcPr>
            <w:tcW w:w="4770" w:type="dxa"/>
            <w:tcBorders>
              <w:top w:val="single" w:sz="4" w:space="0" w:color="auto"/>
            </w:tcBorders>
            <w:shd w:val="clear" w:color="auto" w:fill="auto"/>
          </w:tcPr>
          <w:p w14:paraId="4F90DBFD" w14:textId="77777777" w:rsidR="00526BEA" w:rsidRPr="00DA4360" w:rsidRDefault="00526BEA" w:rsidP="003F6F1A">
            <w:pPr>
              <w:keepNext/>
              <w:tabs>
                <w:tab w:val="left" w:pos="360"/>
              </w:tabs>
              <w:suppressAutoHyphens/>
              <w:spacing w:after="0" w:line="240" w:lineRule="auto"/>
              <w:jc w:val="both"/>
              <w:rPr>
                <w:rFonts w:ascii="Arial" w:hAnsi="Arial" w:cs="Arial"/>
                <w:sz w:val="20"/>
                <w:szCs w:val="20"/>
                <w:lang w:val="en-CA"/>
              </w:rPr>
            </w:pPr>
          </w:p>
        </w:tc>
        <w:tc>
          <w:tcPr>
            <w:tcW w:w="236" w:type="dxa"/>
            <w:tcBorders>
              <w:top w:val="single" w:sz="4" w:space="0" w:color="auto"/>
            </w:tcBorders>
            <w:shd w:val="clear" w:color="auto" w:fill="auto"/>
          </w:tcPr>
          <w:p w14:paraId="03545D05" w14:textId="77777777" w:rsidR="00526BEA" w:rsidRPr="00DA4360" w:rsidRDefault="00526BEA" w:rsidP="003F6F1A">
            <w:pPr>
              <w:keepNext/>
              <w:tabs>
                <w:tab w:val="left" w:pos="360"/>
              </w:tabs>
              <w:suppressAutoHyphens/>
              <w:spacing w:after="0" w:line="240" w:lineRule="auto"/>
              <w:jc w:val="right"/>
              <w:rPr>
                <w:rFonts w:ascii="Arial" w:hAnsi="Arial" w:cs="Arial"/>
                <w:b/>
                <w:sz w:val="20"/>
                <w:szCs w:val="20"/>
                <w:lang w:val="en-CA"/>
              </w:rPr>
            </w:pPr>
          </w:p>
        </w:tc>
        <w:tc>
          <w:tcPr>
            <w:tcW w:w="2054" w:type="dxa"/>
            <w:tcBorders>
              <w:top w:val="single" w:sz="4" w:space="0" w:color="auto"/>
            </w:tcBorders>
            <w:shd w:val="clear" w:color="auto" w:fill="auto"/>
            <w:vAlign w:val="bottom"/>
          </w:tcPr>
          <w:p w14:paraId="56812FB4" w14:textId="77777777" w:rsidR="00526BEA" w:rsidRPr="00DA4360" w:rsidRDefault="00526BEA" w:rsidP="003F6F1A">
            <w:pPr>
              <w:keepNext/>
              <w:tabs>
                <w:tab w:val="left" w:pos="360"/>
              </w:tabs>
              <w:suppressAutoHyphens/>
              <w:spacing w:after="0" w:line="240" w:lineRule="auto"/>
              <w:jc w:val="right"/>
              <w:rPr>
                <w:rFonts w:ascii="Arial" w:hAnsi="Arial" w:cs="Arial"/>
                <w:b/>
                <w:sz w:val="20"/>
                <w:szCs w:val="20"/>
                <w:lang w:val="en-CA"/>
              </w:rPr>
            </w:pPr>
          </w:p>
        </w:tc>
        <w:tc>
          <w:tcPr>
            <w:tcW w:w="236" w:type="dxa"/>
            <w:tcBorders>
              <w:top w:val="single" w:sz="4" w:space="0" w:color="auto"/>
            </w:tcBorders>
            <w:shd w:val="clear" w:color="auto" w:fill="auto"/>
            <w:vAlign w:val="bottom"/>
          </w:tcPr>
          <w:p w14:paraId="350FF0A6" w14:textId="77777777" w:rsidR="00526BEA" w:rsidRPr="00DA4360" w:rsidRDefault="00526BEA" w:rsidP="003F6F1A">
            <w:pPr>
              <w:keepNext/>
              <w:tabs>
                <w:tab w:val="left" w:pos="360"/>
              </w:tabs>
              <w:suppressAutoHyphens/>
              <w:spacing w:after="0" w:line="240" w:lineRule="auto"/>
              <w:jc w:val="right"/>
              <w:rPr>
                <w:rFonts w:ascii="Arial" w:hAnsi="Arial" w:cs="Arial"/>
                <w:sz w:val="20"/>
                <w:szCs w:val="20"/>
                <w:highlight w:val="yellow"/>
                <w:lang w:val="en-CA"/>
              </w:rPr>
            </w:pPr>
          </w:p>
        </w:tc>
        <w:tc>
          <w:tcPr>
            <w:tcW w:w="2123" w:type="dxa"/>
            <w:tcBorders>
              <w:top w:val="single" w:sz="4" w:space="0" w:color="auto"/>
            </w:tcBorders>
            <w:shd w:val="clear" w:color="auto" w:fill="auto"/>
            <w:vAlign w:val="bottom"/>
          </w:tcPr>
          <w:p w14:paraId="3F8FDC22" w14:textId="77777777" w:rsidR="00526BEA" w:rsidRPr="00DA4360" w:rsidRDefault="00526BEA" w:rsidP="003F6F1A">
            <w:pPr>
              <w:keepNext/>
              <w:tabs>
                <w:tab w:val="left" w:pos="360"/>
              </w:tabs>
              <w:suppressAutoHyphens/>
              <w:spacing w:after="0" w:line="240" w:lineRule="auto"/>
              <w:jc w:val="right"/>
              <w:rPr>
                <w:rFonts w:ascii="Arial" w:hAnsi="Arial" w:cs="Arial"/>
                <w:sz w:val="20"/>
                <w:szCs w:val="20"/>
                <w:lang w:val="en-CA"/>
              </w:rPr>
            </w:pPr>
          </w:p>
        </w:tc>
      </w:tr>
      <w:tr w:rsidR="003E0848" w:rsidRPr="00DA4360" w14:paraId="250C7CD3" w14:textId="77777777" w:rsidTr="004A1755">
        <w:tc>
          <w:tcPr>
            <w:tcW w:w="4770" w:type="dxa"/>
            <w:tcBorders>
              <w:bottom w:val="single" w:sz="18" w:space="0" w:color="auto"/>
            </w:tcBorders>
            <w:shd w:val="clear" w:color="auto" w:fill="auto"/>
          </w:tcPr>
          <w:p w14:paraId="5ADC5B5F" w14:textId="77777777" w:rsidR="00631CA5" w:rsidRPr="00DA4360" w:rsidRDefault="00631CA5" w:rsidP="003F6F1A">
            <w:pPr>
              <w:keepNext/>
              <w:tabs>
                <w:tab w:val="left" w:pos="360"/>
              </w:tabs>
              <w:suppressAutoHyphens/>
              <w:spacing w:after="0" w:line="240" w:lineRule="auto"/>
              <w:rPr>
                <w:rFonts w:ascii="Arial" w:hAnsi="Arial" w:cs="Arial"/>
                <w:b/>
                <w:sz w:val="20"/>
                <w:szCs w:val="20"/>
                <w:lang w:val="en-CA"/>
              </w:rPr>
            </w:pPr>
            <w:r w:rsidRPr="00DA4360">
              <w:rPr>
                <w:rFonts w:ascii="Arial" w:hAnsi="Arial" w:cs="Arial"/>
                <w:b/>
                <w:sz w:val="20"/>
                <w:szCs w:val="20"/>
                <w:lang w:val="en-CA"/>
              </w:rPr>
              <w:t xml:space="preserve">Net </w:t>
            </w:r>
            <w:r w:rsidR="0089453C" w:rsidRPr="00DA4360">
              <w:rPr>
                <w:rFonts w:ascii="Arial" w:hAnsi="Arial" w:cs="Arial"/>
                <w:b/>
                <w:sz w:val="20"/>
                <w:szCs w:val="20"/>
                <w:lang w:val="en-CA"/>
              </w:rPr>
              <w:t>l</w:t>
            </w:r>
            <w:r w:rsidR="00962C76" w:rsidRPr="00DA4360">
              <w:rPr>
                <w:rFonts w:ascii="Arial" w:hAnsi="Arial" w:cs="Arial"/>
                <w:b/>
                <w:sz w:val="20"/>
                <w:szCs w:val="20"/>
                <w:lang w:val="en-CA"/>
              </w:rPr>
              <w:t xml:space="preserve">oss </w:t>
            </w:r>
            <w:r w:rsidRPr="00DA4360">
              <w:rPr>
                <w:rFonts w:ascii="Arial" w:hAnsi="Arial" w:cs="Arial"/>
                <w:b/>
                <w:sz w:val="20"/>
                <w:szCs w:val="20"/>
                <w:lang w:val="en-CA"/>
              </w:rPr>
              <w:t xml:space="preserve">and comprehensive </w:t>
            </w:r>
            <w:r w:rsidR="0089453C" w:rsidRPr="00DA4360">
              <w:rPr>
                <w:rFonts w:ascii="Arial" w:hAnsi="Arial" w:cs="Arial"/>
                <w:b/>
                <w:sz w:val="20"/>
                <w:szCs w:val="20"/>
                <w:lang w:val="en-CA"/>
              </w:rPr>
              <w:t>l</w:t>
            </w:r>
            <w:r w:rsidR="00962C76" w:rsidRPr="00DA4360">
              <w:rPr>
                <w:rFonts w:ascii="Arial" w:hAnsi="Arial" w:cs="Arial"/>
                <w:b/>
                <w:sz w:val="20"/>
                <w:szCs w:val="20"/>
                <w:lang w:val="en-CA"/>
              </w:rPr>
              <w:t xml:space="preserve">oss </w:t>
            </w:r>
            <w:r w:rsidRPr="00DA4360">
              <w:rPr>
                <w:rFonts w:ascii="Arial" w:hAnsi="Arial" w:cs="Arial"/>
                <w:b/>
                <w:sz w:val="20"/>
                <w:szCs w:val="20"/>
                <w:lang w:val="en-CA"/>
              </w:rPr>
              <w:t>for the period</w:t>
            </w:r>
          </w:p>
        </w:tc>
        <w:tc>
          <w:tcPr>
            <w:tcW w:w="236" w:type="dxa"/>
            <w:tcBorders>
              <w:bottom w:val="single" w:sz="18" w:space="0" w:color="auto"/>
            </w:tcBorders>
            <w:shd w:val="clear" w:color="auto" w:fill="auto"/>
          </w:tcPr>
          <w:p w14:paraId="52AA2068" w14:textId="5B080FA5" w:rsidR="00631CA5" w:rsidRPr="00DA4360" w:rsidRDefault="00631CA5" w:rsidP="003F6F1A">
            <w:pPr>
              <w:keepNext/>
              <w:tabs>
                <w:tab w:val="left" w:pos="360"/>
              </w:tabs>
              <w:suppressAutoHyphens/>
              <w:spacing w:after="0" w:line="240" w:lineRule="auto"/>
              <w:jc w:val="right"/>
              <w:rPr>
                <w:rFonts w:ascii="Arial" w:hAnsi="Arial" w:cs="Arial"/>
                <w:b/>
                <w:sz w:val="20"/>
                <w:szCs w:val="20"/>
                <w:lang w:val="en-CA"/>
              </w:rPr>
            </w:pPr>
            <w:r w:rsidRPr="00DA4360">
              <w:rPr>
                <w:rFonts w:ascii="Arial" w:hAnsi="Arial" w:cs="Arial"/>
                <w:b/>
                <w:sz w:val="20"/>
                <w:szCs w:val="20"/>
                <w:lang w:val="en-CA"/>
              </w:rPr>
              <w:t>$</w:t>
            </w:r>
          </w:p>
        </w:tc>
        <w:tc>
          <w:tcPr>
            <w:tcW w:w="2054" w:type="dxa"/>
            <w:tcBorders>
              <w:bottom w:val="single" w:sz="18" w:space="0" w:color="auto"/>
            </w:tcBorders>
            <w:shd w:val="clear" w:color="auto" w:fill="auto"/>
            <w:vAlign w:val="bottom"/>
          </w:tcPr>
          <w:p w14:paraId="63AA07E7" w14:textId="77777777" w:rsidR="00631CA5" w:rsidRPr="00DA4360" w:rsidRDefault="0089453C" w:rsidP="003F6F1A">
            <w:pPr>
              <w:keepNext/>
              <w:tabs>
                <w:tab w:val="left" w:pos="360"/>
              </w:tabs>
              <w:suppressAutoHyphens/>
              <w:spacing w:after="0" w:line="240" w:lineRule="auto"/>
              <w:jc w:val="right"/>
              <w:rPr>
                <w:rFonts w:ascii="Arial" w:hAnsi="Arial" w:cs="Arial"/>
                <w:b/>
                <w:sz w:val="20"/>
                <w:szCs w:val="20"/>
                <w:lang w:val="en-CA"/>
              </w:rPr>
            </w:pPr>
            <w:r w:rsidRPr="00DA4360">
              <w:rPr>
                <w:rFonts w:ascii="Arial" w:hAnsi="Arial" w:cs="Arial"/>
                <w:b/>
                <w:sz w:val="20"/>
                <w:szCs w:val="20"/>
                <w:lang w:val="en-CA"/>
              </w:rPr>
              <w:t>(</w:t>
            </w:r>
            <w:r w:rsidR="004B4490" w:rsidRPr="00DA4360">
              <w:rPr>
                <w:rFonts w:ascii="Arial" w:hAnsi="Arial" w:cs="Arial"/>
                <w:b/>
                <w:sz w:val="20"/>
                <w:szCs w:val="20"/>
                <w:lang w:val="en-CA"/>
              </w:rPr>
              <w:t>1,</w:t>
            </w:r>
            <w:r w:rsidR="00CD59DC" w:rsidRPr="00DA4360">
              <w:rPr>
                <w:rFonts w:ascii="Arial" w:hAnsi="Arial" w:cs="Arial"/>
                <w:b/>
                <w:sz w:val="20"/>
                <w:szCs w:val="20"/>
                <w:lang w:val="en-CA"/>
              </w:rPr>
              <w:t>45</w:t>
            </w:r>
            <w:r w:rsidR="00D3689F" w:rsidRPr="00DA4360">
              <w:rPr>
                <w:rFonts w:ascii="Arial" w:hAnsi="Arial" w:cs="Arial"/>
                <w:b/>
                <w:sz w:val="20"/>
                <w:szCs w:val="20"/>
                <w:lang w:val="en-CA"/>
              </w:rPr>
              <w:t>6</w:t>
            </w:r>
            <w:r w:rsidR="00CD59DC" w:rsidRPr="00DA4360">
              <w:rPr>
                <w:rFonts w:ascii="Arial" w:hAnsi="Arial" w:cs="Arial"/>
                <w:b/>
                <w:sz w:val="20"/>
                <w:szCs w:val="20"/>
                <w:lang w:val="en-CA"/>
              </w:rPr>
              <w:t>,</w:t>
            </w:r>
            <w:r w:rsidR="00D3689F" w:rsidRPr="00DA4360">
              <w:rPr>
                <w:rFonts w:ascii="Arial" w:hAnsi="Arial" w:cs="Arial"/>
                <w:b/>
                <w:sz w:val="20"/>
                <w:szCs w:val="20"/>
                <w:lang w:val="en-CA"/>
              </w:rPr>
              <w:t>505</w:t>
            </w:r>
            <w:r w:rsidRPr="00DA4360">
              <w:rPr>
                <w:rFonts w:ascii="Arial" w:hAnsi="Arial" w:cs="Arial"/>
                <w:b/>
                <w:sz w:val="20"/>
                <w:szCs w:val="20"/>
                <w:lang w:val="en-CA"/>
              </w:rPr>
              <w:t>)</w:t>
            </w:r>
          </w:p>
        </w:tc>
        <w:tc>
          <w:tcPr>
            <w:tcW w:w="236" w:type="dxa"/>
            <w:tcBorders>
              <w:bottom w:val="single" w:sz="18" w:space="0" w:color="auto"/>
            </w:tcBorders>
            <w:shd w:val="clear" w:color="auto" w:fill="auto"/>
            <w:vAlign w:val="bottom"/>
          </w:tcPr>
          <w:p w14:paraId="0CFE05C2" w14:textId="77777777" w:rsidR="00631CA5" w:rsidRPr="00DA4360" w:rsidRDefault="00631CA5" w:rsidP="003F6F1A">
            <w:pPr>
              <w:keepNext/>
              <w:tabs>
                <w:tab w:val="left" w:pos="360"/>
              </w:tabs>
              <w:suppressAutoHyphens/>
              <w:spacing w:after="0" w:line="240" w:lineRule="auto"/>
              <w:jc w:val="right"/>
              <w:rPr>
                <w:rFonts w:ascii="Arial" w:hAnsi="Arial" w:cs="Arial"/>
                <w:sz w:val="20"/>
                <w:szCs w:val="20"/>
                <w:lang w:val="en-CA"/>
              </w:rPr>
            </w:pPr>
            <w:r w:rsidRPr="00DA4360">
              <w:rPr>
                <w:rFonts w:ascii="Arial" w:hAnsi="Arial" w:cs="Arial"/>
                <w:sz w:val="20"/>
                <w:szCs w:val="20"/>
                <w:lang w:val="en-CA"/>
              </w:rPr>
              <w:t>$</w:t>
            </w:r>
          </w:p>
        </w:tc>
        <w:tc>
          <w:tcPr>
            <w:tcW w:w="2123" w:type="dxa"/>
            <w:tcBorders>
              <w:bottom w:val="single" w:sz="18" w:space="0" w:color="auto"/>
            </w:tcBorders>
            <w:shd w:val="clear" w:color="auto" w:fill="auto"/>
            <w:vAlign w:val="bottom"/>
          </w:tcPr>
          <w:p w14:paraId="082F98FB" w14:textId="77777777" w:rsidR="00631CA5" w:rsidRPr="00DA4360" w:rsidRDefault="0089453C" w:rsidP="003F6F1A">
            <w:pPr>
              <w:keepNext/>
              <w:tabs>
                <w:tab w:val="left" w:pos="360"/>
              </w:tabs>
              <w:suppressAutoHyphens/>
              <w:spacing w:after="0" w:line="240" w:lineRule="auto"/>
              <w:jc w:val="right"/>
              <w:rPr>
                <w:rFonts w:ascii="Arial" w:hAnsi="Arial" w:cs="Arial"/>
                <w:sz w:val="20"/>
                <w:szCs w:val="20"/>
                <w:lang w:val="en-CA"/>
              </w:rPr>
            </w:pPr>
            <w:r w:rsidRPr="00DA4360">
              <w:rPr>
                <w:rFonts w:ascii="Arial" w:hAnsi="Arial" w:cs="Arial"/>
                <w:sz w:val="20"/>
                <w:szCs w:val="20"/>
                <w:lang w:val="en-CA"/>
              </w:rPr>
              <w:t>(</w:t>
            </w:r>
            <w:r w:rsidR="00BD2307" w:rsidRPr="00DA4360">
              <w:rPr>
                <w:rFonts w:ascii="Arial" w:hAnsi="Arial" w:cs="Arial"/>
                <w:sz w:val="20"/>
                <w:szCs w:val="20"/>
                <w:lang w:val="en-CA"/>
              </w:rPr>
              <w:t>3,915,443</w:t>
            </w:r>
            <w:r w:rsidRPr="00DA4360">
              <w:rPr>
                <w:rFonts w:ascii="Arial" w:hAnsi="Arial" w:cs="Arial"/>
                <w:sz w:val="20"/>
                <w:szCs w:val="20"/>
                <w:lang w:val="en-CA"/>
              </w:rPr>
              <w:t>)</w:t>
            </w:r>
          </w:p>
        </w:tc>
      </w:tr>
    </w:tbl>
    <w:p w14:paraId="6B1D617F" w14:textId="77777777" w:rsidR="00631CA5" w:rsidRPr="009F6DF3" w:rsidRDefault="00631CA5" w:rsidP="003F6F1A">
      <w:pPr>
        <w:spacing w:after="0"/>
        <w:rPr>
          <w:rFonts w:ascii="Arial" w:hAnsi="Arial" w:cs="Arial"/>
          <w:sz w:val="20"/>
          <w:szCs w:val="20"/>
          <w:u w:val="single"/>
        </w:rPr>
      </w:pPr>
    </w:p>
    <w:p w14:paraId="613243D7" w14:textId="17F84510" w:rsidR="00DA65B0" w:rsidRPr="009F6DF3" w:rsidRDefault="00DA65B0" w:rsidP="003F6F1A">
      <w:pPr>
        <w:spacing w:after="0"/>
        <w:rPr>
          <w:rFonts w:ascii="Arial" w:hAnsi="Arial" w:cs="Arial"/>
          <w:sz w:val="20"/>
          <w:szCs w:val="20"/>
          <w:u w:val="single"/>
        </w:rPr>
      </w:pPr>
      <w:r w:rsidRPr="009F6DF3">
        <w:rPr>
          <w:rFonts w:ascii="Arial" w:hAnsi="Arial" w:cs="Arial"/>
          <w:sz w:val="20"/>
          <w:szCs w:val="20"/>
          <w:u w:val="single"/>
        </w:rPr>
        <w:t xml:space="preserve">Clinic </w:t>
      </w:r>
      <w:r w:rsidR="00513D8E">
        <w:rPr>
          <w:rFonts w:ascii="Arial" w:hAnsi="Arial" w:cs="Arial"/>
          <w:sz w:val="20"/>
          <w:szCs w:val="20"/>
          <w:u w:val="single"/>
        </w:rPr>
        <w:t>r</w:t>
      </w:r>
      <w:r w:rsidRPr="009F6DF3">
        <w:rPr>
          <w:rFonts w:ascii="Arial" w:hAnsi="Arial" w:cs="Arial"/>
          <w:sz w:val="20"/>
          <w:szCs w:val="20"/>
          <w:u w:val="single"/>
        </w:rPr>
        <w:t>evenues</w:t>
      </w:r>
    </w:p>
    <w:p w14:paraId="60616EF0" w14:textId="77777777" w:rsidR="00186033" w:rsidRPr="009F6DF3" w:rsidRDefault="00186033" w:rsidP="003F6F1A">
      <w:pPr>
        <w:spacing w:after="0"/>
        <w:jc w:val="both"/>
        <w:rPr>
          <w:rFonts w:ascii="Arial" w:hAnsi="Arial" w:cs="Arial"/>
          <w:sz w:val="20"/>
          <w:szCs w:val="20"/>
        </w:rPr>
      </w:pPr>
    </w:p>
    <w:p w14:paraId="14E9D33E" w14:textId="77777777" w:rsidR="009F6DF3" w:rsidRDefault="001442B7" w:rsidP="003F6F1A">
      <w:pPr>
        <w:spacing w:after="0"/>
        <w:jc w:val="both"/>
        <w:rPr>
          <w:rFonts w:ascii="Arial" w:hAnsi="Arial" w:cs="Arial"/>
          <w:sz w:val="20"/>
          <w:szCs w:val="20"/>
        </w:rPr>
      </w:pPr>
      <w:r w:rsidRPr="009F6DF3">
        <w:rPr>
          <w:rFonts w:ascii="Arial" w:hAnsi="Arial" w:cs="Arial"/>
          <w:sz w:val="20"/>
          <w:szCs w:val="20"/>
        </w:rPr>
        <w:t xml:space="preserve">Revenues </w:t>
      </w:r>
      <w:r w:rsidR="009C53F7" w:rsidRPr="009F6DF3">
        <w:rPr>
          <w:rFonts w:ascii="Arial" w:hAnsi="Arial" w:cs="Arial"/>
          <w:sz w:val="20"/>
          <w:szCs w:val="20"/>
        </w:rPr>
        <w:t>were</w:t>
      </w:r>
      <w:r w:rsidRPr="009F6DF3">
        <w:rPr>
          <w:rFonts w:ascii="Arial" w:hAnsi="Arial" w:cs="Arial"/>
          <w:sz w:val="20"/>
          <w:szCs w:val="20"/>
        </w:rPr>
        <w:t xml:space="preserve"> </w:t>
      </w:r>
      <w:r w:rsidR="00A206A1" w:rsidRPr="009F6DF3">
        <w:rPr>
          <w:rFonts w:ascii="Arial" w:hAnsi="Arial" w:cs="Arial"/>
          <w:sz w:val="20"/>
          <w:szCs w:val="20"/>
        </w:rPr>
        <w:t>$</w:t>
      </w:r>
      <w:r w:rsidR="009F6DF3" w:rsidRPr="009F6DF3">
        <w:rPr>
          <w:rFonts w:ascii="Arial" w:hAnsi="Arial" w:cs="Arial"/>
          <w:sz w:val="20"/>
          <w:szCs w:val="20"/>
        </w:rPr>
        <w:t>591,024</w:t>
      </w:r>
      <w:r w:rsidR="009C53F7" w:rsidRPr="009F6DF3">
        <w:rPr>
          <w:rFonts w:ascii="Arial" w:hAnsi="Arial" w:cs="Arial"/>
          <w:sz w:val="20"/>
          <w:szCs w:val="20"/>
        </w:rPr>
        <w:t xml:space="preserve">, compared to </w:t>
      </w:r>
      <w:r w:rsidR="00615EFE" w:rsidRPr="009F6DF3">
        <w:rPr>
          <w:rFonts w:ascii="Arial" w:hAnsi="Arial" w:cs="Arial"/>
          <w:sz w:val="20"/>
          <w:szCs w:val="20"/>
        </w:rPr>
        <w:t>$</w:t>
      </w:r>
      <w:r w:rsidR="009F6DF3" w:rsidRPr="009F6DF3">
        <w:rPr>
          <w:rFonts w:ascii="Arial" w:hAnsi="Arial" w:cs="Arial"/>
          <w:sz w:val="20"/>
          <w:szCs w:val="20"/>
        </w:rPr>
        <w:t>312,485</w:t>
      </w:r>
      <w:r w:rsidR="009C53F7" w:rsidRPr="009F6DF3">
        <w:rPr>
          <w:rFonts w:ascii="Arial" w:hAnsi="Arial" w:cs="Arial"/>
          <w:sz w:val="20"/>
          <w:szCs w:val="20"/>
        </w:rPr>
        <w:t xml:space="preserve"> during Q</w:t>
      </w:r>
      <w:r w:rsidR="004B4490" w:rsidRPr="009F6DF3">
        <w:rPr>
          <w:rFonts w:ascii="Arial" w:hAnsi="Arial" w:cs="Arial"/>
          <w:sz w:val="20"/>
          <w:szCs w:val="20"/>
        </w:rPr>
        <w:t>2</w:t>
      </w:r>
      <w:r w:rsidR="009C53F7" w:rsidRPr="009F6DF3">
        <w:rPr>
          <w:rFonts w:ascii="Arial" w:hAnsi="Arial" w:cs="Arial"/>
          <w:sz w:val="20"/>
          <w:szCs w:val="20"/>
        </w:rPr>
        <w:t xml:space="preserve"> 201</w:t>
      </w:r>
      <w:r w:rsidR="008F357A" w:rsidRPr="009F6DF3">
        <w:rPr>
          <w:rFonts w:ascii="Arial" w:hAnsi="Arial" w:cs="Arial"/>
          <w:sz w:val="20"/>
          <w:szCs w:val="20"/>
        </w:rPr>
        <w:t>8</w:t>
      </w:r>
      <w:r w:rsidRPr="009F6DF3">
        <w:rPr>
          <w:rFonts w:ascii="Arial" w:hAnsi="Arial" w:cs="Arial"/>
          <w:sz w:val="20"/>
          <w:szCs w:val="20"/>
        </w:rPr>
        <w:t xml:space="preserve"> as the Company received </w:t>
      </w:r>
      <w:r w:rsidR="00FB59C4">
        <w:rPr>
          <w:rFonts w:ascii="Arial" w:hAnsi="Arial" w:cs="Arial"/>
          <w:sz w:val="20"/>
          <w:szCs w:val="20"/>
        </w:rPr>
        <w:t>4,299</w:t>
      </w:r>
      <w:r w:rsidR="00D00008" w:rsidRPr="009F6DF3">
        <w:rPr>
          <w:rFonts w:ascii="Arial" w:hAnsi="Arial" w:cs="Arial"/>
          <w:sz w:val="20"/>
          <w:szCs w:val="20"/>
        </w:rPr>
        <w:t xml:space="preserve"> </w:t>
      </w:r>
      <w:r w:rsidRPr="009F6DF3">
        <w:rPr>
          <w:rFonts w:ascii="Arial" w:hAnsi="Arial" w:cs="Arial"/>
          <w:sz w:val="20"/>
          <w:szCs w:val="20"/>
        </w:rPr>
        <w:t xml:space="preserve">patients spending on average </w:t>
      </w:r>
      <w:r w:rsidR="00FB59C4">
        <w:rPr>
          <w:rFonts w:ascii="Arial" w:hAnsi="Arial" w:cs="Arial"/>
          <w:sz w:val="20"/>
          <w:szCs w:val="20"/>
        </w:rPr>
        <w:t>$137</w:t>
      </w:r>
      <w:r w:rsidRPr="009F6DF3">
        <w:rPr>
          <w:rFonts w:ascii="Arial" w:hAnsi="Arial" w:cs="Arial"/>
          <w:sz w:val="20"/>
          <w:szCs w:val="20"/>
        </w:rPr>
        <w:t xml:space="preserve">, compared to </w:t>
      </w:r>
      <w:r w:rsidR="008F357A" w:rsidRPr="009F6DF3">
        <w:rPr>
          <w:rFonts w:ascii="Arial" w:hAnsi="Arial" w:cs="Arial"/>
          <w:sz w:val="20"/>
          <w:szCs w:val="20"/>
        </w:rPr>
        <w:t>2,</w:t>
      </w:r>
      <w:r w:rsidR="004B4490" w:rsidRPr="009F6DF3">
        <w:rPr>
          <w:rFonts w:ascii="Arial" w:hAnsi="Arial" w:cs="Arial"/>
          <w:sz w:val="20"/>
          <w:szCs w:val="20"/>
        </w:rPr>
        <w:t>187</w:t>
      </w:r>
      <w:r w:rsidRPr="009F6DF3">
        <w:rPr>
          <w:rFonts w:ascii="Arial" w:hAnsi="Arial" w:cs="Arial"/>
          <w:sz w:val="20"/>
          <w:szCs w:val="20"/>
        </w:rPr>
        <w:t xml:space="preserve"> patients spending on average $</w:t>
      </w:r>
      <w:r w:rsidR="0089453C" w:rsidRPr="009F6DF3">
        <w:rPr>
          <w:rFonts w:ascii="Arial" w:hAnsi="Arial" w:cs="Arial"/>
          <w:sz w:val="20"/>
          <w:szCs w:val="20"/>
        </w:rPr>
        <w:t>1</w:t>
      </w:r>
      <w:r w:rsidR="009F6DF3" w:rsidRPr="009F6DF3">
        <w:rPr>
          <w:rFonts w:ascii="Arial" w:hAnsi="Arial" w:cs="Arial"/>
          <w:sz w:val="20"/>
          <w:szCs w:val="20"/>
        </w:rPr>
        <w:t>4</w:t>
      </w:r>
      <w:r w:rsidR="0089453C" w:rsidRPr="009F6DF3">
        <w:rPr>
          <w:rFonts w:ascii="Arial" w:hAnsi="Arial" w:cs="Arial"/>
          <w:sz w:val="20"/>
          <w:szCs w:val="20"/>
        </w:rPr>
        <w:t>3</w:t>
      </w:r>
      <w:r w:rsidRPr="009F6DF3">
        <w:rPr>
          <w:rFonts w:ascii="Arial" w:hAnsi="Arial" w:cs="Arial"/>
          <w:sz w:val="20"/>
          <w:szCs w:val="20"/>
        </w:rPr>
        <w:t xml:space="preserve"> during </w:t>
      </w:r>
      <w:r w:rsidR="00186033" w:rsidRPr="009F6DF3">
        <w:rPr>
          <w:rFonts w:ascii="Arial" w:hAnsi="Arial" w:cs="Arial"/>
          <w:sz w:val="20"/>
          <w:szCs w:val="20"/>
        </w:rPr>
        <w:t>Q</w:t>
      </w:r>
      <w:r w:rsidR="009F6DF3" w:rsidRPr="009F6DF3">
        <w:rPr>
          <w:rFonts w:ascii="Arial" w:hAnsi="Arial" w:cs="Arial"/>
          <w:sz w:val="20"/>
          <w:szCs w:val="20"/>
        </w:rPr>
        <w:t>2</w:t>
      </w:r>
      <w:r w:rsidRPr="009F6DF3">
        <w:rPr>
          <w:rFonts w:ascii="Arial" w:hAnsi="Arial" w:cs="Arial"/>
          <w:sz w:val="20"/>
          <w:szCs w:val="20"/>
        </w:rPr>
        <w:t xml:space="preserve"> 201</w:t>
      </w:r>
      <w:r w:rsidR="008F357A" w:rsidRPr="009F6DF3">
        <w:rPr>
          <w:rFonts w:ascii="Arial" w:hAnsi="Arial" w:cs="Arial"/>
          <w:sz w:val="20"/>
          <w:szCs w:val="20"/>
        </w:rPr>
        <w:t>8</w:t>
      </w:r>
      <w:r w:rsidRPr="009F6DF3">
        <w:rPr>
          <w:rFonts w:ascii="Arial" w:hAnsi="Arial" w:cs="Arial"/>
          <w:sz w:val="20"/>
          <w:szCs w:val="20"/>
        </w:rPr>
        <w:t xml:space="preserve">. </w:t>
      </w:r>
      <w:r w:rsidR="009F6DF3">
        <w:rPr>
          <w:rFonts w:ascii="Arial" w:hAnsi="Arial" w:cs="Arial"/>
          <w:sz w:val="20"/>
          <w:szCs w:val="20"/>
        </w:rPr>
        <w:t xml:space="preserve">The increase is primarily due to the addition of the Sun Valley clinics beginning May 1, 2019. </w:t>
      </w:r>
    </w:p>
    <w:p w14:paraId="6959B422" w14:textId="77777777" w:rsidR="009F6DF3" w:rsidRDefault="009F6DF3" w:rsidP="003F6F1A">
      <w:pPr>
        <w:spacing w:after="0"/>
        <w:jc w:val="both"/>
        <w:rPr>
          <w:rFonts w:ascii="Arial" w:hAnsi="Arial" w:cs="Arial"/>
          <w:sz w:val="20"/>
          <w:szCs w:val="20"/>
        </w:rPr>
      </w:pPr>
    </w:p>
    <w:p w14:paraId="3160688D" w14:textId="75C74B36" w:rsidR="001442B7" w:rsidRPr="009F6DF3" w:rsidRDefault="00915BD3" w:rsidP="003F6F1A">
      <w:pPr>
        <w:spacing w:after="0"/>
        <w:jc w:val="both"/>
        <w:rPr>
          <w:rFonts w:ascii="Arial" w:hAnsi="Arial" w:cs="Arial"/>
          <w:sz w:val="20"/>
          <w:szCs w:val="20"/>
        </w:rPr>
      </w:pPr>
      <w:r>
        <w:rPr>
          <w:rFonts w:ascii="Arial" w:hAnsi="Arial" w:cs="Arial"/>
          <w:sz w:val="20"/>
          <w:szCs w:val="20"/>
        </w:rPr>
        <w:t>T</w:t>
      </w:r>
      <w:r w:rsidR="009F6DF3" w:rsidRPr="009F6DF3">
        <w:rPr>
          <w:rFonts w:ascii="Arial" w:hAnsi="Arial" w:cs="Arial"/>
          <w:sz w:val="20"/>
          <w:szCs w:val="20"/>
        </w:rPr>
        <w:t>he Company receives revenue stream</w:t>
      </w:r>
      <w:r w:rsidR="00862651">
        <w:rPr>
          <w:rFonts w:ascii="Arial" w:hAnsi="Arial" w:cs="Arial"/>
          <w:sz w:val="20"/>
          <w:szCs w:val="20"/>
        </w:rPr>
        <w:t>s from</w:t>
      </w:r>
      <w:r w:rsidR="009F6DF3" w:rsidRPr="009F6DF3">
        <w:rPr>
          <w:rFonts w:ascii="Arial" w:hAnsi="Arial" w:cs="Arial"/>
          <w:sz w:val="20"/>
          <w:szCs w:val="20"/>
        </w:rPr>
        <w:t xml:space="preserve"> patient visits to existing clinics</w:t>
      </w:r>
      <w:r w:rsidR="00862651">
        <w:rPr>
          <w:rFonts w:ascii="Arial" w:hAnsi="Arial" w:cs="Arial"/>
          <w:sz w:val="20"/>
          <w:szCs w:val="20"/>
        </w:rPr>
        <w:t xml:space="preserve"> throughout the network, and the Company has expanded into CBD product sales and the sale of premium wellness products and supplements.</w:t>
      </w:r>
      <w:r w:rsidR="009F6DF3" w:rsidRPr="009F6DF3">
        <w:rPr>
          <w:rFonts w:ascii="Arial" w:hAnsi="Arial" w:cs="Arial"/>
          <w:sz w:val="20"/>
          <w:szCs w:val="20"/>
        </w:rPr>
        <w:t xml:space="preserve"> </w:t>
      </w:r>
      <w:r w:rsidR="001442B7" w:rsidRPr="009F6DF3">
        <w:rPr>
          <w:rFonts w:ascii="Arial" w:hAnsi="Arial" w:cs="Arial"/>
          <w:sz w:val="20"/>
          <w:szCs w:val="20"/>
        </w:rPr>
        <w:t xml:space="preserve">The Company expects to expand </w:t>
      </w:r>
      <w:r w:rsidR="00862651">
        <w:rPr>
          <w:rFonts w:ascii="Arial" w:hAnsi="Arial" w:cs="Arial"/>
          <w:sz w:val="20"/>
          <w:szCs w:val="20"/>
        </w:rPr>
        <w:t>its</w:t>
      </w:r>
      <w:r w:rsidR="00862651" w:rsidRPr="009F6DF3">
        <w:rPr>
          <w:rFonts w:ascii="Arial" w:hAnsi="Arial" w:cs="Arial"/>
          <w:sz w:val="20"/>
          <w:szCs w:val="20"/>
        </w:rPr>
        <w:t xml:space="preserve"> </w:t>
      </w:r>
      <w:r w:rsidR="001442B7" w:rsidRPr="009F6DF3">
        <w:rPr>
          <w:rFonts w:ascii="Arial" w:hAnsi="Arial" w:cs="Arial"/>
          <w:sz w:val="20"/>
          <w:szCs w:val="20"/>
        </w:rPr>
        <w:t>revenue stream</w:t>
      </w:r>
      <w:r w:rsidR="00862651">
        <w:rPr>
          <w:rFonts w:ascii="Arial" w:hAnsi="Arial" w:cs="Arial"/>
          <w:sz w:val="20"/>
          <w:szCs w:val="20"/>
        </w:rPr>
        <w:t>s</w:t>
      </w:r>
      <w:r w:rsidR="001442B7" w:rsidRPr="009F6DF3">
        <w:rPr>
          <w:rFonts w:ascii="Arial" w:hAnsi="Arial" w:cs="Arial"/>
          <w:sz w:val="20"/>
          <w:szCs w:val="20"/>
        </w:rPr>
        <w:t xml:space="preserve"> as the </w:t>
      </w:r>
      <w:r w:rsidR="00862651">
        <w:rPr>
          <w:rFonts w:ascii="Arial" w:hAnsi="Arial" w:cs="Arial"/>
          <w:sz w:val="20"/>
          <w:szCs w:val="20"/>
        </w:rPr>
        <w:t>Company</w:t>
      </w:r>
      <w:r w:rsidR="009F6DF3" w:rsidRPr="009F6DF3">
        <w:rPr>
          <w:rFonts w:ascii="Arial" w:hAnsi="Arial" w:cs="Arial"/>
          <w:sz w:val="20"/>
          <w:szCs w:val="20"/>
        </w:rPr>
        <w:t xml:space="preserve"> patient </w:t>
      </w:r>
      <w:r w:rsidR="001442B7" w:rsidRPr="009F6DF3">
        <w:rPr>
          <w:rFonts w:ascii="Arial" w:hAnsi="Arial" w:cs="Arial"/>
          <w:sz w:val="20"/>
          <w:szCs w:val="20"/>
        </w:rPr>
        <w:t>base grows</w:t>
      </w:r>
      <w:r w:rsidR="009F6DF3">
        <w:rPr>
          <w:rFonts w:ascii="Arial" w:hAnsi="Arial" w:cs="Arial"/>
          <w:sz w:val="20"/>
          <w:szCs w:val="20"/>
        </w:rPr>
        <w:t xml:space="preserve">, </w:t>
      </w:r>
      <w:r w:rsidR="00862651">
        <w:rPr>
          <w:rFonts w:ascii="Arial" w:hAnsi="Arial" w:cs="Arial"/>
          <w:sz w:val="20"/>
          <w:szCs w:val="20"/>
        </w:rPr>
        <w:t>as branded CBD</w:t>
      </w:r>
      <w:r w:rsidR="001442B7" w:rsidRPr="009F6DF3">
        <w:rPr>
          <w:rFonts w:ascii="Arial" w:hAnsi="Arial" w:cs="Arial"/>
          <w:sz w:val="20"/>
          <w:szCs w:val="20"/>
        </w:rPr>
        <w:t xml:space="preserve"> product</w:t>
      </w:r>
      <w:r w:rsidR="00862651">
        <w:rPr>
          <w:rFonts w:ascii="Arial" w:hAnsi="Arial" w:cs="Arial"/>
          <w:sz w:val="20"/>
          <w:szCs w:val="20"/>
        </w:rPr>
        <w:t>s are further</w:t>
      </w:r>
      <w:r w:rsidR="001442B7" w:rsidRPr="009F6DF3">
        <w:rPr>
          <w:rFonts w:ascii="Arial" w:hAnsi="Arial" w:cs="Arial"/>
          <w:sz w:val="20"/>
          <w:szCs w:val="20"/>
        </w:rPr>
        <w:t xml:space="preserve"> rolled out</w:t>
      </w:r>
      <w:r w:rsidR="009F6DF3">
        <w:rPr>
          <w:rFonts w:ascii="Arial" w:hAnsi="Arial" w:cs="Arial"/>
          <w:sz w:val="20"/>
          <w:szCs w:val="20"/>
        </w:rPr>
        <w:t xml:space="preserve"> and the CBD extraction facility becomes </w:t>
      </w:r>
      <w:r w:rsidR="00862651">
        <w:rPr>
          <w:rFonts w:ascii="Arial" w:hAnsi="Arial" w:cs="Arial"/>
          <w:sz w:val="20"/>
          <w:szCs w:val="20"/>
        </w:rPr>
        <w:t xml:space="preserve">fully </w:t>
      </w:r>
      <w:r w:rsidR="009F6DF3">
        <w:rPr>
          <w:rFonts w:ascii="Arial" w:hAnsi="Arial" w:cs="Arial"/>
          <w:sz w:val="20"/>
          <w:szCs w:val="20"/>
        </w:rPr>
        <w:t>operational.</w:t>
      </w:r>
      <w:r w:rsidR="001442B7" w:rsidRPr="009F6DF3">
        <w:rPr>
          <w:rFonts w:ascii="Arial" w:hAnsi="Arial" w:cs="Arial"/>
          <w:sz w:val="20"/>
          <w:szCs w:val="20"/>
        </w:rPr>
        <w:t xml:space="preserve"> </w:t>
      </w:r>
    </w:p>
    <w:p w14:paraId="5A97A7C9" w14:textId="77777777" w:rsidR="005F6D26" w:rsidRDefault="005F6D26" w:rsidP="003F6F1A">
      <w:pPr>
        <w:spacing w:after="0"/>
        <w:jc w:val="both"/>
        <w:rPr>
          <w:rFonts w:ascii="Arial" w:hAnsi="Arial" w:cs="Arial"/>
          <w:sz w:val="20"/>
          <w:szCs w:val="20"/>
          <w:u w:val="single"/>
        </w:rPr>
      </w:pPr>
    </w:p>
    <w:p w14:paraId="070CBD90" w14:textId="77777777" w:rsidR="00DA65B0" w:rsidRPr="009F6DF3" w:rsidRDefault="00DA65B0" w:rsidP="003F6F1A">
      <w:pPr>
        <w:spacing w:after="0"/>
        <w:jc w:val="both"/>
        <w:rPr>
          <w:rFonts w:ascii="Arial" w:hAnsi="Arial" w:cs="Arial"/>
          <w:sz w:val="20"/>
          <w:szCs w:val="20"/>
          <w:u w:val="single"/>
        </w:rPr>
      </w:pPr>
      <w:r w:rsidRPr="009F6DF3">
        <w:rPr>
          <w:rFonts w:ascii="Arial" w:hAnsi="Arial" w:cs="Arial"/>
          <w:sz w:val="20"/>
          <w:szCs w:val="20"/>
          <w:u w:val="single"/>
        </w:rPr>
        <w:t>Direct clinic expenses</w:t>
      </w:r>
    </w:p>
    <w:p w14:paraId="0ED0F43D" w14:textId="77777777" w:rsidR="00FE6AAE" w:rsidRPr="009F6DF3" w:rsidRDefault="00FE6AAE" w:rsidP="003F6F1A">
      <w:pPr>
        <w:spacing w:after="0"/>
        <w:jc w:val="both"/>
        <w:rPr>
          <w:rFonts w:ascii="Arial" w:hAnsi="Arial" w:cs="Arial"/>
          <w:sz w:val="20"/>
          <w:szCs w:val="20"/>
          <w:u w:val="single"/>
        </w:rPr>
      </w:pPr>
    </w:p>
    <w:p w14:paraId="0136811C" w14:textId="65EFC49E" w:rsidR="001442B7" w:rsidRPr="009F6DF3" w:rsidRDefault="001442B7" w:rsidP="003F6F1A">
      <w:pPr>
        <w:spacing w:after="0"/>
        <w:jc w:val="both"/>
        <w:rPr>
          <w:rFonts w:ascii="Arial" w:hAnsi="Arial" w:cs="Arial"/>
          <w:sz w:val="20"/>
          <w:szCs w:val="20"/>
        </w:rPr>
      </w:pPr>
      <w:r w:rsidRPr="009F6DF3">
        <w:rPr>
          <w:rFonts w:ascii="Arial" w:hAnsi="Arial" w:cs="Arial"/>
          <w:sz w:val="20"/>
          <w:szCs w:val="20"/>
        </w:rPr>
        <w:t>Direct clinic expenses were $</w:t>
      </w:r>
      <w:r w:rsidR="009F6DF3" w:rsidRPr="009F6DF3">
        <w:rPr>
          <w:rFonts w:ascii="Arial" w:hAnsi="Arial" w:cs="Arial"/>
          <w:sz w:val="20"/>
          <w:szCs w:val="20"/>
        </w:rPr>
        <w:t>82,750</w:t>
      </w:r>
      <w:r w:rsidRPr="009F6DF3">
        <w:rPr>
          <w:rFonts w:ascii="Arial" w:hAnsi="Arial" w:cs="Arial"/>
          <w:sz w:val="20"/>
          <w:szCs w:val="20"/>
        </w:rPr>
        <w:t>, compared to $</w:t>
      </w:r>
      <w:r w:rsidR="0089453C" w:rsidRPr="009F6DF3">
        <w:rPr>
          <w:rFonts w:ascii="Arial" w:hAnsi="Arial" w:cs="Arial"/>
          <w:sz w:val="20"/>
          <w:szCs w:val="20"/>
        </w:rPr>
        <w:t>10</w:t>
      </w:r>
      <w:r w:rsidR="009F6DF3" w:rsidRPr="009F6DF3">
        <w:rPr>
          <w:rFonts w:ascii="Arial" w:hAnsi="Arial" w:cs="Arial"/>
          <w:sz w:val="20"/>
          <w:szCs w:val="20"/>
        </w:rPr>
        <w:t>7</w:t>
      </w:r>
      <w:r w:rsidR="0089453C" w:rsidRPr="009F6DF3">
        <w:rPr>
          <w:rFonts w:ascii="Arial" w:hAnsi="Arial" w:cs="Arial"/>
          <w:sz w:val="20"/>
          <w:szCs w:val="20"/>
        </w:rPr>
        <w:t>,</w:t>
      </w:r>
      <w:r w:rsidR="009F6DF3" w:rsidRPr="009F6DF3">
        <w:rPr>
          <w:rFonts w:ascii="Arial" w:hAnsi="Arial" w:cs="Arial"/>
          <w:sz w:val="20"/>
          <w:szCs w:val="20"/>
        </w:rPr>
        <w:t>27</w:t>
      </w:r>
      <w:r w:rsidR="00F21869">
        <w:rPr>
          <w:rFonts w:ascii="Arial" w:hAnsi="Arial" w:cs="Arial"/>
          <w:sz w:val="20"/>
          <w:szCs w:val="20"/>
        </w:rPr>
        <w:t>1</w:t>
      </w:r>
      <w:r w:rsidRPr="009F6DF3">
        <w:rPr>
          <w:rFonts w:ascii="Arial" w:hAnsi="Arial" w:cs="Arial"/>
          <w:sz w:val="20"/>
          <w:szCs w:val="20"/>
        </w:rPr>
        <w:t xml:space="preserve"> during Q</w:t>
      </w:r>
      <w:r w:rsidR="009F6DF3" w:rsidRPr="009F6DF3">
        <w:rPr>
          <w:rFonts w:ascii="Arial" w:hAnsi="Arial" w:cs="Arial"/>
          <w:sz w:val="20"/>
          <w:szCs w:val="20"/>
        </w:rPr>
        <w:t>2</w:t>
      </w:r>
      <w:r w:rsidRPr="009F6DF3">
        <w:rPr>
          <w:rFonts w:ascii="Arial" w:hAnsi="Arial" w:cs="Arial"/>
          <w:sz w:val="20"/>
          <w:szCs w:val="20"/>
        </w:rPr>
        <w:t xml:space="preserve"> 201</w:t>
      </w:r>
      <w:r w:rsidR="008F357A" w:rsidRPr="009F6DF3">
        <w:rPr>
          <w:rFonts w:ascii="Arial" w:hAnsi="Arial" w:cs="Arial"/>
          <w:sz w:val="20"/>
          <w:szCs w:val="20"/>
        </w:rPr>
        <w:t>8</w:t>
      </w:r>
      <w:r w:rsidRPr="009F6DF3">
        <w:rPr>
          <w:rFonts w:ascii="Arial" w:hAnsi="Arial" w:cs="Arial"/>
          <w:sz w:val="20"/>
          <w:szCs w:val="20"/>
        </w:rPr>
        <w:t xml:space="preserve">. These costs </w:t>
      </w:r>
      <w:r w:rsidR="00645A49">
        <w:rPr>
          <w:rFonts w:ascii="Arial" w:hAnsi="Arial" w:cs="Arial"/>
          <w:sz w:val="20"/>
          <w:szCs w:val="20"/>
        </w:rPr>
        <w:t>represent physician and clinic support staff expenses that are required to operate the clinics and provide patient consulting services. These expenses</w:t>
      </w:r>
      <w:r w:rsidR="008A52C2">
        <w:rPr>
          <w:rFonts w:ascii="Arial" w:hAnsi="Arial" w:cs="Arial"/>
          <w:sz w:val="20"/>
          <w:szCs w:val="20"/>
        </w:rPr>
        <w:t xml:space="preserve"> declined despite the increase in revenues due to improved operational controls to align labor cost with direct patient consultations</w:t>
      </w:r>
      <w:r w:rsidRPr="009F6DF3">
        <w:rPr>
          <w:rFonts w:ascii="Arial" w:hAnsi="Arial" w:cs="Arial"/>
          <w:sz w:val="20"/>
          <w:szCs w:val="20"/>
        </w:rPr>
        <w:t xml:space="preserve">. The Company employs </w:t>
      </w:r>
      <w:r w:rsidR="000F798D">
        <w:rPr>
          <w:rFonts w:ascii="Arial" w:hAnsi="Arial" w:cs="Arial"/>
          <w:sz w:val="20"/>
          <w:szCs w:val="20"/>
        </w:rPr>
        <w:t>a diverse mix of physicians and practitioners</w:t>
      </w:r>
      <w:r w:rsidRPr="009F6DF3">
        <w:rPr>
          <w:rFonts w:ascii="Arial" w:hAnsi="Arial" w:cs="Arial"/>
          <w:sz w:val="20"/>
          <w:szCs w:val="20"/>
        </w:rPr>
        <w:t xml:space="preserve">. </w:t>
      </w:r>
    </w:p>
    <w:p w14:paraId="2303C473" w14:textId="77777777" w:rsidR="008460B5" w:rsidRPr="009F6DF3" w:rsidRDefault="008460B5" w:rsidP="003F6F1A">
      <w:pPr>
        <w:spacing w:after="0"/>
        <w:jc w:val="both"/>
        <w:rPr>
          <w:rFonts w:ascii="Arial" w:hAnsi="Arial" w:cs="Arial"/>
          <w:sz w:val="20"/>
          <w:szCs w:val="20"/>
          <w:u w:val="single"/>
        </w:rPr>
      </w:pPr>
    </w:p>
    <w:p w14:paraId="10ACE10D" w14:textId="77777777" w:rsidR="00691C16" w:rsidRDefault="00691C16" w:rsidP="003F6F1A">
      <w:pPr>
        <w:spacing w:after="0"/>
        <w:jc w:val="both"/>
        <w:rPr>
          <w:rFonts w:ascii="Arial" w:hAnsi="Arial" w:cs="Arial"/>
          <w:sz w:val="20"/>
          <w:szCs w:val="20"/>
          <w:u w:val="single"/>
        </w:rPr>
      </w:pPr>
    </w:p>
    <w:p w14:paraId="33382078" w14:textId="77777777" w:rsidR="00691C16" w:rsidRDefault="00691C16" w:rsidP="003F6F1A">
      <w:pPr>
        <w:spacing w:after="0"/>
        <w:jc w:val="both"/>
        <w:rPr>
          <w:rFonts w:ascii="Arial" w:hAnsi="Arial" w:cs="Arial"/>
          <w:sz w:val="20"/>
          <w:szCs w:val="20"/>
          <w:u w:val="single"/>
        </w:rPr>
      </w:pPr>
    </w:p>
    <w:p w14:paraId="0F975563" w14:textId="77777777" w:rsidR="00691C16" w:rsidRDefault="00691C16" w:rsidP="003F6F1A">
      <w:pPr>
        <w:spacing w:after="0"/>
        <w:jc w:val="both"/>
        <w:rPr>
          <w:rFonts w:ascii="Arial" w:hAnsi="Arial" w:cs="Arial"/>
          <w:sz w:val="20"/>
          <w:szCs w:val="20"/>
          <w:u w:val="single"/>
        </w:rPr>
      </w:pPr>
    </w:p>
    <w:p w14:paraId="6ED04E28" w14:textId="77777777" w:rsidR="00691C16" w:rsidRDefault="00691C16" w:rsidP="003F6F1A">
      <w:pPr>
        <w:spacing w:after="0"/>
        <w:jc w:val="both"/>
        <w:rPr>
          <w:rFonts w:ascii="Arial" w:hAnsi="Arial" w:cs="Arial"/>
          <w:sz w:val="20"/>
          <w:szCs w:val="20"/>
          <w:u w:val="single"/>
        </w:rPr>
      </w:pPr>
    </w:p>
    <w:p w14:paraId="2FB088E5" w14:textId="4A276F9F" w:rsidR="001D13DE" w:rsidRPr="009F6DF3" w:rsidRDefault="001D13DE" w:rsidP="003F6F1A">
      <w:pPr>
        <w:spacing w:after="0"/>
        <w:jc w:val="both"/>
        <w:rPr>
          <w:rFonts w:ascii="Arial" w:hAnsi="Arial" w:cs="Arial"/>
          <w:sz w:val="20"/>
          <w:szCs w:val="20"/>
          <w:u w:val="single"/>
        </w:rPr>
      </w:pPr>
      <w:r w:rsidRPr="009F6DF3">
        <w:rPr>
          <w:rFonts w:ascii="Arial" w:hAnsi="Arial" w:cs="Arial"/>
          <w:sz w:val="20"/>
          <w:szCs w:val="20"/>
          <w:u w:val="single"/>
        </w:rPr>
        <w:t>Operating expenses</w:t>
      </w:r>
    </w:p>
    <w:p w14:paraId="22807356" w14:textId="77777777" w:rsidR="001442B7" w:rsidRPr="009F6DF3" w:rsidRDefault="001442B7" w:rsidP="003F6F1A">
      <w:pPr>
        <w:spacing w:after="0"/>
        <w:rPr>
          <w:rFonts w:ascii="Arial" w:hAnsi="Arial" w:cs="Arial"/>
          <w:sz w:val="20"/>
          <w:szCs w:val="20"/>
        </w:rPr>
      </w:pPr>
    </w:p>
    <w:p w14:paraId="34D58249" w14:textId="77777777" w:rsidR="004E17E1" w:rsidRDefault="00CD59DC" w:rsidP="003F6F1A">
      <w:pPr>
        <w:spacing w:after="0"/>
        <w:jc w:val="both"/>
        <w:rPr>
          <w:rFonts w:ascii="Arial" w:hAnsi="Arial" w:cs="Arial"/>
          <w:sz w:val="20"/>
          <w:szCs w:val="20"/>
        </w:rPr>
      </w:pPr>
      <w:r>
        <w:rPr>
          <w:rFonts w:ascii="Arial" w:hAnsi="Arial" w:cs="Arial"/>
          <w:sz w:val="20"/>
          <w:szCs w:val="20"/>
        </w:rPr>
        <w:t>Despite the addition of Sun Valley effective May 1, 2019, o</w:t>
      </w:r>
      <w:r w:rsidR="00726CE5" w:rsidRPr="009F6DF3">
        <w:rPr>
          <w:rFonts w:ascii="Arial" w:hAnsi="Arial" w:cs="Arial"/>
          <w:sz w:val="20"/>
          <w:szCs w:val="20"/>
        </w:rPr>
        <w:t xml:space="preserve">perating expenses were </w:t>
      </w:r>
      <w:r w:rsidR="00615EFE" w:rsidRPr="009F6DF3">
        <w:rPr>
          <w:rFonts w:ascii="Arial" w:hAnsi="Arial" w:cs="Arial"/>
          <w:sz w:val="20"/>
          <w:szCs w:val="20"/>
        </w:rPr>
        <w:t>$</w:t>
      </w:r>
      <w:r w:rsidR="009F6DF3" w:rsidRPr="009F6DF3">
        <w:rPr>
          <w:rFonts w:ascii="Arial" w:hAnsi="Arial" w:cs="Arial"/>
          <w:sz w:val="20"/>
          <w:szCs w:val="20"/>
        </w:rPr>
        <w:t>1,</w:t>
      </w:r>
      <w:r w:rsidR="004E17E1">
        <w:rPr>
          <w:rFonts w:ascii="Arial" w:hAnsi="Arial" w:cs="Arial"/>
          <w:sz w:val="20"/>
          <w:szCs w:val="20"/>
        </w:rPr>
        <w:t>0</w:t>
      </w:r>
      <w:r>
        <w:rPr>
          <w:rFonts w:ascii="Arial" w:hAnsi="Arial" w:cs="Arial"/>
          <w:sz w:val="20"/>
          <w:szCs w:val="20"/>
        </w:rPr>
        <w:t>8</w:t>
      </w:r>
      <w:r w:rsidR="00D3689F">
        <w:rPr>
          <w:rFonts w:ascii="Arial" w:hAnsi="Arial" w:cs="Arial"/>
          <w:sz w:val="20"/>
          <w:szCs w:val="20"/>
        </w:rPr>
        <w:t>2,248</w:t>
      </w:r>
      <w:r w:rsidR="00726CE5" w:rsidRPr="009F6DF3">
        <w:rPr>
          <w:rFonts w:ascii="Arial" w:hAnsi="Arial" w:cs="Arial"/>
          <w:sz w:val="20"/>
          <w:szCs w:val="20"/>
        </w:rPr>
        <w:t xml:space="preserve">, compared to </w:t>
      </w:r>
      <w:r w:rsidR="0089453C" w:rsidRPr="009F6DF3">
        <w:rPr>
          <w:rFonts w:ascii="Arial" w:hAnsi="Arial" w:cs="Arial"/>
          <w:sz w:val="20"/>
          <w:szCs w:val="20"/>
        </w:rPr>
        <w:t>$</w:t>
      </w:r>
      <w:r w:rsidR="009F6DF3" w:rsidRPr="009F6DF3">
        <w:rPr>
          <w:rFonts w:ascii="Arial" w:hAnsi="Arial" w:cs="Arial"/>
          <w:sz w:val="20"/>
          <w:szCs w:val="20"/>
        </w:rPr>
        <w:t>1,7</w:t>
      </w:r>
      <w:r>
        <w:rPr>
          <w:rFonts w:ascii="Arial" w:hAnsi="Arial" w:cs="Arial"/>
          <w:sz w:val="20"/>
          <w:szCs w:val="20"/>
        </w:rPr>
        <w:t>22,957</w:t>
      </w:r>
      <w:r w:rsidR="00726CE5" w:rsidRPr="009F6DF3">
        <w:rPr>
          <w:rFonts w:ascii="Arial" w:hAnsi="Arial" w:cs="Arial"/>
          <w:sz w:val="20"/>
          <w:szCs w:val="20"/>
        </w:rPr>
        <w:t xml:space="preserve"> during Q</w:t>
      </w:r>
      <w:r w:rsidR="009F6DF3" w:rsidRPr="009F6DF3">
        <w:rPr>
          <w:rFonts w:ascii="Arial" w:hAnsi="Arial" w:cs="Arial"/>
          <w:sz w:val="20"/>
          <w:szCs w:val="20"/>
        </w:rPr>
        <w:t>2</w:t>
      </w:r>
      <w:r w:rsidR="00726CE5" w:rsidRPr="009F6DF3">
        <w:rPr>
          <w:rFonts w:ascii="Arial" w:hAnsi="Arial" w:cs="Arial"/>
          <w:sz w:val="20"/>
          <w:szCs w:val="20"/>
        </w:rPr>
        <w:t xml:space="preserve"> 201</w:t>
      </w:r>
      <w:r w:rsidR="008F357A" w:rsidRPr="009F6DF3">
        <w:rPr>
          <w:rFonts w:ascii="Arial" w:hAnsi="Arial" w:cs="Arial"/>
          <w:sz w:val="20"/>
          <w:szCs w:val="20"/>
        </w:rPr>
        <w:t>8</w:t>
      </w:r>
      <w:r w:rsidR="0089453C" w:rsidRPr="009F6DF3">
        <w:rPr>
          <w:rFonts w:ascii="Arial" w:hAnsi="Arial" w:cs="Arial"/>
          <w:sz w:val="20"/>
          <w:szCs w:val="20"/>
        </w:rPr>
        <w:t xml:space="preserve"> </w:t>
      </w:r>
      <w:r w:rsidR="004E17E1">
        <w:rPr>
          <w:rFonts w:ascii="Arial" w:hAnsi="Arial" w:cs="Arial"/>
          <w:sz w:val="20"/>
          <w:szCs w:val="20"/>
        </w:rPr>
        <w:t>due to the following:</w:t>
      </w:r>
    </w:p>
    <w:p w14:paraId="7DF3EE67" w14:textId="77777777" w:rsidR="001D7767" w:rsidRDefault="001D7767" w:rsidP="003F6F1A">
      <w:pPr>
        <w:spacing w:after="0"/>
        <w:jc w:val="both"/>
        <w:rPr>
          <w:rFonts w:ascii="Arial" w:hAnsi="Arial" w:cs="Arial"/>
          <w:sz w:val="20"/>
          <w:szCs w:val="20"/>
        </w:rPr>
      </w:pPr>
    </w:p>
    <w:p w14:paraId="120DD4FD" w14:textId="77777777" w:rsidR="00BD1255" w:rsidRPr="004E17E1" w:rsidRDefault="00BD1255" w:rsidP="003F6F1A">
      <w:pPr>
        <w:pStyle w:val="ColorfulList-Accent11"/>
        <w:numPr>
          <w:ilvl w:val="0"/>
          <w:numId w:val="38"/>
        </w:numPr>
        <w:spacing w:line="276" w:lineRule="auto"/>
        <w:jc w:val="both"/>
        <w:rPr>
          <w:rFonts w:ascii="Arial" w:hAnsi="Arial" w:cs="Arial"/>
          <w:sz w:val="20"/>
          <w:szCs w:val="20"/>
        </w:rPr>
      </w:pPr>
      <w:r>
        <w:rPr>
          <w:rFonts w:ascii="Arial" w:hAnsi="Arial" w:cs="Arial"/>
          <w:sz w:val="20"/>
          <w:szCs w:val="20"/>
        </w:rPr>
        <w:t xml:space="preserve">Lower operating costs owing </w:t>
      </w:r>
      <w:r w:rsidRPr="009F6DF3">
        <w:rPr>
          <w:rFonts w:ascii="Arial" w:hAnsi="Arial" w:cs="Arial"/>
          <w:sz w:val="20"/>
          <w:szCs w:val="20"/>
        </w:rPr>
        <w:t xml:space="preserve">to </w:t>
      </w:r>
      <w:r w:rsidRPr="00DA4360">
        <w:rPr>
          <w:rFonts w:ascii="Arial" w:eastAsia="Calibri" w:hAnsi="Arial" w:cs="Arial"/>
          <w:sz w:val="20"/>
          <w:szCs w:val="20"/>
        </w:rPr>
        <w:t>aggressive headcount cuts</w:t>
      </w:r>
      <w:r>
        <w:rPr>
          <w:rFonts w:ascii="Arial" w:hAnsi="Arial" w:cs="Arial"/>
          <w:sz w:val="20"/>
          <w:szCs w:val="20"/>
        </w:rPr>
        <w:t xml:space="preserve"> and</w:t>
      </w:r>
      <w:r w:rsidRPr="00DA4360">
        <w:rPr>
          <w:rFonts w:ascii="Arial" w:eastAsia="Calibri" w:hAnsi="Arial" w:cs="Arial"/>
          <w:sz w:val="20"/>
          <w:szCs w:val="20"/>
        </w:rPr>
        <w:t xml:space="preserve"> facility changes</w:t>
      </w:r>
      <w:r w:rsidRPr="009F6DF3">
        <w:rPr>
          <w:rFonts w:ascii="Arial" w:hAnsi="Arial" w:cs="Arial"/>
          <w:sz w:val="20"/>
          <w:szCs w:val="20"/>
        </w:rPr>
        <w:t>.</w:t>
      </w:r>
    </w:p>
    <w:p w14:paraId="37B0B338" w14:textId="77777777" w:rsidR="004E17E1" w:rsidRDefault="004E17E1" w:rsidP="003F6F1A">
      <w:pPr>
        <w:pStyle w:val="ColorfulList-Accent11"/>
        <w:numPr>
          <w:ilvl w:val="0"/>
          <w:numId w:val="38"/>
        </w:numPr>
        <w:spacing w:line="259" w:lineRule="auto"/>
        <w:jc w:val="both"/>
        <w:rPr>
          <w:rFonts w:ascii="Arial" w:hAnsi="Arial" w:cs="Arial"/>
          <w:sz w:val="20"/>
          <w:szCs w:val="20"/>
        </w:rPr>
      </w:pPr>
      <w:r>
        <w:rPr>
          <w:rFonts w:ascii="Arial" w:hAnsi="Arial" w:cs="Arial"/>
          <w:sz w:val="20"/>
          <w:szCs w:val="20"/>
        </w:rPr>
        <w:t>C</w:t>
      </w:r>
      <w:r w:rsidR="009F6DF3" w:rsidRPr="004E17E1">
        <w:rPr>
          <w:rFonts w:ascii="Arial" w:hAnsi="Arial" w:cs="Arial"/>
          <w:sz w:val="20"/>
          <w:szCs w:val="20"/>
        </w:rPr>
        <w:t>ompensation expense of $</w:t>
      </w:r>
      <w:r>
        <w:rPr>
          <w:rFonts w:ascii="Arial" w:hAnsi="Arial" w:cs="Arial"/>
          <w:sz w:val="20"/>
          <w:szCs w:val="20"/>
        </w:rPr>
        <w:t>208,846</w:t>
      </w:r>
      <w:r w:rsidR="009F6DF3" w:rsidRPr="004E17E1">
        <w:rPr>
          <w:rFonts w:ascii="Arial" w:hAnsi="Arial" w:cs="Arial"/>
          <w:sz w:val="20"/>
          <w:szCs w:val="20"/>
        </w:rPr>
        <w:t xml:space="preserve"> in non-cash </w:t>
      </w:r>
      <w:r w:rsidR="005F6D26" w:rsidRPr="004E17E1">
        <w:rPr>
          <w:rFonts w:ascii="Arial" w:hAnsi="Arial" w:cs="Arial"/>
          <w:sz w:val="20"/>
          <w:szCs w:val="20"/>
        </w:rPr>
        <w:t>share-based</w:t>
      </w:r>
      <w:r w:rsidR="009F6DF3" w:rsidRPr="004E17E1">
        <w:rPr>
          <w:rFonts w:ascii="Arial" w:hAnsi="Arial" w:cs="Arial"/>
          <w:sz w:val="20"/>
          <w:szCs w:val="20"/>
        </w:rPr>
        <w:t xml:space="preserve"> payments to the CEO as compared to compensation expense of $477,180 in non-cash share</w:t>
      </w:r>
      <w:r w:rsidR="005F6D26">
        <w:rPr>
          <w:rFonts w:ascii="Arial" w:hAnsi="Arial" w:cs="Arial"/>
          <w:sz w:val="20"/>
          <w:szCs w:val="20"/>
        </w:rPr>
        <w:t>-</w:t>
      </w:r>
      <w:r w:rsidR="009F6DF3" w:rsidRPr="004E17E1">
        <w:rPr>
          <w:rFonts w:ascii="Arial" w:hAnsi="Arial" w:cs="Arial"/>
          <w:sz w:val="20"/>
          <w:szCs w:val="20"/>
        </w:rPr>
        <w:t>based payments to the former CEO during Q2 2018</w:t>
      </w:r>
      <w:r>
        <w:rPr>
          <w:rFonts w:ascii="Arial" w:hAnsi="Arial" w:cs="Arial"/>
          <w:sz w:val="20"/>
          <w:szCs w:val="20"/>
        </w:rPr>
        <w:t>.</w:t>
      </w:r>
    </w:p>
    <w:p w14:paraId="10D845DC" w14:textId="77777777" w:rsidR="00726CE5" w:rsidRDefault="004E17E1" w:rsidP="003F6F1A">
      <w:pPr>
        <w:pStyle w:val="ColorfulList-Accent11"/>
        <w:numPr>
          <w:ilvl w:val="0"/>
          <w:numId w:val="38"/>
        </w:numPr>
        <w:spacing w:line="259" w:lineRule="auto"/>
        <w:jc w:val="both"/>
        <w:rPr>
          <w:rFonts w:ascii="Arial" w:hAnsi="Arial" w:cs="Arial"/>
          <w:sz w:val="20"/>
          <w:szCs w:val="20"/>
        </w:rPr>
      </w:pPr>
      <w:r>
        <w:rPr>
          <w:rFonts w:ascii="Arial" w:hAnsi="Arial" w:cs="Arial"/>
          <w:sz w:val="20"/>
          <w:szCs w:val="20"/>
        </w:rPr>
        <w:t>Lower rent expense due to the adoption of IFRS 16 which resulted in a reclassification of rent expense from operating expenses to depreciation expense and interest expense.</w:t>
      </w:r>
    </w:p>
    <w:p w14:paraId="53FCCC95" w14:textId="77777777" w:rsidR="0089453C" w:rsidRPr="009F6DF3" w:rsidRDefault="0089453C" w:rsidP="003F6F1A">
      <w:pPr>
        <w:spacing w:after="0"/>
        <w:jc w:val="both"/>
        <w:rPr>
          <w:rFonts w:ascii="Arial" w:hAnsi="Arial" w:cs="Arial"/>
          <w:sz w:val="20"/>
          <w:szCs w:val="20"/>
        </w:rPr>
      </w:pPr>
    </w:p>
    <w:p w14:paraId="24414ACB" w14:textId="77777777" w:rsidR="00DA65B0" w:rsidRPr="009F6DF3" w:rsidRDefault="00DA65B0" w:rsidP="003F6F1A">
      <w:pPr>
        <w:spacing w:after="0"/>
        <w:jc w:val="both"/>
        <w:rPr>
          <w:rFonts w:ascii="Arial" w:hAnsi="Arial" w:cs="Arial"/>
          <w:sz w:val="20"/>
          <w:szCs w:val="20"/>
          <w:u w:val="single"/>
        </w:rPr>
      </w:pPr>
      <w:r w:rsidRPr="009F6DF3">
        <w:rPr>
          <w:rFonts w:ascii="Arial" w:hAnsi="Arial" w:cs="Arial"/>
          <w:sz w:val="20"/>
          <w:szCs w:val="20"/>
          <w:u w:val="single"/>
        </w:rPr>
        <w:t xml:space="preserve">Legal </w:t>
      </w:r>
      <w:r w:rsidR="00D73518" w:rsidRPr="009F6DF3">
        <w:rPr>
          <w:rFonts w:ascii="Arial" w:hAnsi="Arial" w:cs="Arial"/>
          <w:sz w:val="20"/>
          <w:szCs w:val="20"/>
          <w:u w:val="single"/>
        </w:rPr>
        <w:t xml:space="preserve">and professional fees </w:t>
      </w:r>
    </w:p>
    <w:p w14:paraId="77DF1F57" w14:textId="77777777" w:rsidR="00DA65B0" w:rsidRPr="009F6DF3" w:rsidRDefault="00DA65B0" w:rsidP="003F6F1A">
      <w:pPr>
        <w:spacing w:after="0"/>
        <w:jc w:val="both"/>
        <w:rPr>
          <w:rFonts w:ascii="Arial" w:hAnsi="Arial" w:cs="Arial"/>
          <w:sz w:val="20"/>
          <w:szCs w:val="20"/>
        </w:rPr>
      </w:pPr>
    </w:p>
    <w:p w14:paraId="45C24564" w14:textId="77777777" w:rsidR="00D73518" w:rsidRPr="009F6DF3" w:rsidRDefault="00D73518" w:rsidP="003F6F1A">
      <w:pPr>
        <w:jc w:val="both"/>
        <w:rPr>
          <w:rFonts w:ascii="Arial" w:hAnsi="Arial" w:cs="Arial"/>
          <w:sz w:val="20"/>
          <w:szCs w:val="20"/>
        </w:rPr>
      </w:pPr>
      <w:r w:rsidRPr="009F6DF3">
        <w:rPr>
          <w:rFonts w:ascii="Arial" w:hAnsi="Arial" w:cs="Arial"/>
          <w:sz w:val="20"/>
          <w:szCs w:val="20"/>
        </w:rPr>
        <w:t>Legal and professional fees were $</w:t>
      </w:r>
      <w:r w:rsidR="009F6DF3" w:rsidRPr="009F6DF3">
        <w:rPr>
          <w:rFonts w:ascii="Arial" w:hAnsi="Arial" w:cs="Arial"/>
          <w:sz w:val="20"/>
          <w:szCs w:val="20"/>
        </w:rPr>
        <w:t>320,668</w:t>
      </w:r>
      <w:r w:rsidRPr="009F6DF3">
        <w:rPr>
          <w:rFonts w:ascii="Arial" w:hAnsi="Arial" w:cs="Arial"/>
          <w:sz w:val="20"/>
          <w:szCs w:val="20"/>
        </w:rPr>
        <w:t xml:space="preserve">, compared to </w:t>
      </w:r>
      <w:r w:rsidR="0089453C" w:rsidRPr="009F6DF3">
        <w:rPr>
          <w:rFonts w:ascii="Arial" w:hAnsi="Arial" w:cs="Arial"/>
          <w:sz w:val="20"/>
          <w:szCs w:val="20"/>
        </w:rPr>
        <w:t>$</w:t>
      </w:r>
      <w:r w:rsidR="009F6DF3" w:rsidRPr="009F6DF3">
        <w:rPr>
          <w:rFonts w:ascii="Arial" w:hAnsi="Arial" w:cs="Arial"/>
          <w:sz w:val="20"/>
          <w:szCs w:val="20"/>
        </w:rPr>
        <w:t>285,098</w:t>
      </w:r>
      <w:r w:rsidRPr="009F6DF3">
        <w:rPr>
          <w:rFonts w:ascii="Arial" w:hAnsi="Arial" w:cs="Arial"/>
          <w:sz w:val="20"/>
          <w:szCs w:val="20"/>
        </w:rPr>
        <w:t xml:space="preserve"> during Q</w:t>
      </w:r>
      <w:r w:rsidR="009F6DF3" w:rsidRPr="009F6DF3">
        <w:rPr>
          <w:rFonts w:ascii="Arial" w:hAnsi="Arial" w:cs="Arial"/>
          <w:sz w:val="20"/>
          <w:szCs w:val="20"/>
        </w:rPr>
        <w:t>2</w:t>
      </w:r>
      <w:r w:rsidRPr="009F6DF3">
        <w:rPr>
          <w:rFonts w:ascii="Arial" w:hAnsi="Arial" w:cs="Arial"/>
          <w:sz w:val="20"/>
          <w:szCs w:val="20"/>
        </w:rPr>
        <w:t xml:space="preserve"> 201</w:t>
      </w:r>
      <w:r w:rsidR="008F357A" w:rsidRPr="009F6DF3">
        <w:rPr>
          <w:rFonts w:ascii="Arial" w:hAnsi="Arial" w:cs="Arial"/>
          <w:sz w:val="20"/>
          <w:szCs w:val="20"/>
        </w:rPr>
        <w:t>8</w:t>
      </w:r>
      <w:r w:rsidRPr="009F6DF3">
        <w:rPr>
          <w:rFonts w:ascii="Arial" w:hAnsi="Arial" w:cs="Arial"/>
          <w:sz w:val="20"/>
          <w:szCs w:val="20"/>
        </w:rPr>
        <w:t>. The Company expects professional service fees to drop markedly over time as many are related to successful prior litigation or “one time” events such as the fees associated with the RTO</w:t>
      </w:r>
      <w:r w:rsidR="00AC703E" w:rsidRPr="009F6DF3">
        <w:rPr>
          <w:rFonts w:ascii="Arial" w:hAnsi="Arial" w:cs="Arial"/>
          <w:sz w:val="20"/>
          <w:szCs w:val="20"/>
        </w:rPr>
        <w:t xml:space="preserve"> </w:t>
      </w:r>
      <w:bookmarkStart w:id="4" w:name="_Hlk8667432"/>
      <w:r w:rsidR="00AC703E" w:rsidRPr="009F6DF3">
        <w:rPr>
          <w:rFonts w:ascii="Arial" w:hAnsi="Arial" w:cs="Arial"/>
          <w:sz w:val="20"/>
          <w:szCs w:val="20"/>
        </w:rPr>
        <w:t>that completed in April 2018</w:t>
      </w:r>
      <w:bookmarkEnd w:id="4"/>
      <w:r w:rsidRPr="009F6DF3">
        <w:rPr>
          <w:rFonts w:ascii="Arial" w:hAnsi="Arial" w:cs="Arial"/>
          <w:sz w:val="20"/>
          <w:szCs w:val="20"/>
        </w:rPr>
        <w:t xml:space="preserve">. </w:t>
      </w:r>
    </w:p>
    <w:p w14:paraId="48ECDFAD" w14:textId="77777777" w:rsidR="00770FCE" w:rsidRPr="009F6DF3" w:rsidRDefault="00770FCE" w:rsidP="003F6F1A">
      <w:pPr>
        <w:spacing w:after="0"/>
        <w:jc w:val="both"/>
        <w:rPr>
          <w:rFonts w:ascii="Arial" w:hAnsi="Arial" w:cs="Arial"/>
          <w:sz w:val="20"/>
          <w:szCs w:val="20"/>
          <w:u w:val="single"/>
        </w:rPr>
      </w:pPr>
      <w:r w:rsidRPr="009F6DF3">
        <w:rPr>
          <w:rFonts w:ascii="Arial" w:hAnsi="Arial" w:cs="Arial"/>
          <w:sz w:val="20"/>
          <w:szCs w:val="20"/>
          <w:u w:val="single"/>
        </w:rPr>
        <w:t>Depreciation expense</w:t>
      </w:r>
    </w:p>
    <w:p w14:paraId="424DBB3A" w14:textId="77777777" w:rsidR="00770FCE" w:rsidRPr="009F6DF3" w:rsidRDefault="00770FCE" w:rsidP="003F6F1A">
      <w:pPr>
        <w:spacing w:after="0"/>
        <w:jc w:val="both"/>
        <w:rPr>
          <w:rFonts w:ascii="Arial" w:hAnsi="Arial" w:cs="Arial"/>
          <w:sz w:val="20"/>
          <w:szCs w:val="20"/>
        </w:rPr>
      </w:pPr>
    </w:p>
    <w:p w14:paraId="3B146F92" w14:textId="77777777" w:rsidR="00770FCE" w:rsidRPr="00B150DF" w:rsidRDefault="00770FCE" w:rsidP="003F6F1A">
      <w:pPr>
        <w:spacing w:after="0"/>
        <w:jc w:val="both"/>
        <w:rPr>
          <w:rFonts w:ascii="Arial" w:hAnsi="Arial" w:cs="Arial"/>
          <w:sz w:val="20"/>
          <w:szCs w:val="20"/>
        </w:rPr>
      </w:pPr>
      <w:r w:rsidRPr="009F6DF3">
        <w:rPr>
          <w:rFonts w:ascii="Arial" w:hAnsi="Arial" w:cs="Arial"/>
          <w:sz w:val="20"/>
          <w:szCs w:val="20"/>
        </w:rPr>
        <w:t>Depreciation and amortization expense was $</w:t>
      </w:r>
      <w:r w:rsidR="00BD1255">
        <w:rPr>
          <w:rFonts w:ascii="Arial" w:hAnsi="Arial" w:cs="Arial"/>
          <w:sz w:val="20"/>
          <w:szCs w:val="20"/>
        </w:rPr>
        <w:t>7</w:t>
      </w:r>
      <w:r w:rsidR="00D3689F">
        <w:rPr>
          <w:rFonts w:ascii="Arial" w:hAnsi="Arial" w:cs="Arial"/>
          <w:sz w:val="20"/>
          <w:szCs w:val="20"/>
        </w:rPr>
        <w:t>2,268</w:t>
      </w:r>
      <w:r w:rsidRPr="009F6DF3">
        <w:rPr>
          <w:rFonts w:ascii="Arial" w:hAnsi="Arial" w:cs="Arial"/>
          <w:sz w:val="20"/>
          <w:szCs w:val="20"/>
        </w:rPr>
        <w:t>, compared to $</w:t>
      </w:r>
      <w:r w:rsidR="009F6DF3" w:rsidRPr="009F6DF3">
        <w:rPr>
          <w:rFonts w:ascii="Arial" w:hAnsi="Arial" w:cs="Arial"/>
          <w:sz w:val="20"/>
          <w:szCs w:val="20"/>
        </w:rPr>
        <w:t>8,633</w:t>
      </w:r>
      <w:r w:rsidRPr="009F6DF3">
        <w:rPr>
          <w:rFonts w:ascii="Arial" w:hAnsi="Arial" w:cs="Arial"/>
          <w:sz w:val="20"/>
          <w:szCs w:val="20"/>
        </w:rPr>
        <w:t xml:space="preserve"> during Q</w:t>
      </w:r>
      <w:r w:rsidR="009F6DF3" w:rsidRPr="009F6DF3">
        <w:rPr>
          <w:rFonts w:ascii="Arial" w:hAnsi="Arial" w:cs="Arial"/>
          <w:sz w:val="20"/>
          <w:szCs w:val="20"/>
        </w:rPr>
        <w:t xml:space="preserve">2 </w:t>
      </w:r>
      <w:r w:rsidRPr="009F6DF3">
        <w:rPr>
          <w:rFonts w:ascii="Arial" w:hAnsi="Arial" w:cs="Arial"/>
          <w:sz w:val="20"/>
          <w:szCs w:val="20"/>
        </w:rPr>
        <w:t xml:space="preserve">2018. The increase </w:t>
      </w:r>
      <w:r w:rsidRPr="00B150DF">
        <w:rPr>
          <w:rFonts w:ascii="Arial" w:hAnsi="Arial" w:cs="Arial"/>
          <w:sz w:val="20"/>
          <w:szCs w:val="20"/>
        </w:rPr>
        <w:t>relates primarily to the depreciation on the right-of-use asset resulting from the adoption of IFRS 16</w:t>
      </w:r>
      <w:r w:rsidR="00AB647D" w:rsidRPr="00AB647D">
        <w:rPr>
          <w:rFonts w:ascii="Arial" w:hAnsi="Arial" w:cs="Arial"/>
          <w:sz w:val="20"/>
          <w:szCs w:val="20"/>
        </w:rPr>
        <w:t xml:space="preserve"> </w:t>
      </w:r>
      <w:r w:rsidR="00AB647D">
        <w:rPr>
          <w:rFonts w:ascii="Arial" w:hAnsi="Arial" w:cs="Arial"/>
          <w:sz w:val="20"/>
          <w:szCs w:val="20"/>
        </w:rPr>
        <w:t>effective January 1, 2019</w:t>
      </w:r>
      <w:r w:rsidRPr="00B150DF">
        <w:rPr>
          <w:rFonts w:ascii="Arial" w:hAnsi="Arial" w:cs="Arial"/>
          <w:sz w:val="20"/>
          <w:szCs w:val="20"/>
        </w:rPr>
        <w:t>.</w:t>
      </w:r>
    </w:p>
    <w:p w14:paraId="1A09032A" w14:textId="77777777" w:rsidR="00770FCE" w:rsidRPr="00B150DF" w:rsidRDefault="00770FCE" w:rsidP="003F6F1A">
      <w:pPr>
        <w:spacing w:after="0"/>
        <w:rPr>
          <w:rFonts w:ascii="Arial" w:hAnsi="Arial" w:cs="Arial"/>
          <w:sz w:val="20"/>
          <w:szCs w:val="20"/>
        </w:rPr>
      </w:pPr>
    </w:p>
    <w:p w14:paraId="66CB34E7" w14:textId="77777777" w:rsidR="001D13DE" w:rsidRPr="00B150DF" w:rsidRDefault="005D35C2" w:rsidP="003F6F1A">
      <w:pPr>
        <w:spacing w:after="0"/>
        <w:jc w:val="both"/>
        <w:rPr>
          <w:rFonts w:ascii="Arial" w:hAnsi="Arial" w:cs="Arial"/>
          <w:sz w:val="20"/>
          <w:szCs w:val="20"/>
          <w:u w:val="single"/>
        </w:rPr>
      </w:pPr>
      <w:r w:rsidRPr="00B150DF">
        <w:rPr>
          <w:rFonts w:ascii="Arial" w:hAnsi="Arial" w:cs="Arial"/>
          <w:sz w:val="20"/>
          <w:szCs w:val="20"/>
          <w:u w:val="single"/>
        </w:rPr>
        <w:t>Share-based</w:t>
      </w:r>
      <w:r w:rsidR="001D13DE" w:rsidRPr="00B150DF">
        <w:rPr>
          <w:rFonts w:ascii="Arial" w:hAnsi="Arial" w:cs="Arial"/>
          <w:sz w:val="20"/>
          <w:szCs w:val="20"/>
          <w:u w:val="single"/>
        </w:rPr>
        <w:t xml:space="preserve"> payments</w:t>
      </w:r>
    </w:p>
    <w:p w14:paraId="1CB9692C" w14:textId="77777777" w:rsidR="001D13DE" w:rsidRPr="00B150DF" w:rsidRDefault="001D13DE" w:rsidP="003F6F1A">
      <w:pPr>
        <w:spacing w:after="0"/>
        <w:jc w:val="both"/>
        <w:rPr>
          <w:rFonts w:ascii="Arial" w:hAnsi="Arial" w:cs="Arial"/>
          <w:sz w:val="20"/>
          <w:szCs w:val="20"/>
        </w:rPr>
      </w:pPr>
    </w:p>
    <w:p w14:paraId="10047C01" w14:textId="77777777" w:rsidR="001D13DE" w:rsidRPr="00B150DF" w:rsidRDefault="005D35C2" w:rsidP="003F6F1A">
      <w:pPr>
        <w:spacing w:after="0"/>
        <w:jc w:val="both"/>
        <w:rPr>
          <w:rFonts w:ascii="Arial" w:hAnsi="Arial" w:cs="Arial"/>
          <w:sz w:val="20"/>
          <w:szCs w:val="20"/>
        </w:rPr>
      </w:pPr>
      <w:r w:rsidRPr="00B150DF">
        <w:rPr>
          <w:rFonts w:ascii="Arial" w:hAnsi="Arial" w:cs="Arial"/>
          <w:sz w:val="20"/>
          <w:szCs w:val="20"/>
        </w:rPr>
        <w:t>Share-based</w:t>
      </w:r>
      <w:r w:rsidR="001D13DE" w:rsidRPr="00B150DF">
        <w:rPr>
          <w:rFonts w:ascii="Arial" w:hAnsi="Arial" w:cs="Arial"/>
          <w:sz w:val="20"/>
          <w:szCs w:val="20"/>
        </w:rPr>
        <w:t xml:space="preserve"> payments expense was</w:t>
      </w:r>
      <w:r w:rsidR="00A604EC" w:rsidRPr="00B150DF">
        <w:rPr>
          <w:rFonts w:ascii="Arial" w:hAnsi="Arial" w:cs="Arial"/>
          <w:sz w:val="20"/>
          <w:szCs w:val="20"/>
        </w:rPr>
        <w:t xml:space="preserve"> </w:t>
      </w:r>
      <w:r w:rsidR="001D13DE" w:rsidRPr="00B150DF">
        <w:rPr>
          <w:rFonts w:ascii="Arial" w:hAnsi="Arial" w:cs="Arial"/>
          <w:sz w:val="20"/>
          <w:szCs w:val="20"/>
        </w:rPr>
        <w:t>$</w:t>
      </w:r>
      <w:r w:rsidR="00B150DF" w:rsidRPr="00B150DF">
        <w:rPr>
          <w:rFonts w:ascii="Arial" w:hAnsi="Arial" w:cs="Arial"/>
          <w:sz w:val="20"/>
          <w:szCs w:val="20"/>
        </w:rPr>
        <w:t>457,160</w:t>
      </w:r>
      <w:r w:rsidR="001D13DE" w:rsidRPr="00B150DF">
        <w:rPr>
          <w:rFonts w:ascii="Arial" w:hAnsi="Arial" w:cs="Arial"/>
          <w:sz w:val="20"/>
          <w:szCs w:val="20"/>
        </w:rPr>
        <w:t>, compared to $</w:t>
      </w:r>
      <w:r w:rsidR="00BD2307">
        <w:rPr>
          <w:rFonts w:ascii="Arial" w:hAnsi="Arial" w:cs="Arial"/>
          <w:sz w:val="20"/>
          <w:szCs w:val="20"/>
        </w:rPr>
        <w:t>892,417</w:t>
      </w:r>
      <w:r w:rsidR="001D13DE" w:rsidRPr="00B150DF">
        <w:rPr>
          <w:rFonts w:ascii="Arial" w:hAnsi="Arial" w:cs="Arial"/>
          <w:sz w:val="20"/>
          <w:szCs w:val="20"/>
        </w:rPr>
        <w:t xml:space="preserve"> during Q</w:t>
      </w:r>
      <w:r w:rsidR="00B150DF" w:rsidRPr="00B150DF">
        <w:rPr>
          <w:rFonts w:ascii="Arial" w:hAnsi="Arial" w:cs="Arial"/>
          <w:sz w:val="20"/>
          <w:szCs w:val="20"/>
        </w:rPr>
        <w:t>2</w:t>
      </w:r>
      <w:r w:rsidR="001D13DE" w:rsidRPr="00B150DF">
        <w:rPr>
          <w:rFonts w:ascii="Arial" w:hAnsi="Arial" w:cs="Arial"/>
          <w:sz w:val="20"/>
          <w:szCs w:val="20"/>
        </w:rPr>
        <w:t xml:space="preserve"> 201</w:t>
      </w:r>
      <w:r w:rsidR="008F357A" w:rsidRPr="00B150DF">
        <w:rPr>
          <w:rFonts w:ascii="Arial" w:hAnsi="Arial" w:cs="Arial"/>
          <w:sz w:val="20"/>
          <w:szCs w:val="20"/>
        </w:rPr>
        <w:t>8</w:t>
      </w:r>
      <w:r w:rsidR="001D13DE" w:rsidRPr="00B150DF">
        <w:rPr>
          <w:rFonts w:ascii="Arial" w:hAnsi="Arial" w:cs="Arial"/>
          <w:sz w:val="20"/>
          <w:szCs w:val="20"/>
        </w:rPr>
        <w:t>.</w:t>
      </w:r>
      <w:r w:rsidR="00A604EC" w:rsidRPr="00B150DF">
        <w:rPr>
          <w:rFonts w:ascii="Arial" w:hAnsi="Arial" w:cs="Arial"/>
          <w:sz w:val="20"/>
          <w:szCs w:val="20"/>
        </w:rPr>
        <w:t xml:space="preserve"> </w:t>
      </w:r>
      <w:r w:rsidR="001D13DE" w:rsidRPr="00B150DF">
        <w:rPr>
          <w:rFonts w:ascii="Arial" w:hAnsi="Arial" w:cs="Arial"/>
          <w:sz w:val="20"/>
          <w:szCs w:val="20"/>
        </w:rPr>
        <w:t xml:space="preserve">The </w:t>
      </w:r>
      <w:r w:rsidRPr="00B150DF">
        <w:rPr>
          <w:rFonts w:ascii="Arial" w:hAnsi="Arial" w:cs="Arial"/>
          <w:sz w:val="20"/>
          <w:szCs w:val="20"/>
        </w:rPr>
        <w:t>share-based</w:t>
      </w:r>
      <w:r w:rsidR="001D13DE" w:rsidRPr="00B150DF">
        <w:rPr>
          <w:rFonts w:ascii="Arial" w:hAnsi="Arial" w:cs="Arial"/>
          <w:sz w:val="20"/>
          <w:szCs w:val="20"/>
        </w:rPr>
        <w:t xml:space="preserve"> payments expense </w:t>
      </w:r>
      <w:r w:rsidR="009C53F7" w:rsidRPr="00B150DF">
        <w:rPr>
          <w:rFonts w:ascii="Arial" w:hAnsi="Arial" w:cs="Arial"/>
          <w:sz w:val="20"/>
          <w:szCs w:val="20"/>
        </w:rPr>
        <w:t>is</w:t>
      </w:r>
      <w:r w:rsidR="001D13DE" w:rsidRPr="00B150DF">
        <w:rPr>
          <w:rFonts w:ascii="Arial" w:hAnsi="Arial" w:cs="Arial"/>
          <w:sz w:val="20"/>
          <w:szCs w:val="20"/>
        </w:rPr>
        <w:t xml:space="preserve"> the fair value of share options recognized as an expense during the </w:t>
      </w:r>
      <w:r w:rsidR="003C5740" w:rsidRPr="00B150DF">
        <w:rPr>
          <w:rFonts w:ascii="Arial" w:hAnsi="Arial" w:cs="Arial"/>
          <w:sz w:val="20"/>
          <w:szCs w:val="20"/>
        </w:rPr>
        <w:t xml:space="preserve">quarter </w:t>
      </w:r>
      <w:r w:rsidR="001D13DE" w:rsidRPr="00B150DF">
        <w:rPr>
          <w:rFonts w:ascii="Arial" w:hAnsi="Arial" w:cs="Arial"/>
          <w:sz w:val="20"/>
          <w:szCs w:val="20"/>
        </w:rPr>
        <w:t>based on the fair valued determined</w:t>
      </w:r>
      <w:r w:rsidR="009C53F7" w:rsidRPr="00B150DF">
        <w:rPr>
          <w:rFonts w:ascii="Arial" w:hAnsi="Arial" w:cs="Arial"/>
          <w:sz w:val="20"/>
          <w:szCs w:val="20"/>
        </w:rPr>
        <w:t xml:space="preserve"> by</w:t>
      </w:r>
      <w:r w:rsidR="001D13DE" w:rsidRPr="00B150DF">
        <w:rPr>
          <w:rFonts w:ascii="Arial" w:hAnsi="Arial" w:cs="Arial"/>
          <w:sz w:val="20"/>
          <w:szCs w:val="20"/>
        </w:rPr>
        <w:t xml:space="preserve"> the Black Scholes option pricing model valuation.</w:t>
      </w:r>
    </w:p>
    <w:p w14:paraId="1715DCA0" w14:textId="77777777" w:rsidR="00DA65B0" w:rsidRDefault="00DA65B0" w:rsidP="003F6F1A">
      <w:pPr>
        <w:spacing w:after="0"/>
        <w:jc w:val="both"/>
        <w:rPr>
          <w:rFonts w:ascii="Arial" w:hAnsi="Arial" w:cs="Arial"/>
          <w:sz w:val="20"/>
          <w:szCs w:val="20"/>
        </w:rPr>
      </w:pPr>
    </w:p>
    <w:p w14:paraId="3CBDAAAF" w14:textId="0818FE38" w:rsidR="00B150DF" w:rsidRDefault="00B150DF" w:rsidP="003F6F1A">
      <w:pPr>
        <w:spacing w:after="0"/>
        <w:jc w:val="both"/>
        <w:rPr>
          <w:rFonts w:ascii="Arial" w:hAnsi="Arial" w:cs="Arial"/>
          <w:sz w:val="20"/>
          <w:szCs w:val="20"/>
          <w:u w:val="single"/>
        </w:rPr>
      </w:pPr>
      <w:r w:rsidRPr="00B150DF">
        <w:rPr>
          <w:rFonts w:ascii="Arial" w:hAnsi="Arial" w:cs="Arial"/>
          <w:sz w:val="20"/>
          <w:szCs w:val="20"/>
          <w:u w:val="single"/>
        </w:rPr>
        <w:t xml:space="preserve">Listing </w:t>
      </w:r>
      <w:r w:rsidR="00513D8E">
        <w:rPr>
          <w:rFonts w:ascii="Arial" w:hAnsi="Arial" w:cs="Arial"/>
          <w:sz w:val="20"/>
          <w:szCs w:val="20"/>
          <w:u w:val="single"/>
        </w:rPr>
        <w:t>f</w:t>
      </w:r>
      <w:r w:rsidRPr="00B150DF">
        <w:rPr>
          <w:rFonts w:ascii="Arial" w:hAnsi="Arial" w:cs="Arial"/>
          <w:sz w:val="20"/>
          <w:szCs w:val="20"/>
          <w:u w:val="single"/>
        </w:rPr>
        <w:t>ee</w:t>
      </w:r>
    </w:p>
    <w:p w14:paraId="5349DD21" w14:textId="77777777" w:rsidR="00A86E9F" w:rsidRPr="00B150DF" w:rsidRDefault="00A86E9F" w:rsidP="003F6F1A">
      <w:pPr>
        <w:spacing w:after="0"/>
        <w:jc w:val="both"/>
        <w:rPr>
          <w:rFonts w:ascii="Arial" w:hAnsi="Arial" w:cs="Arial"/>
          <w:sz w:val="20"/>
          <w:szCs w:val="20"/>
          <w:u w:val="single"/>
        </w:rPr>
      </w:pPr>
    </w:p>
    <w:p w14:paraId="53B527DC" w14:textId="77777777" w:rsidR="00B150DF" w:rsidRDefault="00B150DF" w:rsidP="003F6F1A">
      <w:pPr>
        <w:spacing w:after="0"/>
        <w:jc w:val="both"/>
        <w:rPr>
          <w:rFonts w:ascii="Arial" w:hAnsi="Arial" w:cs="Arial"/>
          <w:sz w:val="20"/>
          <w:szCs w:val="20"/>
        </w:rPr>
      </w:pPr>
      <w:r w:rsidRPr="00F7428E">
        <w:rPr>
          <w:rFonts w:ascii="Arial" w:hAnsi="Arial" w:cs="Arial"/>
          <w:sz w:val="20"/>
          <w:szCs w:val="20"/>
        </w:rPr>
        <w:t>Listing</w:t>
      </w:r>
      <w:r>
        <w:rPr>
          <w:rFonts w:ascii="Arial" w:hAnsi="Arial" w:cs="Arial"/>
          <w:sz w:val="20"/>
          <w:szCs w:val="20"/>
        </w:rPr>
        <w:t xml:space="preserve"> fee expense was $nil, compared to $1,143,660 during Q2 2018, in connection with the Company’s </w:t>
      </w:r>
      <w:r w:rsidRPr="00F7428E">
        <w:rPr>
          <w:rFonts w:ascii="Arial" w:hAnsi="Arial" w:cs="Arial"/>
          <w:sz w:val="20"/>
          <w:szCs w:val="20"/>
        </w:rPr>
        <w:t xml:space="preserve">acquisition with </w:t>
      </w:r>
      <w:proofErr w:type="spellStart"/>
      <w:r w:rsidRPr="00F7428E">
        <w:rPr>
          <w:rFonts w:ascii="Arial" w:hAnsi="Arial" w:cs="Arial"/>
          <w:sz w:val="20"/>
          <w:szCs w:val="20"/>
        </w:rPr>
        <w:t>Adira</w:t>
      </w:r>
      <w:proofErr w:type="spellEnd"/>
      <w:r>
        <w:rPr>
          <w:rFonts w:ascii="Arial" w:hAnsi="Arial" w:cs="Arial"/>
          <w:sz w:val="20"/>
          <w:szCs w:val="20"/>
        </w:rPr>
        <w:t xml:space="preserve"> Energy Ltd., which did not result in any charges during the current period.</w:t>
      </w:r>
    </w:p>
    <w:p w14:paraId="67C6F9D6" w14:textId="77777777" w:rsidR="00B150DF" w:rsidRPr="00B150DF" w:rsidRDefault="00B150DF" w:rsidP="003F6F1A">
      <w:pPr>
        <w:spacing w:after="0"/>
        <w:jc w:val="both"/>
        <w:rPr>
          <w:rFonts w:ascii="Arial" w:hAnsi="Arial" w:cs="Arial"/>
          <w:sz w:val="20"/>
          <w:szCs w:val="20"/>
        </w:rPr>
      </w:pPr>
    </w:p>
    <w:p w14:paraId="576B7B8E" w14:textId="77777777" w:rsidR="00DA65B0" w:rsidRPr="00B150DF" w:rsidRDefault="00DA65B0" w:rsidP="003F6F1A">
      <w:pPr>
        <w:spacing w:after="0"/>
        <w:jc w:val="both"/>
        <w:rPr>
          <w:rFonts w:ascii="Arial" w:hAnsi="Arial" w:cs="Arial"/>
          <w:sz w:val="20"/>
          <w:szCs w:val="20"/>
          <w:u w:val="single"/>
        </w:rPr>
      </w:pPr>
      <w:r w:rsidRPr="00B150DF">
        <w:rPr>
          <w:rFonts w:ascii="Arial" w:hAnsi="Arial" w:cs="Arial"/>
          <w:sz w:val="20"/>
          <w:szCs w:val="20"/>
          <w:u w:val="single"/>
        </w:rPr>
        <w:t>Accretion expense</w:t>
      </w:r>
    </w:p>
    <w:p w14:paraId="516FD73E" w14:textId="77777777" w:rsidR="00DA65B0" w:rsidRPr="00B150DF" w:rsidRDefault="00DA65B0" w:rsidP="003F6F1A">
      <w:pPr>
        <w:spacing w:after="0"/>
        <w:jc w:val="both"/>
        <w:rPr>
          <w:rFonts w:ascii="Arial" w:hAnsi="Arial" w:cs="Arial"/>
          <w:sz w:val="20"/>
          <w:szCs w:val="20"/>
        </w:rPr>
      </w:pPr>
    </w:p>
    <w:p w14:paraId="4AA14B80" w14:textId="3A17BBD3" w:rsidR="00DA65B0" w:rsidRPr="00B150DF" w:rsidRDefault="00186033" w:rsidP="003F6F1A">
      <w:pPr>
        <w:spacing w:after="0"/>
        <w:jc w:val="both"/>
        <w:rPr>
          <w:rFonts w:ascii="Arial" w:hAnsi="Arial" w:cs="Arial"/>
          <w:sz w:val="20"/>
          <w:szCs w:val="20"/>
        </w:rPr>
      </w:pPr>
      <w:r w:rsidRPr="00B150DF">
        <w:rPr>
          <w:rFonts w:ascii="Arial" w:hAnsi="Arial" w:cs="Arial"/>
          <w:sz w:val="20"/>
          <w:szCs w:val="20"/>
        </w:rPr>
        <w:t>Accretion expense was $</w:t>
      </w:r>
      <w:r w:rsidR="00B150DF" w:rsidRPr="00B150DF">
        <w:rPr>
          <w:rFonts w:ascii="Arial" w:hAnsi="Arial" w:cs="Arial"/>
          <w:sz w:val="20"/>
          <w:szCs w:val="20"/>
        </w:rPr>
        <w:t>85,685</w:t>
      </w:r>
      <w:r w:rsidR="000A24FE">
        <w:rPr>
          <w:rFonts w:ascii="Arial" w:hAnsi="Arial" w:cs="Arial"/>
          <w:sz w:val="20"/>
          <w:szCs w:val="20"/>
        </w:rPr>
        <w:t>,</w:t>
      </w:r>
      <w:r w:rsidRPr="00B150DF">
        <w:rPr>
          <w:rFonts w:ascii="Arial" w:hAnsi="Arial" w:cs="Arial"/>
          <w:sz w:val="20"/>
          <w:szCs w:val="20"/>
        </w:rPr>
        <w:t xml:space="preserve"> compared to </w:t>
      </w:r>
      <w:r w:rsidR="0089453C" w:rsidRPr="00B150DF">
        <w:rPr>
          <w:rFonts w:ascii="Arial" w:hAnsi="Arial" w:cs="Arial"/>
          <w:sz w:val="20"/>
          <w:szCs w:val="20"/>
        </w:rPr>
        <w:t>$</w:t>
      </w:r>
      <w:r w:rsidR="00B150DF" w:rsidRPr="00B150DF">
        <w:rPr>
          <w:rFonts w:ascii="Arial" w:hAnsi="Arial" w:cs="Arial"/>
          <w:sz w:val="20"/>
          <w:szCs w:val="20"/>
        </w:rPr>
        <w:t>28,480</w:t>
      </w:r>
      <w:r w:rsidRPr="00B150DF">
        <w:rPr>
          <w:rFonts w:ascii="Arial" w:hAnsi="Arial" w:cs="Arial"/>
          <w:sz w:val="20"/>
          <w:szCs w:val="20"/>
        </w:rPr>
        <w:t xml:space="preserve"> during Q</w:t>
      </w:r>
      <w:r w:rsidR="00B150DF" w:rsidRPr="00B150DF">
        <w:rPr>
          <w:rFonts w:ascii="Arial" w:hAnsi="Arial" w:cs="Arial"/>
          <w:sz w:val="20"/>
          <w:szCs w:val="20"/>
        </w:rPr>
        <w:t>2</w:t>
      </w:r>
      <w:r w:rsidRPr="00B150DF">
        <w:rPr>
          <w:rFonts w:ascii="Arial" w:hAnsi="Arial" w:cs="Arial"/>
          <w:sz w:val="20"/>
          <w:szCs w:val="20"/>
        </w:rPr>
        <w:t xml:space="preserve"> 201</w:t>
      </w:r>
      <w:r w:rsidR="003C5740" w:rsidRPr="00B150DF">
        <w:rPr>
          <w:rFonts w:ascii="Arial" w:hAnsi="Arial" w:cs="Arial"/>
          <w:sz w:val="20"/>
          <w:szCs w:val="20"/>
        </w:rPr>
        <w:t>8</w:t>
      </w:r>
      <w:r w:rsidRPr="00B150DF">
        <w:rPr>
          <w:rFonts w:ascii="Arial" w:hAnsi="Arial" w:cs="Arial"/>
          <w:sz w:val="20"/>
          <w:szCs w:val="20"/>
        </w:rPr>
        <w:t xml:space="preserve">, in connection with </w:t>
      </w:r>
      <w:r w:rsidR="00A604EC" w:rsidRPr="00B150DF">
        <w:rPr>
          <w:rFonts w:ascii="Arial" w:hAnsi="Arial" w:cs="Arial"/>
          <w:sz w:val="20"/>
          <w:szCs w:val="20"/>
        </w:rPr>
        <w:t xml:space="preserve">the Company’s </w:t>
      </w:r>
      <w:r w:rsidRPr="00B150DF">
        <w:rPr>
          <w:rFonts w:ascii="Arial" w:hAnsi="Arial" w:cs="Arial"/>
          <w:sz w:val="20"/>
          <w:szCs w:val="20"/>
        </w:rPr>
        <w:t xml:space="preserve">convertible </w:t>
      </w:r>
      <w:r w:rsidR="000A24FE">
        <w:rPr>
          <w:rFonts w:ascii="Arial" w:hAnsi="Arial" w:cs="Arial"/>
          <w:sz w:val="20"/>
          <w:szCs w:val="20"/>
        </w:rPr>
        <w:t>debentures</w:t>
      </w:r>
      <w:r w:rsidR="009C53F7" w:rsidRPr="00B150DF">
        <w:rPr>
          <w:rFonts w:ascii="Arial" w:hAnsi="Arial" w:cs="Arial"/>
          <w:sz w:val="20"/>
          <w:szCs w:val="20"/>
        </w:rPr>
        <w:t>.</w:t>
      </w:r>
      <w:r w:rsidR="00CF76E9" w:rsidRPr="00B150DF">
        <w:rPr>
          <w:rFonts w:ascii="Arial" w:hAnsi="Arial" w:cs="Arial"/>
          <w:sz w:val="20"/>
          <w:szCs w:val="20"/>
        </w:rPr>
        <w:t xml:space="preserve"> The </w:t>
      </w:r>
      <w:r w:rsidR="00A86E9F">
        <w:rPr>
          <w:rFonts w:ascii="Arial" w:hAnsi="Arial" w:cs="Arial"/>
          <w:sz w:val="20"/>
          <w:szCs w:val="20"/>
        </w:rPr>
        <w:t>in</w:t>
      </w:r>
      <w:r w:rsidR="00CF76E9" w:rsidRPr="00B150DF">
        <w:rPr>
          <w:rFonts w:ascii="Arial" w:hAnsi="Arial" w:cs="Arial"/>
          <w:sz w:val="20"/>
          <w:szCs w:val="20"/>
        </w:rPr>
        <w:t xml:space="preserve">crease is due to the </w:t>
      </w:r>
      <w:r w:rsidR="00B150DF" w:rsidRPr="00B150DF">
        <w:rPr>
          <w:rFonts w:ascii="Arial" w:hAnsi="Arial" w:cs="Arial"/>
          <w:sz w:val="20"/>
          <w:szCs w:val="20"/>
        </w:rPr>
        <w:t>issuance of convertible debentures during April and May 2019</w:t>
      </w:r>
      <w:r w:rsidR="00CF76E9" w:rsidRPr="00B150DF">
        <w:rPr>
          <w:rFonts w:ascii="Arial" w:hAnsi="Arial" w:cs="Arial"/>
          <w:sz w:val="20"/>
          <w:szCs w:val="20"/>
        </w:rPr>
        <w:t xml:space="preserve">, thereby leading to </w:t>
      </w:r>
      <w:r w:rsidR="00B150DF" w:rsidRPr="00B150DF">
        <w:rPr>
          <w:rFonts w:ascii="Arial" w:hAnsi="Arial" w:cs="Arial"/>
          <w:sz w:val="20"/>
          <w:szCs w:val="20"/>
        </w:rPr>
        <w:t>higher</w:t>
      </w:r>
      <w:r w:rsidR="00CF76E9" w:rsidRPr="00B150DF">
        <w:rPr>
          <w:rFonts w:ascii="Arial" w:hAnsi="Arial" w:cs="Arial"/>
          <w:sz w:val="20"/>
          <w:szCs w:val="20"/>
        </w:rPr>
        <w:t xml:space="preserve"> accretion in Q</w:t>
      </w:r>
      <w:r w:rsidR="00B150DF" w:rsidRPr="00B150DF">
        <w:rPr>
          <w:rFonts w:ascii="Arial" w:hAnsi="Arial" w:cs="Arial"/>
          <w:sz w:val="20"/>
          <w:szCs w:val="20"/>
        </w:rPr>
        <w:t xml:space="preserve">2 </w:t>
      </w:r>
      <w:r w:rsidR="00CF76E9" w:rsidRPr="00B150DF">
        <w:rPr>
          <w:rFonts w:ascii="Arial" w:hAnsi="Arial" w:cs="Arial"/>
          <w:sz w:val="20"/>
          <w:szCs w:val="20"/>
        </w:rPr>
        <w:t>201</w:t>
      </w:r>
      <w:r w:rsidR="00770FCE" w:rsidRPr="00B150DF">
        <w:rPr>
          <w:rFonts w:ascii="Arial" w:hAnsi="Arial" w:cs="Arial"/>
          <w:sz w:val="20"/>
          <w:szCs w:val="20"/>
        </w:rPr>
        <w:t>9</w:t>
      </w:r>
      <w:r w:rsidR="00CF76E9" w:rsidRPr="00B150DF">
        <w:rPr>
          <w:rFonts w:ascii="Arial" w:hAnsi="Arial" w:cs="Arial"/>
          <w:sz w:val="20"/>
          <w:szCs w:val="20"/>
        </w:rPr>
        <w:t>.</w:t>
      </w:r>
    </w:p>
    <w:p w14:paraId="28DA4F82" w14:textId="77777777" w:rsidR="00DA65B0" w:rsidRDefault="00DA65B0" w:rsidP="003F6F1A">
      <w:pPr>
        <w:spacing w:after="0"/>
        <w:jc w:val="both"/>
        <w:rPr>
          <w:rFonts w:ascii="Arial" w:hAnsi="Arial" w:cs="Arial"/>
          <w:sz w:val="20"/>
          <w:szCs w:val="20"/>
        </w:rPr>
      </w:pPr>
    </w:p>
    <w:p w14:paraId="5A28F82E" w14:textId="77777777" w:rsidR="00B150DF" w:rsidRPr="00B150DF" w:rsidRDefault="00B150DF" w:rsidP="003F6F1A">
      <w:pPr>
        <w:spacing w:after="0"/>
        <w:jc w:val="both"/>
        <w:rPr>
          <w:rFonts w:ascii="Arial" w:hAnsi="Arial" w:cs="Arial"/>
          <w:sz w:val="20"/>
          <w:szCs w:val="20"/>
          <w:u w:val="single"/>
        </w:rPr>
      </w:pPr>
      <w:r w:rsidRPr="00B150DF">
        <w:rPr>
          <w:rFonts w:ascii="Arial" w:hAnsi="Arial" w:cs="Arial"/>
          <w:sz w:val="20"/>
          <w:szCs w:val="20"/>
          <w:u w:val="single"/>
        </w:rPr>
        <w:t>Interest income</w:t>
      </w:r>
    </w:p>
    <w:p w14:paraId="70C5E143" w14:textId="77777777" w:rsidR="00B150DF" w:rsidRPr="00B150DF" w:rsidRDefault="00B150DF" w:rsidP="003F6F1A">
      <w:pPr>
        <w:spacing w:after="0"/>
        <w:jc w:val="both"/>
        <w:rPr>
          <w:rFonts w:ascii="Arial" w:hAnsi="Arial" w:cs="Arial"/>
          <w:sz w:val="20"/>
          <w:szCs w:val="20"/>
        </w:rPr>
      </w:pPr>
    </w:p>
    <w:p w14:paraId="725FBE66" w14:textId="77777777" w:rsidR="00B150DF" w:rsidRPr="00B150DF" w:rsidRDefault="00B150DF" w:rsidP="003F6F1A">
      <w:pPr>
        <w:spacing w:after="0"/>
        <w:jc w:val="both"/>
        <w:rPr>
          <w:rFonts w:ascii="Arial" w:hAnsi="Arial" w:cs="Arial"/>
          <w:sz w:val="20"/>
          <w:szCs w:val="20"/>
        </w:rPr>
      </w:pPr>
      <w:r w:rsidRPr="00B150DF">
        <w:rPr>
          <w:rFonts w:ascii="Arial" w:hAnsi="Arial" w:cs="Arial"/>
          <w:sz w:val="20"/>
          <w:szCs w:val="20"/>
        </w:rPr>
        <w:t>Interest income increased to $1,248, compared to $nil during Q2 2018, owing to the increase in cash.</w:t>
      </w:r>
    </w:p>
    <w:p w14:paraId="5E184105" w14:textId="77777777" w:rsidR="00B150DF" w:rsidRDefault="00B150DF" w:rsidP="003F6F1A">
      <w:pPr>
        <w:spacing w:after="0"/>
        <w:jc w:val="both"/>
        <w:rPr>
          <w:rFonts w:ascii="Arial" w:hAnsi="Arial" w:cs="Arial"/>
          <w:sz w:val="20"/>
          <w:szCs w:val="20"/>
        </w:rPr>
      </w:pPr>
    </w:p>
    <w:p w14:paraId="6383414B" w14:textId="77777777" w:rsidR="00DA65B0" w:rsidRPr="00B150DF" w:rsidRDefault="00DA65B0" w:rsidP="003F6F1A">
      <w:pPr>
        <w:spacing w:after="0"/>
        <w:jc w:val="both"/>
        <w:rPr>
          <w:rFonts w:ascii="Arial" w:hAnsi="Arial" w:cs="Arial"/>
          <w:sz w:val="20"/>
          <w:szCs w:val="20"/>
          <w:u w:val="single"/>
        </w:rPr>
      </w:pPr>
      <w:r w:rsidRPr="00B150DF">
        <w:rPr>
          <w:rFonts w:ascii="Arial" w:hAnsi="Arial" w:cs="Arial"/>
          <w:sz w:val="20"/>
          <w:szCs w:val="20"/>
          <w:u w:val="single"/>
        </w:rPr>
        <w:t>Interest expense</w:t>
      </w:r>
    </w:p>
    <w:p w14:paraId="3D6CCA57" w14:textId="77777777" w:rsidR="00DA65B0" w:rsidRPr="00B150DF" w:rsidRDefault="00DA65B0" w:rsidP="003F6F1A">
      <w:pPr>
        <w:spacing w:after="0"/>
        <w:jc w:val="both"/>
        <w:rPr>
          <w:rFonts w:ascii="Arial" w:hAnsi="Arial" w:cs="Arial"/>
          <w:sz w:val="20"/>
          <w:szCs w:val="20"/>
        </w:rPr>
      </w:pPr>
    </w:p>
    <w:p w14:paraId="119B3B42" w14:textId="77777777" w:rsidR="00D73518" w:rsidRPr="00B150DF" w:rsidRDefault="00D73518" w:rsidP="003F6F1A">
      <w:pPr>
        <w:spacing w:after="0"/>
        <w:jc w:val="both"/>
        <w:rPr>
          <w:rFonts w:ascii="Arial" w:hAnsi="Arial" w:cs="Arial"/>
          <w:sz w:val="20"/>
          <w:szCs w:val="20"/>
        </w:rPr>
      </w:pPr>
      <w:r w:rsidRPr="00B150DF">
        <w:rPr>
          <w:rFonts w:ascii="Arial" w:hAnsi="Arial" w:cs="Arial"/>
          <w:sz w:val="20"/>
          <w:szCs w:val="20"/>
        </w:rPr>
        <w:t xml:space="preserve">Interest expense </w:t>
      </w:r>
      <w:r w:rsidR="00B150DF" w:rsidRPr="00B150DF">
        <w:rPr>
          <w:rFonts w:ascii="Arial" w:hAnsi="Arial" w:cs="Arial"/>
          <w:sz w:val="20"/>
          <w:szCs w:val="20"/>
        </w:rPr>
        <w:t>in</w:t>
      </w:r>
      <w:r w:rsidRPr="00B150DF">
        <w:rPr>
          <w:rFonts w:ascii="Arial" w:hAnsi="Arial" w:cs="Arial"/>
          <w:sz w:val="20"/>
          <w:szCs w:val="20"/>
        </w:rPr>
        <w:t>creased to $</w:t>
      </w:r>
      <w:r w:rsidR="00B150DF" w:rsidRPr="00B150DF">
        <w:rPr>
          <w:rFonts w:ascii="Arial" w:hAnsi="Arial" w:cs="Arial"/>
          <w:sz w:val="20"/>
          <w:szCs w:val="20"/>
        </w:rPr>
        <w:t>4</w:t>
      </w:r>
      <w:r w:rsidR="00D3689F">
        <w:rPr>
          <w:rFonts w:ascii="Arial" w:hAnsi="Arial" w:cs="Arial"/>
          <w:sz w:val="20"/>
          <w:szCs w:val="20"/>
        </w:rPr>
        <w:t>2,287</w:t>
      </w:r>
      <w:r w:rsidRPr="00B150DF">
        <w:rPr>
          <w:rFonts w:ascii="Arial" w:hAnsi="Arial" w:cs="Arial"/>
          <w:sz w:val="20"/>
          <w:szCs w:val="20"/>
        </w:rPr>
        <w:t>, compared to $</w:t>
      </w:r>
      <w:r w:rsidR="00B150DF" w:rsidRPr="00B150DF">
        <w:rPr>
          <w:rFonts w:ascii="Arial" w:hAnsi="Arial" w:cs="Arial"/>
          <w:sz w:val="20"/>
          <w:szCs w:val="20"/>
        </w:rPr>
        <w:t>39,412</w:t>
      </w:r>
      <w:r w:rsidRPr="00B150DF">
        <w:rPr>
          <w:rFonts w:ascii="Arial" w:hAnsi="Arial" w:cs="Arial"/>
          <w:sz w:val="20"/>
          <w:szCs w:val="20"/>
        </w:rPr>
        <w:t xml:space="preserve"> during Q</w:t>
      </w:r>
      <w:r w:rsidR="00B150DF" w:rsidRPr="00B150DF">
        <w:rPr>
          <w:rFonts w:ascii="Arial" w:hAnsi="Arial" w:cs="Arial"/>
          <w:sz w:val="20"/>
          <w:szCs w:val="20"/>
        </w:rPr>
        <w:t>2</w:t>
      </w:r>
      <w:r w:rsidRPr="00B150DF">
        <w:rPr>
          <w:rFonts w:ascii="Arial" w:hAnsi="Arial" w:cs="Arial"/>
          <w:sz w:val="20"/>
          <w:szCs w:val="20"/>
        </w:rPr>
        <w:t xml:space="preserve"> 201</w:t>
      </w:r>
      <w:r w:rsidR="003C5740" w:rsidRPr="00B150DF">
        <w:rPr>
          <w:rFonts w:ascii="Arial" w:hAnsi="Arial" w:cs="Arial"/>
          <w:sz w:val="20"/>
          <w:szCs w:val="20"/>
        </w:rPr>
        <w:t>8</w:t>
      </w:r>
      <w:r w:rsidRPr="00B150DF">
        <w:rPr>
          <w:rFonts w:ascii="Arial" w:hAnsi="Arial" w:cs="Arial"/>
          <w:sz w:val="20"/>
          <w:szCs w:val="20"/>
        </w:rPr>
        <w:t xml:space="preserve">, owing to </w:t>
      </w:r>
      <w:r w:rsidR="00B150DF" w:rsidRPr="00B150DF">
        <w:rPr>
          <w:rFonts w:ascii="Arial" w:hAnsi="Arial" w:cs="Arial"/>
          <w:sz w:val="20"/>
          <w:szCs w:val="20"/>
        </w:rPr>
        <w:t>increased</w:t>
      </w:r>
      <w:r w:rsidR="0089453C" w:rsidRPr="00B150DF">
        <w:rPr>
          <w:rFonts w:ascii="Arial" w:hAnsi="Arial" w:cs="Arial"/>
          <w:sz w:val="20"/>
          <w:szCs w:val="20"/>
        </w:rPr>
        <w:t xml:space="preserve"> interest expense on the lease liability </w:t>
      </w:r>
      <w:r w:rsidR="00EF2D2F" w:rsidRPr="00B150DF">
        <w:rPr>
          <w:rFonts w:ascii="Arial" w:hAnsi="Arial" w:cs="Arial"/>
          <w:sz w:val="20"/>
          <w:szCs w:val="20"/>
        </w:rPr>
        <w:t>resulting from the adoption of IFRS 16</w:t>
      </w:r>
      <w:r w:rsidR="005F6D26">
        <w:rPr>
          <w:rFonts w:ascii="Arial" w:hAnsi="Arial" w:cs="Arial"/>
          <w:sz w:val="20"/>
          <w:szCs w:val="20"/>
        </w:rPr>
        <w:t xml:space="preserve"> effective January 1, 2019</w:t>
      </w:r>
      <w:r w:rsidRPr="00B150DF">
        <w:rPr>
          <w:rFonts w:ascii="Arial" w:hAnsi="Arial" w:cs="Arial"/>
          <w:sz w:val="20"/>
          <w:szCs w:val="20"/>
        </w:rPr>
        <w:t>.</w:t>
      </w:r>
    </w:p>
    <w:p w14:paraId="0B3D09AE" w14:textId="77777777" w:rsidR="00DA65B0" w:rsidRDefault="00DA65B0" w:rsidP="003F6F1A">
      <w:pPr>
        <w:spacing w:after="0"/>
        <w:jc w:val="both"/>
        <w:rPr>
          <w:rFonts w:ascii="Arial" w:hAnsi="Arial" w:cs="Arial"/>
          <w:sz w:val="20"/>
          <w:szCs w:val="20"/>
        </w:rPr>
      </w:pPr>
    </w:p>
    <w:p w14:paraId="3FA8FC40" w14:textId="77777777" w:rsidR="00D3689F" w:rsidRDefault="00D3689F" w:rsidP="003F6F1A">
      <w:pPr>
        <w:spacing w:after="0"/>
        <w:jc w:val="both"/>
        <w:rPr>
          <w:rFonts w:ascii="Arial" w:hAnsi="Arial" w:cs="Arial"/>
          <w:sz w:val="20"/>
          <w:szCs w:val="20"/>
        </w:rPr>
      </w:pPr>
    </w:p>
    <w:p w14:paraId="50E20B40" w14:textId="77777777" w:rsidR="00BD1255" w:rsidRPr="00BD1255" w:rsidRDefault="00BD1255" w:rsidP="003F6F1A">
      <w:pPr>
        <w:spacing w:after="0"/>
        <w:jc w:val="both"/>
        <w:rPr>
          <w:rFonts w:ascii="Arial" w:hAnsi="Arial" w:cs="Arial"/>
          <w:sz w:val="20"/>
          <w:szCs w:val="20"/>
          <w:u w:val="single"/>
        </w:rPr>
      </w:pPr>
      <w:r w:rsidRPr="00BD1255">
        <w:rPr>
          <w:rFonts w:ascii="Arial" w:hAnsi="Arial" w:cs="Arial"/>
          <w:sz w:val="20"/>
          <w:szCs w:val="20"/>
          <w:u w:val="single"/>
        </w:rPr>
        <w:t>Loss on disposal of property and equipment</w:t>
      </w:r>
    </w:p>
    <w:p w14:paraId="0AD67497" w14:textId="77777777" w:rsidR="00BD1255" w:rsidRDefault="00BD1255" w:rsidP="003F6F1A">
      <w:pPr>
        <w:spacing w:after="0"/>
        <w:jc w:val="both"/>
        <w:rPr>
          <w:rFonts w:ascii="Arial" w:hAnsi="Arial" w:cs="Arial"/>
          <w:sz w:val="20"/>
          <w:szCs w:val="20"/>
        </w:rPr>
      </w:pPr>
    </w:p>
    <w:p w14:paraId="60436C44" w14:textId="79B7779A" w:rsidR="00BD1255" w:rsidRPr="00B150DF" w:rsidRDefault="00BD1255" w:rsidP="003F6F1A">
      <w:pPr>
        <w:spacing w:after="0"/>
        <w:jc w:val="both"/>
        <w:rPr>
          <w:rFonts w:ascii="Arial" w:hAnsi="Arial" w:cs="Arial"/>
          <w:sz w:val="20"/>
          <w:szCs w:val="20"/>
        </w:rPr>
      </w:pPr>
      <w:r>
        <w:rPr>
          <w:rFonts w:ascii="Arial" w:hAnsi="Arial" w:cs="Arial"/>
          <w:sz w:val="20"/>
          <w:szCs w:val="20"/>
        </w:rPr>
        <w:t>The Company recorded a loss</w:t>
      </w:r>
      <w:r w:rsidR="005F6D26">
        <w:rPr>
          <w:rFonts w:ascii="Arial" w:hAnsi="Arial" w:cs="Arial"/>
          <w:sz w:val="20"/>
          <w:szCs w:val="20"/>
        </w:rPr>
        <w:t xml:space="preserve"> of $114,516</w:t>
      </w:r>
      <w:r w:rsidR="00F21869" w:rsidRPr="00B150DF">
        <w:rPr>
          <w:rFonts w:ascii="Arial" w:hAnsi="Arial" w:cs="Arial"/>
          <w:sz w:val="20"/>
          <w:szCs w:val="20"/>
        </w:rPr>
        <w:t>, compared to $nil during Q2 2018</w:t>
      </w:r>
      <w:r w:rsidR="00F21869">
        <w:rPr>
          <w:rFonts w:ascii="Arial" w:hAnsi="Arial" w:cs="Arial"/>
          <w:sz w:val="20"/>
          <w:szCs w:val="20"/>
        </w:rPr>
        <w:t>,</w:t>
      </w:r>
      <w:r w:rsidR="005F6D26">
        <w:rPr>
          <w:rFonts w:ascii="Arial" w:hAnsi="Arial" w:cs="Arial"/>
          <w:sz w:val="20"/>
          <w:szCs w:val="20"/>
        </w:rPr>
        <w:t xml:space="preserve"> related to</w:t>
      </w:r>
      <w:r>
        <w:rPr>
          <w:rFonts w:ascii="Arial" w:hAnsi="Arial" w:cs="Arial"/>
          <w:sz w:val="20"/>
          <w:szCs w:val="20"/>
        </w:rPr>
        <w:t xml:space="preserve"> leasehold improvements for the Chicago clinic when the lease was terminated in May 2019.</w:t>
      </w:r>
    </w:p>
    <w:p w14:paraId="159D5B60" w14:textId="77777777" w:rsidR="00BD1255" w:rsidRDefault="00BD1255" w:rsidP="003F6F1A">
      <w:pPr>
        <w:spacing w:after="0"/>
        <w:jc w:val="both"/>
        <w:rPr>
          <w:rFonts w:ascii="Arial" w:hAnsi="Arial" w:cs="Arial"/>
          <w:sz w:val="20"/>
          <w:szCs w:val="20"/>
          <w:u w:val="single"/>
        </w:rPr>
      </w:pPr>
    </w:p>
    <w:p w14:paraId="50C73037" w14:textId="77777777" w:rsidR="004953F5" w:rsidRPr="00B150DF" w:rsidRDefault="00B150DF" w:rsidP="003F6F1A">
      <w:pPr>
        <w:spacing w:after="0"/>
        <w:jc w:val="both"/>
        <w:rPr>
          <w:rFonts w:ascii="Arial" w:hAnsi="Arial" w:cs="Arial"/>
          <w:sz w:val="20"/>
          <w:szCs w:val="20"/>
        </w:rPr>
      </w:pPr>
      <w:r>
        <w:rPr>
          <w:rFonts w:ascii="Arial" w:hAnsi="Arial" w:cs="Arial"/>
          <w:sz w:val="20"/>
          <w:szCs w:val="20"/>
          <w:u w:val="single"/>
        </w:rPr>
        <w:t>Gain</w:t>
      </w:r>
      <w:r w:rsidR="004953F5" w:rsidRPr="00B150DF">
        <w:rPr>
          <w:rFonts w:ascii="Arial" w:hAnsi="Arial" w:cs="Arial"/>
          <w:sz w:val="20"/>
          <w:szCs w:val="20"/>
          <w:u w:val="single"/>
        </w:rPr>
        <w:t xml:space="preserve"> on change in fair value of warrant liability</w:t>
      </w:r>
    </w:p>
    <w:p w14:paraId="04918C9E" w14:textId="77777777" w:rsidR="004953F5" w:rsidRPr="00B150DF" w:rsidRDefault="004953F5" w:rsidP="003F6F1A">
      <w:pPr>
        <w:spacing w:after="0"/>
        <w:jc w:val="both"/>
        <w:rPr>
          <w:rFonts w:ascii="Arial" w:hAnsi="Arial" w:cs="Arial"/>
          <w:sz w:val="20"/>
          <w:szCs w:val="20"/>
          <w:u w:val="single"/>
        </w:rPr>
      </w:pPr>
    </w:p>
    <w:p w14:paraId="5ECC4CAF" w14:textId="77777777" w:rsidR="00726CE5" w:rsidRPr="00B150DF" w:rsidRDefault="00726CE5" w:rsidP="003F6F1A">
      <w:pPr>
        <w:spacing w:after="0"/>
        <w:jc w:val="both"/>
        <w:rPr>
          <w:rFonts w:ascii="Arial" w:hAnsi="Arial" w:cs="Arial"/>
          <w:sz w:val="20"/>
          <w:szCs w:val="20"/>
        </w:rPr>
      </w:pPr>
      <w:r w:rsidRPr="00B150DF">
        <w:rPr>
          <w:rFonts w:ascii="Arial" w:hAnsi="Arial" w:cs="Arial"/>
          <w:sz w:val="20"/>
          <w:szCs w:val="20"/>
        </w:rPr>
        <w:t xml:space="preserve">The Company recorded a </w:t>
      </w:r>
      <w:r w:rsidR="00B150DF" w:rsidRPr="00B150DF">
        <w:rPr>
          <w:rFonts w:ascii="Arial" w:hAnsi="Arial" w:cs="Arial"/>
          <w:sz w:val="20"/>
          <w:szCs w:val="20"/>
        </w:rPr>
        <w:t xml:space="preserve">gain </w:t>
      </w:r>
      <w:r w:rsidRPr="00B150DF">
        <w:rPr>
          <w:rFonts w:ascii="Arial" w:hAnsi="Arial" w:cs="Arial"/>
          <w:sz w:val="20"/>
          <w:szCs w:val="20"/>
        </w:rPr>
        <w:t>on the change in the fair value of the warrant liability of $</w:t>
      </w:r>
      <w:r w:rsidR="00EF2D2F" w:rsidRPr="00B150DF">
        <w:rPr>
          <w:rFonts w:ascii="Arial" w:hAnsi="Arial" w:cs="Arial"/>
          <w:sz w:val="20"/>
          <w:szCs w:val="20"/>
        </w:rPr>
        <w:t>1</w:t>
      </w:r>
      <w:r w:rsidR="00B150DF" w:rsidRPr="00B150DF">
        <w:rPr>
          <w:rFonts w:ascii="Arial" w:hAnsi="Arial" w:cs="Arial"/>
          <w:sz w:val="20"/>
          <w:szCs w:val="20"/>
        </w:rPr>
        <w:t>61,064</w:t>
      </w:r>
      <w:r w:rsidRPr="00B150DF">
        <w:rPr>
          <w:rFonts w:ascii="Arial" w:hAnsi="Arial" w:cs="Arial"/>
          <w:sz w:val="20"/>
          <w:szCs w:val="20"/>
        </w:rPr>
        <w:t xml:space="preserve">, compared to </w:t>
      </w:r>
      <w:r w:rsidR="004B214A" w:rsidRPr="00B150DF">
        <w:rPr>
          <w:rFonts w:ascii="Arial" w:hAnsi="Arial" w:cs="Arial"/>
          <w:sz w:val="20"/>
          <w:szCs w:val="20"/>
        </w:rPr>
        <w:t>$</w:t>
      </w:r>
      <w:r w:rsidR="00EF2D2F" w:rsidRPr="00B150DF">
        <w:rPr>
          <w:rFonts w:ascii="Arial" w:hAnsi="Arial" w:cs="Arial"/>
          <w:sz w:val="20"/>
          <w:szCs w:val="20"/>
        </w:rPr>
        <w:t>nil</w:t>
      </w:r>
      <w:r w:rsidR="004B214A" w:rsidRPr="00B150DF">
        <w:rPr>
          <w:rFonts w:ascii="Arial" w:hAnsi="Arial" w:cs="Arial"/>
          <w:sz w:val="20"/>
          <w:szCs w:val="20"/>
        </w:rPr>
        <w:t xml:space="preserve"> during Q</w:t>
      </w:r>
      <w:r w:rsidR="00B150DF" w:rsidRPr="00B150DF">
        <w:rPr>
          <w:rFonts w:ascii="Arial" w:hAnsi="Arial" w:cs="Arial"/>
          <w:sz w:val="20"/>
          <w:szCs w:val="20"/>
        </w:rPr>
        <w:t>2</w:t>
      </w:r>
      <w:r w:rsidR="004B214A" w:rsidRPr="00B150DF">
        <w:rPr>
          <w:rFonts w:ascii="Arial" w:hAnsi="Arial" w:cs="Arial"/>
          <w:sz w:val="20"/>
          <w:szCs w:val="20"/>
        </w:rPr>
        <w:t xml:space="preserve"> 201</w:t>
      </w:r>
      <w:r w:rsidR="003C5740" w:rsidRPr="00B150DF">
        <w:rPr>
          <w:rFonts w:ascii="Arial" w:hAnsi="Arial" w:cs="Arial"/>
          <w:sz w:val="20"/>
          <w:szCs w:val="20"/>
        </w:rPr>
        <w:t>8</w:t>
      </w:r>
      <w:r w:rsidR="004B214A" w:rsidRPr="00B150DF">
        <w:rPr>
          <w:rFonts w:ascii="Arial" w:hAnsi="Arial" w:cs="Arial"/>
          <w:sz w:val="20"/>
          <w:szCs w:val="20"/>
        </w:rPr>
        <w:t>.</w:t>
      </w:r>
      <w:bookmarkStart w:id="5" w:name="_Hlk8667986"/>
      <w:r w:rsidR="003C5740" w:rsidRPr="00B150DF">
        <w:rPr>
          <w:rFonts w:ascii="Arial" w:hAnsi="Arial" w:cs="Arial"/>
          <w:sz w:val="20"/>
          <w:szCs w:val="20"/>
        </w:rPr>
        <w:t xml:space="preserve"> </w:t>
      </w:r>
      <w:r w:rsidR="00341AC5" w:rsidRPr="00B150DF">
        <w:rPr>
          <w:rFonts w:ascii="Arial" w:hAnsi="Arial" w:cs="Arial"/>
          <w:sz w:val="20"/>
          <w:szCs w:val="20"/>
        </w:rPr>
        <w:t>The share purchase warrants are required to be revalued at every quarter end and the</w:t>
      </w:r>
      <w:r w:rsidR="003C5740" w:rsidRPr="00B150DF">
        <w:rPr>
          <w:rFonts w:ascii="Arial" w:hAnsi="Arial" w:cs="Arial"/>
          <w:sz w:val="20"/>
          <w:szCs w:val="20"/>
        </w:rPr>
        <w:t xml:space="preserve"> </w:t>
      </w:r>
      <w:r w:rsidR="00B150DF" w:rsidRPr="00B150DF">
        <w:rPr>
          <w:rFonts w:ascii="Arial" w:hAnsi="Arial" w:cs="Arial"/>
          <w:sz w:val="20"/>
          <w:szCs w:val="20"/>
        </w:rPr>
        <w:t xml:space="preserve">gain </w:t>
      </w:r>
      <w:r w:rsidR="00341AC5" w:rsidRPr="00B150DF">
        <w:rPr>
          <w:rFonts w:ascii="Arial" w:hAnsi="Arial" w:cs="Arial"/>
          <w:sz w:val="20"/>
          <w:szCs w:val="20"/>
        </w:rPr>
        <w:t xml:space="preserve">resulted from the </w:t>
      </w:r>
      <w:r w:rsidR="00B150DF" w:rsidRPr="00B150DF">
        <w:rPr>
          <w:rFonts w:ascii="Arial" w:hAnsi="Arial" w:cs="Arial"/>
          <w:sz w:val="20"/>
          <w:szCs w:val="20"/>
        </w:rPr>
        <w:t>de</w:t>
      </w:r>
      <w:r w:rsidR="003C5740" w:rsidRPr="00B150DF">
        <w:rPr>
          <w:rFonts w:ascii="Arial" w:hAnsi="Arial" w:cs="Arial"/>
          <w:sz w:val="20"/>
          <w:szCs w:val="20"/>
        </w:rPr>
        <w:t>c</w:t>
      </w:r>
      <w:r w:rsidR="00341AC5" w:rsidRPr="00B150DF">
        <w:rPr>
          <w:rFonts w:ascii="Arial" w:hAnsi="Arial" w:cs="Arial"/>
          <w:sz w:val="20"/>
          <w:szCs w:val="20"/>
        </w:rPr>
        <w:t>rease in the Company’s share price during Q</w:t>
      </w:r>
      <w:r w:rsidR="00B150DF" w:rsidRPr="00B150DF">
        <w:rPr>
          <w:rFonts w:ascii="Arial" w:hAnsi="Arial" w:cs="Arial"/>
          <w:sz w:val="20"/>
          <w:szCs w:val="20"/>
        </w:rPr>
        <w:t>2</w:t>
      </w:r>
      <w:r w:rsidR="00341AC5" w:rsidRPr="00B150DF">
        <w:rPr>
          <w:rFonts w:ascii="Arial" w:hAnsi="Arial" w:cs="Arial"/>
          <w:sz w:val="20"/>
          <w:szCs w:val="20"/>
        </w:rPr>
        <w:t xml:space="preserve"> 201</w:t>
      </w:r>
      <w:r w:rsidR="003C5740" w:rsidRPr="00B150DF">
        <w:rPr>
          <w:rFonts w:ascii="Arial" w:hAnsi="Arial" w:cs="Arial"/>
          <w:sz w:val="20"/>
          <w:szCs w:val="20"/>
        </w:rPr>
        <w:t>9</w:t>
      </w:r>
      <w:r w:rsidR="00341AC5" w:rsidRPr="00B150DF">
        <w:rPr>
          <w:rFonts w:ascii="Arial" w:hAnsi="Arial" w:cs="Arial"/>
          <w:sz w:val="20"/>
          <w:szCs w:val="20"/>
        </w:rPr>
        <w:t>, which is a variable in determining the fair value of the warrant liability per the Black-Scholes valuation model</w:t>
      </w:r>
      <w:bookmarkEnd w:id="5"/>
      <w:r w:rsidR="004B214A" w:rsidRPr="00B150DF">
        <w:rPr>
          <w:rFonts w:ascii="Arial" w:hAnsi="Arial" w:cs="Arial"/>
          <w:sz w:val="20"/>
          <w:szCs w:val="20"/>
        </w:rPr>
        <w:t>.</w:t>
      </w:r>
    </w:p>
    <w:p w14:paraId="5EA6B3C2" w14:textId="77777777" w:rsidR="00341AC5" w:rsidRPr="00B150DF" w:rsidRDefault="00341AC5" w:rsidP="003F6F1A">
      <w:pPr>
        <w:spacing w:after="0"/>
        <w:jc w:val="both"/>
        <w:rPr>
          <w:rFonts w:ascii="Arial" w:hAnsi="Arial" w:cs="Arial"/>
          <w:sz w:val="20"/>
          <w:szCs w:val="20"/>
          <w:u w:val="single"/>
        </w:rPr>
      </w:pPr>
    </w:p>
    <w:p w14:paraId="3C4AFFAE" w14:textId="77777777" w:rsidR="004953F5" w:rsidRPr="00B150DF" w:rsidRDefault="00B150DF" w:rsidP="003F6F1A">
      <w:pPr>
        <w:spacing w:after="0"/>
        <w:jc w:val="both"/>
        <w:rPr>
          <w:rFonts w:ascii="Arial" w:hAnsi="Arial" w:cs="Arial"/>
          <w:sz w:val="20"/>
          <w:szCs w:val="20"/>
          <w:u w:val="single"/>
        </w:rPr>
      </w:pPr>
      <w:r>
        <w:rPr>
          <w:rFonts w:ascii="Arial" w:hAnsi="Arial" w:cs="Arial"/>
          <w:sz w:val="20"/>
          <w:szCs w:val="20"/>
          <w:u w:val="single"/>
        </w:rPr>
        <w:t>Gain</w:t>
      </w:r>
      <w:r w:rsidR="004953F5" w:rsidRPr="00B150DF">
        <w:rPr>
          <w:rFonts w:ascii="Arial" w:hAnsi="Arial" w:cs="Arial"/>
          <w:sz w:val="20"/>
          <w:szCs w:val="20"/>
          <w:u w:val="single"/>
        </w:rPr>
        <w:t xml:space="preserve"> on change in fair value of conversion option</w:t>
      </w:r>
    </w:p>
    <w:p w14:paraId="243F86C3" w14:textId="77777777" w:rsidR="004953F5" w:rsidRPr="00B150DF" w:rsidRDefault="004953F5" w:rsidP="003F6F1A">
      <w:pPr>
        <w:spacing w:after="0"/>
        <w:jc w:val="both"/>
        <w:rPr>
          <w:rFonts w:ascii="Arial" w:hAnsi="Arial" w:cs="Arial"/>
          <w:sz w:val="20"/>
          <w:szCs w:val="20"/>
          <w:u w:val="single"/>
        </w:rPr>
      </w:pPr>
    </w:p>
    <w:p w14:paraId="3421A46F" w14:textId="77777777" w:rsidR="004B214A" w:rsidRPr="003B22BC" w:rsidRDefault="004B214A" w:rsidP="003F6F1A">
      <w:pPr>
        <w:spacing w:after="0"/>
        <w:jc w:val="both"/>
        <w:rPr>
          <w:rFonts w:ascii="Arial" w:hAnsi="Arial" w:cs="Arial"/>
          <w:sz w:val="20"/>
          <w:szCs w:val="20"/>
          <w:u w:val="single"/>
        </w:rPr>
      </w:pPr>
      <w:r w:rsidRPr="00B150DF">
        <w:rPr>
          <w:rFonts w:ascii="Arial" w:hAnsi="Arial" w:cs="Arial"/>
          <w:sz w:val="20"/>
          <w:szCs w:val="20"/>
        </w:rPr>
        <w:t xml:space="preserve">The Company recorded a </w:t>
      </w:r>
      <w:r w:rsidR="00B150DF" w:rsidRPr="00B150DF">
        <w:rPr>
          <w:rFonts w:ascii="Arial" w:hAnsi="Arial" w:cs="Arial"/>
          <w:sz w:val="20"/>
          <w:szCs w:val="20"/>
        </w:rPr>
        <w:t>gain</w:t>
      </w:r>
      <w:r w:rsidRPr="00B150DF">
        <w:rPr>
          <w:rFonts w:ascii="Arial" w:hAnsi="Arial" w:cs="Arial"/>
          <w:sz w:val="20"/>
          <w:szCs w:val="20"/>
        </w:rPr>
        <w:t xml:space="preserve"> on the change in the fair value of the </w:t>
      </w:r>
      <w:r w:rsidR="00D64B7F" w:rsidRPr="00B150DF">
        <w:rPr>
          <w:rFonts w:ascii="Arial" w:hAnsi="Arial" w:cs="Arial"/>
          <w:sz w:val="20"/>
          <w:szCs w:val="20"/>
        </w:rPr>
        <w:t>conversion option</w:t>
      </w:r>
      <w:r w:rsidRPr="00B150DF">
        <w:rPr>
          <w:rFonts w:ascii="Arial" w:hAnsi="Arial" w:cs="Arial"/>
          <w:sz w:val="20"/>
          <w:szCs w:val="20"/>
        </w:rPr>
        <w:t xml:space="preserve"> of $</w:t>
      </w:r>
      <w:r w:rsidR="00B150DF" w:rsidRPr="00B150DF">
        <w:rPr>
          <w:rFonts w:ascii="Arial" w:hAnsi="Arial" w:cs="Arial"/>
          <w:sz w:val="20"/>
          <w:szCs w:val="20"/>
        </w:rPr>
        <w:t>97,788</w:t>
      </w:r>
      <w:r w:rsidRPr="00B150DF">
        <w:rPr>
          <w:rFonts w:ascii="Arial" w:hAnsi="Arial" w:cs="Arial"/>
          <w:sz w:val="20"/>
          <w:szCs w:val="20"/>
        </w:rPr>
        <w:t>, compared to $nil during Q</w:t>
      </w:r>
      <w:r w:rsidR="00B150DF" w:rsidRPr="00B150DF">
        <w:rPr>
          <w:rFonts w:ascii="Arial" w:hAnsi="Arial" w:cs="Arial"/>
          <w:sz w:val="20"/>
          <w:szCs w:val="20"/>
        </w:rPr>
        <w:t>2</w:t>
      </w:r>
      <w:r w:rsidRPr="00B150DF">
        <w:rPr>
          <w:rFonts w:ascii="Arial" w:hAnsi="Arial" w:cs="Arial"/>
          <w:sz w:val="20"/>
          <w:szCs w:val="20"/>
        </w:rPr>
        <w:t xml:space="preserve"> 201</w:t>
      </w:r>
      <w:r w:rsidR="003C5740" w:rsidRPr="00B150DF">
        <w:rPr>
          <w:rFonts w:ascii="Arial" w:hAnsi="Arial" w:cs="Arial"/>
          <w:sz w:val="20"/>
          <w:szCs w:val="20"/>
        </w:rPr>
        <w:t>8</w:t>
      </w:r>
      <w:r w:rsidRPr="00B150DF">
        <w:rPr>
          <w:rFonts w:ascii="Arial" w:hAnsi="Arial" w:cs="Arial"/>
          <w:sz w:val="20"/>
          <w:szCs w:val="20"/>
        </w:rPr>
        <w:t xml:space="preserve">. </w:t>
      </w:r>
      <w:r w:rsidR="000620B5" w:rsidRPr="00B150DF">
        <w:rPr>
          <w:rFonts w:ascii="Arial" w:hAnsi="Arial" w:cs="Arial"/>
          <w:sz w:val="20"/>
          <w:szCs w:val="20"/>
        </w:rPr>
        <w:t xml:space="preserve">The </w:t>
      </w:r>
      <w:r w:rsidR="00D64B7F" w:rsidRPr="00B150DF">
        <w:rPr>
          <w:rFonts w:ascii="Arial" w:hAnsi="Arial" w:cs="Arial"/>
          <w:sz w:val="20"/>
          <w:szCs w:val="20"/>
        </w:rPr>
        <w:t xml:space="preserve">conversion option is </w:t>
      </w:r>
      <w:r w:rsidR="00AD0529" w:rsidRPr="00B150DF">
        <w:rPr>
          <w:rFonts w:ascii="Arial" w:hAnsi="Arial" w:cs="Arial"/>
          <w:sz w:val="20"/>
          <w:szCs w:val="20"/>
        </w:rPr>
        <w:t xml:space="preserve">required to be revalued at every quarter end and the </w:t>
      </w:r>
      <w:r w:rsidR="00B150DF" w:rsidRPr="00B150DF">
        <w:rPr>
          <w:rFonts w:ascii="Arial" w:hAnsi="Arial" w:cs="Arial"/>
          <w:sz w:val="20"/>
          <w:szCs w:val="20"/>
        </w:rPr>
        <w:t>gain</w:t>
      </w:r>
      <w:r w:rsidR="000620B5" w:rsidRPr="00B150DF">
        <w:rPr>
          <w:rFonts w:ascii="Arial" w:hAnsi="Arial" w:cs="Arial"/>
          <w:sz w:val="20"/>
          <w:szCs w:val="20"/>
        </w:rPr>
        <w:t xml:space="preserve"> resulted from the </w:t>
      </w:r>
      <w:r w:rsidR="00B150DF" w:rsidRPr="00B150DF">
        <w:rPr>
          <w:rFonts w:ascii="Arial" w:hAnsi="Arial" w:cs="Arial"/>
          <w:sz w:val="20"/>
          <w:szCs w:val="20"/>
        </w:rPr>
        <w:t>de</w:t>
      </w:r>
      <w:r w:rsidR="000620B5" w:rsidRPr="00B150DF">
        <w:rPr>
          <w:rFonts w:ascii="Arial" w:hAnsi="Arial" w:cs="Arial"/>
          <w:sz w:val="20"/>
          <w:szCs w:val="20"/>
        </w:rPr>
        <w:t xml:space="preserve">crease in the Company’s share price </w:t>
      </w:r>
      <w:r w:rsidR="00AD0529" w:rsidRPr="00B150DF">
        <w:rPr>
          <w:rFonts w:ascii="Arial" w:hAnsi="Arial" w:cs="Arial"/>
          <w:sz w:val="20"/>
          <w:szCs w:val="20"/>
        </w:rPr>
        <w:t xml:space="preserve">during </w:t>
      </w:r>
      <w:r w:rsidR="000620B5" w:rsidRPr="00B150DF">
        <w:rPr>
          <w:rFonts w:ascii="Arial" w:hAnsi="Arial" w:cs="Arial"/>
          <w:sz w:val="20"/>
          <w:szCs w:val="20"/>
        </w:rPr>
        <w:t>Q</w:t>
      </w:r>
      <w:r w:rsidR="00B150DF" w:rsidRPr="00B150DF">
        <w:rPr>
          <w:rFonts w:ascii="Arial" w:hAnsi="Arial" w:cs="Arial"/>
          <w:sz w:val="20"/>
          <w:szCs w:val="20"/>
        </w:rPr>
        <w:t>2</w:t>
      </w:r>
      <w:r w:rsidR="000620B5" w:rsidRPr="00B150DF">
        <w:rPr>
          <w:rFonts w:ascii="Arial" w:hAnsi="Arial" w:cs="Arial"/>
          <w:sz w:val="20"/>
          <w:szCs w:val="20"/>
        </w:rPr>
        <w:t xml:space="preserve"> 201</w:t>
      </w:r>
      <w:r w:rsidR="003C5740" w:rsidRPr="00B150DF">
        <w:rPr>
          <w:rFonts w:ascii="Arial" w:hAnsi="Arial" w:cs="Arial"/>
          <w:sz w:val="20"/>
          <w:szCs w:val="20"/>
        </w:rPr>
        <w:t>9</w:t>
      </w:r>
      <w:r w:rsidR="000620B5" w:rsidRPr="00B150DF">
        <w:rPr>
          <w:rFonts w:ascii="Arial" w:hAnsi="Arial" w:cs="Arial"/>
          <w:sz w:val="20"/>
          <w:szCs w:val="20"/>
        </w:rPr>
        <w:t xml:space="preserve">, which is a variable in determining the fair value of the conversion option. </w:t>
      </w:r>
    </w:p>
    <w:p w14:paraId="09ADF5A4" w14:textId="77777777" w:rsidR="00B150DF" w:rsidRDefault="00B150DF" w:rsidP="003F6F1A">
      <w:pPr>
        <w:spacing w:after="0"/>
        <w:jc w:val="both"/>
        <w:rPr>
          <w:rFonts w:ascii="Arial" w:hAnsi="Arial" w:cs="Arial"/>
          <w:sz w:val="20"/>
          <w:szCs w:val="20"/>
          <w:u w:val="single"/>
        </w:rPr>
      </w:pPr>
    </w:p>
    <w:p w14:paraId="71B55AB5" w14:textId="77777777" w:rsidR="00B150DF" w:rsidRPr="00B150DF" w:rsidRDefault="00B150DF" w:rsidP="003F6F1A">
      <w:pPr>
        <w:spacing w:after="0"/>
        <w:jc w:val="both"/>
        <w:rPr>
          <w:rFonts w:ascii="Arial" w:hAnsi="Arial" w:cs="Arial"/>
          <w:sz w:val="20"/>
          <w:szCs w:val="20"/>
        </w:rPr>
      </w:pPr>
      <w:r w:rsidRPr="00B150DF">
        <w:rPr>
          <w:rFonts w:ascii="Arial" w:hAnsi="Arial" w:cs="Arial"/>
          <w:sz w:val="20"/>
          <w:szCs w:val="20"/>
          <w:u w:val="single"/>
        </w:rPr>
        <w:t>Other expense</w:t>
      </w:r>
    </w:p>
    <w:p w14:paraId="5565D28E" w14:textId="77777777" w:rsidR="00B150DF" w:rsidRPr="00B150DF" w:rsidRDefault="00B150DF" w:rsidP="003F6F1A">
      <w:pPr>
        <w:spacing w:after="0"/>
        <w:jc w:val="both"/>
        <w:rPr>
          <w:rFonts w:ascii="Arial" w:hAnsi="Arial" w:cs="Arial"/>
          <w:sz w:val="20"/>
          <w:szCs w:val="20"/>
        </w:rPr>
      </w:pPr>
    </w:p>
    <w:p w14:paraId="3E4B74B7" w14:textId="52CE1750" w:rsidR="00EF2D2F" w:rsidRPr="00B150DF" w:rsidRDefault="00B150DF" w:rsidP="003F6F1A">
      <w:pPr>
        <w:spacing w:after="0"/>
        <w:jc w:val="both"/>
        <w:rPr>
          <w:rFonts w:ascii="Arial" w:hAnsi="Arial" w:cs="Arial"/>
          <w:sz w:val="20"/>
          <w:szCs w:val="20"/>
        </w:rPr>
      </w:pPr>
      <w:r w:rsidRPr="00B150DF">
        <w:rPr>
          <w:rFonts w:ascii="Arial" w:hAnsi="Arial" w:cs="Arial"/>
          <w:sz w:val="20"/>
          <w:szCs w:val="20"/>
        </w:rPr>
        <w:t>The Company recorded other expense of $50,04</w:t>
      </w:r>
      <w:r w:rsidR="00BD1255">
        <w:rPr>
          <w:rFonts w:ascii="Arial" w:hAnsi="Arial" w:cs="Arial"/>
          <w:sz w:val="20"/>
          <w:szCs w:val="20"/>
        </w:rPr>
        <w:t>7</w:t>
      </w:r>
      <w:r w:rsidRPr="00B150DF">
        <w:rPr>
          <w:rFonts w:ascii="Arial" w:hAnsi="Arial" w:cs="Arial"/>
          <w:sz w:val="20"/>
          <w:szCs w:val="20"/>
        </w:rPr>
        <w:t xml:space="preserve">, compared to $nil during Q2 2018. The amount relates primarily to foreign exchange losses due to the </w:t>
      </w:r>
      <w:r w:rsidR="00436015">
        <w:rPr>
          <w:rFonts w:ascii="Arial" w:hAnsi="Arial" w:cs="Arial"/>
          <w:sz w:val="20"/>
          <w:szCs w:val="20"/>
        </w:rPr>
        <w:t>de</w:t>
      </w:r>
      <w:r w:rsidRPr="00B150DF">
        <w:rPr>
          <w:rFonts w:ascii="Arial" w:hAnsi="Arial" w:cs="Arial"/>
          <w:sz w:val="20"/>
          <w:szCs w:val="20"/>
        </w:rPr>
        <w:t>crease in the US dollar relative to the Canadian dollar during Q2 2018.</w:t>
      </w:r>
    </w:p>
    <w:p w14:paraId="6FC9763B" w14:textId="77777777" w:rsidR="00EF2D2F" w:rsidRDefault="00EF2D2F" w:rsidP="003F6F1A">
      <w:pPr>
        <w:rPr>
          <w:rFonts w:ascii="Arial" w:eastAsia="Times New Roman" w:hAnsi="Arial" w:cs="Arial"/>
          <w:b/>
          <w:bCs/>
          <w:i/>
          <w:color w:val="000000"/>
          <w:sz w:val="20"/>
          <w:szCs w:val="20"/>
          <w:u w:val="single"/>
        </w:rPr>
      </w:pPr>
    </w:p>
    <w:p w14:paraId="1EC9A8E7" w14:textId="77777777" w:rsidR="00B150DF" w:rsidRDefault="00B150DF" w:rsidP="003F6F1A">
      <w:pPr>
        <w:jc w:val="both"/>
        <w:rPr>
          <w:i/>
          <w:color w:val="000000"/>
          <w:sz w:val="20"/>
          <w:highlight w:val="yellow"/>
          <w:u w:val="single"/>
        </w:rPr>
      </w:pPr>
    </w:p>
    <w:p w14:paraId="396155F3" w14:textId="77777777" w:rsidR="00B150DF" w:rsidRDefault="00B150DF" w:rsidP="003F6F1A">
      <w:pPr>
        <w:jc w:val="both"/>
        <w:rPr>
          <w:i/>
          <w:color w:val="000000"/>
          <w:sz w:val="20"/>
          <w:highlight w:val="yellow"/>
          <w:u w:val="single"/>
        </w:rPr>
      </w:pPr>
    </w:p>
    <w:p w14:paraId="662B0F4F" w14:textId="77777777" w:rsidR="00B150DF" w:rsidRDefault="00B150DF" w:rsidP="003F6F1A">
      <w:pPr>
        <w:jc w:val="both"/>
        <w:rPr>
          <w:i/>
          <w:color w:val="000000"/>
          <w:sz w:val="20"/>
          <w:highlight w:val="yellow"/>
          <w:u w:val="single"/>
        </w:rPr>
      </w:pPr>
    </w:p>
    <w:p w14:paraId="1CF74735" w14:textId="77777777" w:rsidR="00B150DF" w:rsidRDefault="00B150DF" w:rsidP="003F6F1A">
      <w:pPr>
        <w:jc w:val="both"/>
        <w:rPr>
          <w:i/>
          <w:color w:val="000000"/>
          <w:sz w:val="20"/>
          <w:highlight w:val="yellow"/>
          <w:u w:val="single"/>
        </w:rPr>
      </w:pPr>
    </w:p>
    <w:p w14:paraId="5573793F" w14:textId="77777777" w:rsidR="00B150DF" w:rsidRDefault="00B150DF" w:rsidP="003F6F1A">
      <w:pPr>
        <w:jc w:val="both"/>
        <w:rPr>
          <w:i/>
          <w:color w:val="000000"/>
          <w:sz w:val="20"/>
          <w:highlight w:val="yellow"/>
          <w:u w:val="single"/>
        </w:rPr>
      </w:pPr>
    </w:p>
    <w:p w14:paraId="49FF3A2E" w14:textId="77777777" w:rsidR="00B150DF" w:rsidRDefault="00B150DF" w:rsidP="003F6F1A">
      <w:pPr>
        <w:jc w:val="both"/>
        <w:rPr>
          <w:i/>
          <w:color w:val="000000"/>
          <w:sz w:val="20"/>
          <w:highlight w:val="yellow"/>
          <w:u w:val="single"/>
        </w:rPr>
      </w:pPr>
    </w:p>
    <w:p w14:paraId="5F67DDD0" w14:textId="77777777" w:rsidR="00B150DF" w:rsidRDefault="00B150DF" w:rsidP="003F6F1A">
      <w:pPr>
        <w:jc w:val="both"/>
        <w:rPr>
          <w:i/>
          <w:color w:val="000000"/>
          <w:sz w:val="20"/>
          <w:highlight w:val="yellow"/>
          <w:u w:val="single"/>
        </w:rPr>
      </w:pPr>
    </w:p>
    <w:p w14:paraId="2EB54C01" w14:textId="77777777" w:rsidR="00B150DF" w:rsidRDefault="00B150DF" w:rsidP="003F6F1A">
      <w:pPr>
        <w:jc w:val="both"/>
        <w:rPr>
          <w:i/>
          <w:color w:val="000000"/>
          <w:sz w:val="20"/>
          <w:highlight w:val="yellow"/>
          <w:u w:val="single"/>
        </w:rPr>
      </w:pPr>
    </w:p>
    <w:p w14:paraId="7C319B3A" w14:textId="77777777" w:rsidR="00B150DF" w:rsidRDefault="00B150DF" w:rsidP="003F6F1A">
      <w:pPr>
        <w:jc w:val="both"/>
        <w:rPr>
          <w:i/>
          <w:color w:val="000000"/>
          <w:sz w:val="20"/>
          <w:highlight w:val="yellow"/>
          <w:u w:val="single"/>
        </w:rPr>
      </w:pPr>
    </w:p>
    <w:p w14:paraId="161CEA3F" w14:textId="77777777" w:rsidR="00B150DF" w:rsidRDefault="00B150DF" w:rsidP="003F6F1A">
      <w:pPr>
        <w:jc w:val="both"/>
        <w:rPr>
          <w:i/>
          <w:color w:val="000000"/>
          <w:sz w:val="20"/>
          <w:highlight w:val="yellow"/>
          <w:u w:val="single"/>
        </w:rPr>
      </w:pPr>
    </w:p>
    <w:p w14:paraId="6E533532" w14:textId="77777777" w:rsidR="00D3689F" w:rsidRDefault="00D3689F" w:rsidP="003F6F1A">
      <w:pPr>
        <w:jc w:val="both"/>
        <w:rPr>
          <w:i/>
          <w:color w:val="000000"/>
          <w:sz w:val="20"/>
          <w:highlight w:val="yellow"/>
          <w:u w:val="single"/>
        </w:rPr>
      </w:pPr>
    </w:p>
    <w:p w14:paraId="092CB5DB" w14:textId="77777777" w:rsidR="00D3689F" w:rsidRDefault="00D3689F" w:rsidP="003F6F1A">
      <w:pPr>
        <w:jc w:val="both"/>
        <w:rPr>
          <w:i/>
          <w:color w:val="000000"/>
          <w:sz w:val="20"/>
          <w:highlight w:val="yellow"/>
          <w:u w:val="single"/>
        </w:rPr>
      </w:pPr>
    </w:p>
    <w:p w14:paraId="13493B3F" w14:textId="77777777" w:rsidR="00D3689F" w:rsidRDefault="00D3689F" w:rsidP="003F6F1A">
      <w:pPr>
        <w:jc w:val="both"/>
        <w:rPr>
          <w:i/>
          <w:color w:val="000000"/>
          <w:sz w:val="20"/>
          <w:highlight w:val="yellow"/>
          <w:u w:val="single"/>
        </w:rPr>
      </w:pPr>
    </w:p>
    <w:p w14:paraId="7B72AB90" w14:textId="77777777" w:rsidR="00B150DF" w:rsidRDefault="00B150DF" w:rsidP="003F6F1A">
      <w:pPr>
        <w:jc w:val="both"/>
        <w:rPr>
          <w:i/>
          <w:color w:val="000000"/>
          <w:sz w:val="20"/>
          <w:highlight w:val="yellow"/>
          <w:u w:val="single"/>
        </w:rPr>
      </w:pPr>
    </w:p>
    <w:p w14:paraId="792C9EAE" w14:textId="77777777" w:rsidR="00B150DF" w:rsidRPr="005F6D26" w:rsidRDefault="00B150DF" w:rsidP="003F6F1A">
      <w:pPr>
        <w:jc w:val="both"/>
        <w:rPr>
          <w:rFonts w:ascii="Arial" w:hAnsi="Arial" w:cs="Arial"/>
          <w:i/>
          <w:sz w:val="20"/>
          <w:u w:val="single"/>
        </w:rPr>
      </w:pPr>
      <w:r w:rsidRPr="00A86E9F">
        <w:rPr>
          <w:i/>
          <w:sz w:val="20"/>
          <w:highlight w:val="yellow"/>
          <w:u w:val="single"/>
        </w:rPr>
        <w:lastRenderedPageBreak/>
        <w:br/>
      </w:r>
      <w:r w:rsidRPr="005F6D26">
        <w:rPr>
          <w:rFonts w:ascii="Arial" w:hAnsi="Arial" w:cs="Arial"/>
          <w:i/>
          <w:sz w:val="20"/>
          <w:u w:val="single"/>
        </w:rPr>
        <w:t xml:space="preserve">Review of Consolidated Financial Information for </w:t>
      </w:r>
      <w:r w:rsidR="00A86E9F" w:rsidRPr="005F6D26">
        <w:rPr>
          <w:rFonts w:ascii="Arial" w:hAnsi="Arial" w:cs="Arial"/>
          <w:i/>
          <w:sz w:val="20"/>
          <w:u w:val="single"/>
        </w:rPr>
        <w:t xml:space="preserve">YTD </w:t>
      </w:r>
      <w:r w:rsidRPr="005F6D26">
        <w:rPr>
          <w:rFonts w:ascii="Arial" w:hAnsi="Arial" w:cs="Arial"/>
          <w:i/>
          <w:sz w:val="20"/>
          <w:u w:val="single"/>
        </w:rPr>
        <w:t xml:space="preserve">2019 compared to </w:t>
      </w:r>
      <w:r w:rsidR="00A86E9F" w:rsidRPr="005F6D26">
        <w:rPr>
          <w:rFonts w:ascii="Arial" w:hAnsi="Arial" w:cs="Arial"/>
          <w:i/>
          <w:sz w:val="20"/>
          <w:u w:val="single"/>
        </w:rPr>
        <w:t xml:space="preserve">YTD </w:t>
      </w:r>
      <w:r w:rsidRPr="005F6D26">
        <w:rPr>
          <w:rFonts w:ascii="Arial" w:hAnsi="Arial" w:cs="Arial"/>
          <w:i/>
          <w:sz w:val="20"/>
          <w:u w:val="single"/>
        </w:rPr>
        <w:t>2018</w:t>
      </w:r>
    </w:p>
    <w:p w14:paraId="3FD084A7" w14:textId="77777777" w:rsidR="00B150DF" w:rsidRPr="00A86E9F" w:rsidRDefault="00B150DF" w:rsidP="003F6F1A">
      <w:pPr>
        <w:spacing w:after="0"/>
        <w:rPr>
          <w:rFonts w:ascii="Arial" w:hAnsi="Arial" w:cs="Arial"/>
          <w:sz w:val="20"/>
          <w:szCs w:val="20"/>
          <w:u w:val="single"/>
        </w:rPr>
      </w:pPr>
    </w:p>
    <w:tbl>
      <w:tblPr>
        <w:tblW w:w="9411" w:type="dxa"/>
        <w:tblInd w:w="18" w:type="dxa"/>
        <w:tblLayout w:type="fixed"/>
        <w:tblLook w:val="04A0" w:firstRow="1" w:lastRow="0" w:firstColumn="1" w:lastColumn="0" w:noHBand="0" w:noVBand="1"/>
      </w:tblPr>
      <w:tblGrid>
        <w:gridCol w:w="4762"/>
        <w:gridCol w:w="236"/>
        <w:gridCol w:w="2054"/>
        <w:gridCol w:w="236"/>
        <w:gridCol w:w="2123"/>
      </w:tblGrid>
      <w:tr w:rsidR="003E0848" w:rsidRPr="00DA4360" w14:paraId="522B95CA" w14:textId="77777777" w:rsidTr="004A1755">
        <w:tc>
          <w:tcPr>
            <w:tcW w:w="4762" w:type="dxa"/>
            <w:tcBorders>
              <w:top w:val="single" w:sz="4" w:space="0" w:color="auto"/>
              <w:bottom w:val="single" w:sz="12" w:space="0" w:color="auto"/>
            </w:tcBorders>
            <w:shd w:val="clear" w:color="auto" w:fill="auto"/>
          </w:tcPr>
          <w:p w14:paraId="3D7DD5DB" w14:textId="77777777" w:rsidR="00B150DF" w:rsidRPr="00DA4360" w:rsidRDefault="00B150DF" w:rsidP="003F6F1A">
            <w:pPr>
              <w:keepNext/>
              <w:tabs>
                <w:tab w:val="left" w:pos="360"/>
              </w:tabs>
              <w:suppressAutoHyphens/>
              <w:spacing w:after="0" w:line="240" w:lineRule="auto"/>
              <w:jc w:val="both"/>
              <w:rPr>
                <w:rFonts w:ascii="Arial" w:hAnsi="Arial" w:cs="Arial"/>
                <w:sz w:val="20"/>
                <w:szCs w:val="20"/>
                <w:lang w:val="en-CA"/>
              </w:rPr>
            </w:pPr>
          </w:p>
        </w:tc>
        <w:tc>
          <w:tcPr>
            <w:tcW w:w="2290" w:type="dxa"/>
            <w:gridSpan w:val="2"/>
            <w:tcBorders>
              <w:top w:val="single" w:sz="4" w:space="0" w:color="auto"/>
              <w:bottom w:val="single" w:sz="12" w:space="0" w:color="auto"/>
            </w:tcBorders>
            <w:shd w:val="clear" w:color="auto" w:fill="auto"/>
            <w:vAlign w:val="bottom"/>
          </w:tcPr>
          <w:p w14:paraId="1F820E93" w14:textId="77777777" w:rsidR="00B150DF" w:rsidRPr="00DA4360" w:rsidRDefault="00A86E9F" w:rsidP="003F6F1A">
            <w:pPr>
              <w:keepNext/>
              <w:tabs>
                <w:tab w:val="left" w:pos="360"/>
              </w:tabs>
              <w:suppressAutoHyphens/>
              <w:spacing w:after="0" w:line="240" w:lineRule="auto"/>
              <w:jc w:val="right"/>
              <w:rPr>
                <w:rFonts w:ascii="Arial" w:hAnsi="Arial" w:cs="Arial"/>
                <w:b/>
                <w:i/>
                <w:sz w:val="20"/>
                <w:szCs w:val="20"/>
                <w:lang w:val="en-CA"/>
              </w:rPr>
            </w:pPr>
            <w:r w:rsidRPr="00DA4360">
              <w:rPr>
                <w:rFonts w:ascii="Arial" w:hAnsi="Arial" w:cs="Arial"/>
                <w:b/>
                <w:sz w:val="20"/>
                <w:szCs w:val="20"/>
                <w:lang w:val="en-CA"/>
              </w:rPr>
              <w:t xml:space="preserve">YTD </w:t>
            </w:r>
            <w:r w:rsidR="00B150DF" w:rsidRPr="00DA4360">
              <w:rPr>
                <w:rFonts w:ascii="Arial" w:hAnsi="Arial" w:cs="Arial"/>
                <w:b/>
                <w:sz w:val="20"/>
                <w:szCs w:val="20"/>
                <w:lang w:val="en-CA"/>
              </w:rPr>
              <w:t>2019</w:t>
            </w:r>
          </w:p>
        </w:tc>
        <w:tc>
          <w:tcPr>
            <w:tcW w:w="2359" w:type="dxa"/>
            <w:gridSpan w:val="2"/>
            <w:tcBorders>
              <w:top w:val="single" w:sz="4" w:space="0" w:color="auto"/>
              <w:bottom w:val="single" w:sz="12" w:space="0" w:color="auto"/>
            </w:tcBorders>
            <w:shd w:val="clear" w:color="auto" w:fill="auto"/>
            <w:vAlign w:val="bottom"/>
          </w:tcPr>
          <w:p w14:paraId="5B75D2FA" w14:textId="77777777" w:rsidR="00B150DF" w:rsidRPr="00DA4360" w:rsidRDefault="00A86E9F" w:rsidP="003F6F1A">
            <w:pPr>
              <w:keepNext/>
              <w:tabs>
                <w:tab w:val="left" w:pos="360"/>
              </w:tabs>
              <w:suppressAutoHyphens/>
              <w:spacing w:after="0" w:line="240" w:lineRule="auto"/>
              <w:jc w:val="right"/>
              <w:rPr>
                <w:rFonts w:ascii="Arial" w:hAnsi="Arial" w:cs="Arial"/>
                <w:sz w:val="20"/>
                <w:szCs w:val="20"/>
                <w:lang w:val="en-CA"/>
              </w:rPr>
            </w:pPr>
            <w:r w:rsidRPr="00DA4360">
              <w:rPr>
                <w:rFonts w:ascii="Arial" w:hAnsi="Arial" w:cs="Arial"/>
                <w:sz w:val="20"/>
                <w:szCs w:val="20"/>
                <w:lang w:val="en-CA"/>
              </w:rPr>
              <w:t xml:space="preserve">YTD </w:t>
            </w:r>
            <w:r w:rsidR="00B150DF" w:rsidRPr="00DA4360">
              <w:rPr>
                <w:rFonts w:ascii="Arial" w:hAnsi="Arial" w:cs="Arial"/>
                <w:sz w:val="20"/>
                <w:szCs w:val="20"/>
                <w:lang w:val="en-CA"/>
              </w:rPr>
              <w:t>2018</w:t>
            </w:r>
          </w:p>
        </w:tc>
      </w:tr>
      <w:tr w:rsidR="003E0848" w:rsidRPr="00DA4360" w14:paraId="6546A8B5" w14:textId="77777777" w:rsidTr="004A1755">
        <w:tc>
          <w:tcPr>
            <w:tcW w:w="4762" w:type="dxa"/>
            <w:tcBorders>
              <w:top w:val="single" w:sz="12" w:space="0" w:color="auto"/>
            </w:tcBorders>
            <w:shd w:val="clear" w:color="auto" w:fill="auto"/>
          </w:tcPr>
          <w:p w14:paraId="6D1E3F78" w14:textId="77777777" w:rsidR="00B150DF" w:rsidRPr="00DA4360" w:rsidRDefault="00B150DF" w:rsidP="003F6F1A">
            <w:pPr>
              <w:keepNext/>
              <w:tabs>
                <w:tab w:val="left" w:pos="360"/>
              </w:tabs>
              <w:suppressAutoHyphens/>
              <w:spacing w:after="0" w:line="240" w:lineRule="auto"/>
              <w:jc w:val="both"/>
              <w:rPr>
                <w:rFonts w:ascii="Arial" w:hAnsi="Arial" w:cs="Arial"/>
                <w:sz w:val="20"/>
                <w:szCs w:val="20"/>
                <w:lang w:val="en-CA"/>
              </w:rPr>
            </w:pPr>
          </w:p>
        </w:tc>
        <w:tc>
          <w:tcPr>
            <w:tcW w:w="236" w:type="dxa"/>
            <w:tcBorders>
              <w:top w:val="single" w:sz="12" w:space="0" w:color="auto"/>
            </w:tcBorders>
            <w:shd w:val="clear" w:color="auto" w:fill="auto"/>
          </w:tcPr>
          <w:p w14:paraId="3C75DDAC" w14:textId="77777777" w:rsidR="00B150DF" w:rsidRPr="00DA4360" w:rsidRDefault="00B150DF" w:rsidP="003F6F1A">
            <w:pPr>
              <w:keepNext/>
              <w:tabs>
                <w:tab w:val="left" w:pos="360"/>
              </w:tabs>
              <w:suppressAutoHyphens/>
              <w:spacing w:after="0" w:line="240" w:lineRule="auto"/>
              <w:jc w:val="right"/>
              <w:rPr>
                <w:rFonts w:ascii="Arial" w:hAnsi="Arial" w:cs="Arial"/>
                <w:b/>
                <w:sz w:val="20"/>
                <w:szCs w:val="20"/>
                <w:lang w:val="en-CA"/>
              </w:rPr>
            </w:pPr>
          </w:p>
        </w:tc>
        <w:tc>
          <w:tcPr>
            <w:tcW w:w="2054" w:type="dxa"/>
            <w:tcBorders>
              <w:top w:val="single" w:sz="12" w:space="0" w:color="auto"/>
            </w:tcBorders>
            <w:shd w:val="clear" w:color="auto" w:fill="auto"/>
            <w:vAlign w:val="bottom"/>
          </w:tcPr>
          <w:p w14:paraId="10C5EBB9" w14:textId="77777777" w:rsidR="00B150DF" w:rsidRPr="00DA4360" w:rsidRDefault="00B150DF" w:rsidP="003F6F1A">
            <w:pPr>
              <w:keepNext/>
              <w:tabs>
                <w:tab w:val="left" w:pos="360"/>
              </w:tabs>
              <w:suppressAutoHyphens/>
              <w:spacing w:after="0" w:line="240" w:lineRule="auto"/>
              <w:jc w:val="right"/>
              <w:rPr>
                <w:rFonts w:ascii="Arial" w:hAnsi="Arial" w:cs="Arial"/>
                <w:b/>
                <w:sz w:val="20"/>
                <w:szCs w:val="20"/>
                <w:lang w:val="en-CA"/>
              </w:rPr>
            </w:pPr>
          </w:p>
        </w:tc>
        <w:tc>
          <w:tcPr>
            <w:tcW w:w="236" w:type="dxa"/>
            <w:tcBorders>
              <w:top w:val="single" w:sz="12" w:space="0" w:color="auto"/>
            </w:tcBorders>
            <w:shd w:val="clear" w:color="auto" w:fill="auto"/>
            <w:vAlign w:val="bottom"/>
          </w:tcPr>
          <w:p w14:paraId="13F0E2B0" w14:textId="77777777" w:rsidR="00B150DF" w:rsidRPr="00DA4360" w:rsidRDefault="00B150DF" w:rsidP="003F6F1A">
            <w:pPr>
              <w:keepNext/>
              <w:tabs>
                <w:tab w:val="left" w:pos="360"/>
              </w:tabs>
              <w:suppressAutoHyphens/>
              <w:spacing w:after="0" w:line="240" w:lineRule="auto"/>
              <w:jc w:val="right"/>
              <w:rPr>
                <w:rFonts w:ascii="Arial" w:hAnsi="Arial" w:cs="Arial"/>
                <w:sz w:val="20"/>
                <w:szCs w:val="20"/>
                <w:lang w:val="en-CA"/>
              </w:rPr>
            </w:pPr>
          </w:p>
        </w:tc>
        <w:tc>
          <w:tcPr>
            <w:tcW w:w="2123" w:type="dxa"/>
            <w:tcBorders>
              <w:top w:val="single" w:sz="12" w:space="0" w:color="auto"/>
            </w:tcBorders>
            <w:shd w:val="clear" w:color="auto" w:fill="auto"/>
            <w:vAlign w:val="bottom"/>
          </w:tcPr>
          <w:p w14:paraId="1B35428C" w14:textId="77777777" w:rsidR="00B150DF" w:rsidRPr="00DA4360" w:rsidRDefault="00B150DF" w:rsidP="003F6F1A">
            <w:pPr>
              <w:keepNext/>
              <w:tabs>
                <w:tab w:val="left" w:pos="360"/>
              </w:tabs>
              <w:suppressAutoHyphens/>
              <w:spacing w:after="0" w:line="240" w:lineRule="auto"/>
              <w:jc w:val="right"/>
              <w:rPr>
                <w:rFonts w:ascii="Arial" w:hAnsi="Arial" w:cs="Arial"/>
                <w:sz w:val="20"/>
                <w:szCs w:val="20"/>
                <w:lang w:val="en-CA"/>
              </w:rPr>
            </w:pPr>
          </w:p>
        </w:tc>
      </w:tr>
      <w:tr w:rsidR="003E0848" w:rsidRPr="00DA4360" w14:paraId="4ADB834E" w14:textId="77777777" w:rsidTr="004A1755">
        <w:tc>
          <w:tcPr>
            <w:tcW w:w="4762" w:type="dxa"/>
            <w:shd w:val="clear" w:color="auto" w:fill="auto"/>
          </w:tcPr>
          <w:p w14:paraId="62C31C44" w14:textId="77777777" w:rsidR="00A86E9F" w:rsidRPr="00DA4360" w:rsidRDefault="00A86E9F" w:rsidP="003F6F1A">
            <w:pPr>
              <w:keepNext/>
              <w:tabs>
                <w:tab w:val="left" w:pos="360"/>
              </w:tabs>
              <w:suppressAutoHyphens/>
              <w:spacing w:after="0" w:line="240" w:lineRule="auto"/>
              <w:jc w:val="both"/>
              <w:rPr>
                <w:rFonts w:ascii="Arial" w:hAnsi="Arial" w:cs="Arial"/>
                <w:sz w:val="20"/>
                <w:szCs w:val="20"/>
                <w:lang w:val="en-CA"/>
              </w:rPr>
            </w:pPr>
            <w:r w:rsidRPr="00DA4360">
              <w:rPr>
                <w:rFonts w:ascii="Arial" w:hAnsi="Arial" w:cs="Arial"/>
                <w:sz w:val="20"/>
                <w:szCs w:val="20"/>
                <w:lang w:val="en-CA"/>
              </w:rPr>
              <w:t>Clinic revenues</w:t>
            </w:r>
          </w:p>
        </w:tc>
        <w:tc>
          <w:tcPr>
            <w:tcW w:w="236" w:type="dxa"/>
            <w:shd w:val="clear" w:color="auto" w:fill="auto"/>
          </w:tcPr>
          <w:p w14:paraId="722047D9" w14:textId="77777777" w:rsidR="00A86E9F" w:rsidRPr="00DA4360" w:rsidRDefault="00A86E9F" w:rsidP="003F6F1A">
            <w:pPr>
              <w:keepNext/>
              <w:tabs>
                <w:tab w:val="left" w:pos="360"/>
              </w:tabs>
              <w:suppressAutoHyphens/>
              <w:spacing w:after="0" w:line="240" w:lineRule="auto"/>
              <w:jc w:val="right"/>
              <w:rPr>
                <w:rFonts w:ascii="Arial" w:hAnsi="Arial" w:cs="Arial"/>
                <w:b/>
                <w:sz w:val="20"/>
                <w:szCs w:val="20"/>
                <w:lang w:val="en-CA"/>
              </w:rPr>
            </w:pPr>
            <w:r w:rsidRPr="00DA4360">
              <w:rPr>
                <w:rFonts w:ascii="Arial" w:hAnsi="Arial" w:cs="Arial"/>
                <w:sz w:val="20"/>
                <w:szCs w:val="20"/>
                <w:lang w:bidi="th-TH"/>
              </w:rPr>
              <w:t>$</w:t>
            </w:r>
          </w:p>
        </w:tc>
        <w:tc>
          <w:tcPr>
            <w:tcW w:w="2054" w:type="dxa"/>
            <w:shd w:val="clear" w:color="auto" w:fill="auto"/>
            <w:vAlign w:val="bottom"/>
          </w:tcPr>
          <w:p w14:paraId="5B71464B" w14:textId="77777777" w:rsidR="00A86E9F" w:rsidRPr="00DA4360" w:rsidRDefault="00A86E9F" w:rsidP="003F6F1A">
            <w:pPr>
              <w:keepNext/>
              <w:tabs>
                <w:tab w:val="left" w:pos="360"/>
              </w:tabs>
              <w:suppressAutoHyphens/>
              <w:spacing w:after="0" w:line="240" w:lineRule="auto"/>
              <w:jc w:val="right"/>
              <w:rPr>
                <w:rFonts w:ascii="Arial" w:hAnsi="Arial" w:cs="Arial"/>
                <w:b/>
                <w:sz w:val="20"/>
                <w:szCs w:val="20"/>
                <w:lang w:val="en-CA"/>
              </w:rPr>
            </w:pPr>
            <w:r w:rsidRPr="00DA4360">
              <w:rPr>
                <w:rFonts w:ascii="Arial" w:hAnsi="Arial" w:cs="Arial"/>
                <w:b/>
                <w:bCs/>
                <w:sz w:val="20"/>
                <w:szCs w:val="20"/>
                <w:lang w:val="en-CA"/>
              </w:rPr>
              <w:t xml:space="preserve"> 743,869 </w:t>
            </w:r>
          </w:p>
        </w:tc>
        <w:tc>
          <w:tcPr>
            <w:tcW w:w="236" w:type="dxa"/>
            <w:shd w:val="clear" w:color="auto" w:fill="auto"/>
            <w:vAlign w:val="bottom"/>
          </w:tcPr>
          <w:p w14:paraId="23A28BD5" w14:textId="77777777" w:rsidR="00A86E9F" w:rsidRPr="00DA4360" w:rsidRDefault="00A86E9F" w:rsidP="003F6F1A">
            <w:pPr>
              <w:keepNext/>
              <w:tabs>
                <w:tab w:val="left" w:pos="360"/>
              </w:tabs>
              <w:suppressAutoHyphens/>
              <w:spacing w:after="0" w:line="240" w:lineRule="auto"/>
              <w:jc w:val="right"/>
              <w:rPr>
                <w:rFonts w:ascii="Arial" w:hAnsi="Arial" w:cs="Arial"/>
                <w:sz w:val="20"/>
                <w:szCs w:val="20"/>
                <w:lang w:val="en-CA"/>
              </w:rPr>
            </w:pPr>
            <w:r w:rsidRPr="00DA4360">
              <w:rPr>
                <w:rFonts w:ascii="Arial" w:hAnsi="Arial" w:cs="Arial"/>
                <w:sz w:val="20"/>
                <w:szCs w:val="20"/>
                <w:lang w:bidi="th-TH"/>
              </w:rPr>
              <w:t>$</w:t>
            </w:r>
          </w:p>
        </w:tc>
        <w:tc>
          <w:tcPr>
            <w:tcW w:w="2123" w:type="dxa"/>
            <w:shd w:val="clear" w:color="auto" w:fill="auto"/>
            <w:vAlign w:val="bottom"/>
          </w:tcPr>
          <w:p w14:paraId="2DDB2307" w14:textId="77777777" w:rsidR="00A86E9F" w:rsidRPr="00DA4360" w:rsidRDefault="00A86E9F" w:rsidP="003F6F1A">
            <w:pPr>
              <w:keepNext/>
              <w:tabs>
                <w:tab w:val="left" w:pos="360"/>
              </w:tabs>
              <w:suppressAutoHyphens/>
              <w:spacing w:after="0" w:line="240" w:lineRule="auto"/>
              <w:jc w:val="right"/>
              <w:rPr>
                <w:rFonts w:ascii="Arial" w:hAnsi="Arial" w:cs="Arial"/>
                <w:sz w:val="20"/>
                <w:szCs w:val="20"/>
                <w:lang w:val="en-CA"/>
              </w:rPr>
            </w:pPr>
            <w:r w:rsidRPr="00DA4360">
              <w:rPr>
                <w:rFonts w:ascii="Arial" w:hAnsi="Arial" w:cs="Arial"/>
                <w:sz w:val="20"/>
                <w:szCs w:val="20"/>
                <w:lang w:val="en-CA"/>
              </w:rPr>
              <w:t xml:space="preserve"> 614,627 </w:t>
            </w:r>
          </w:p>
        </w:tc>
      </w:tr>
      <w:tr w:rsidR="003E0848" w:rsidRPr="00DA4360" w14:paraId="76D9D110" w14:textId="77777777" w:rsidTr="004A1755">
        <w:tc>
          <w:tcPr>
            <w:tcW w:w="4762" w:type="dxa"/>
            <w:shd w:val="clear" w:color="auto" w:fill="auto"/>
          </w:tcPr>
          <w:p w14:paraId="62493747" w14:textId="77777777" w:rsidR="00B150DF" w:rsidRPr="00DA4360" w:rsidRDefault="00B150DF" w:rsidP="003F6F1A">
            <w:pPr>
              <w:keepNext/>
              <w:tabs>
                <w:tab w:val="left" w:pos="360"/>
              </w:tabs>
              <w:suppressAutoHyphens/>
              <w:spacing w:after="0" w:line="240" w:lineRule="auto"/>
              <w:ind w:left="-310"/>
              <w:jc w:val="both"/>
              <w:rPr>
                <w:rFonts w:ascii="Arial" w:hAnsi="Arial" w:cs="Arial"/>
                <w:sz w:val="20"/>
                <w:szCs w:val="20"/>
                <w:lang w:val="en-CA"/>
              </w:rPr>
            </w:pPr>
          </w:p>
        </w:tc>
        <w:tc>
          <w:tcPr>
            <w:tcW w:w="236" w:type="dxa"/>
            <w:shd w:val="clear" w:color="auto" w:fill="auto"/>
          </w:tcPr>
          <w:p w14:paraId="2DDA86DF" w14:textId="77777777" w:rsidR="00B150DF" w:rsidRPr="00DA4360" w:rsidRDefault="00B150DF" w:rsidP="003F6F1A">
            <w:pPr>
              <w:keepNext/>
              <w:tabs>
                <w:tab w:val="left" w:pos="360"/>
              </w:tabs>
              <w:suppressAutoHyphens/>
              <w:spacing w:after="0" w:line="240" w:lineRule="auto"/>
              <w:jc w:val="right"/>
              <w:rPr>
                <w:rFonts w:ascii="Arial" w:hAnsi="Arial" w:cs="Arial"/>
                <w:b/>
                <w:sz w:val="20"/>
                <w:szCs w:val="20"/>
                <w:lang w:val="en-CA"/>
              </w:rPr>
            </w:pPr>
          </w:p>
        </w:tc>
        <w:tc>
          <w:tcPr>
            <w:tcW w:w="2054" w:type="dxa"/>
            <w:shd w:val="clear" w:color="auto" w:fill="auto"/>
            <w:vAlign w:val="bottom"/>
          </w:tcPr>
          <w:p w14:paraId="3374D7F4" w14:textId="77777777" w:rsidR="00B150DF" w:rsidRPr="00DA4360" w:rsidRDefault="00B150DF" w:rsidP="003F6F1A">
            <w:pPr>
              <w:keepNext/>
              <w:tabs>
                <w:tab w:val="left" w:pos="360"/>
              </w:tabs>
              <w:suppressAutoHyphens/>
              <w:spacing w:after="0" w:line="240" w:lineRule="auto"/>
              <w:jc w:val="right"/>
              <w:rPr>
                <w:rFonts w:ascii="Arial" w:hAnsi="Arial" w:cs="Arial"/>
                <w:b/>
                <w:sz w:val="20"/>
                <w:szCs w:val="20"/>
                <w:lang w:val="en-CA"/>
              </w:rPr>
            </w:pPr>
          </w:p>
        </w:tc>
        <w:tc>
          <w:tcPr>
            <w:tcW w:w="236" w:type="dxa"/>
            <w:shd w:val="clear" w:color="auto" w:fill="auto"/>
            <w:vAlign w:val="bottom"/>
          </w:tcPr>
          <w:p w14:paraId="248D754C" w14:textId="77777777" w:rsidR="00B150DF" w:rsidRPr="00DA4360" w:rsidRDefault="00B150DF" w:rsidP="003F6F1A">
            <w:pPr>
              <w:keepNext/>
              <w:tabs>
                <w:tab w:val="left" w:pos="360"/>
              </w:tabs>
              <w:suppressAutoHyphens/>
              <w:spacing w:after="0" w:line="240" w:lineRule="auto"/>
              <w:jc w:val="right"/>
              <w:rPr>
                <w:rFonts w:ascii="Arial" w:hAnsi="Arial" w:cs="Arial"/>
                <w:sz w:val="20"/>
                <w:szCs w:val="20"/>
                <w:lang w:val="en-CA"/>
              </w:rPr>
            </w:pPr>
          </w:p>
        </w:tc>
        <w:tc>
          <w:tcPr>
            <w:tcW w:w="2123" w:type="dxa"/>
            <w:shd w:val="clear" w:color="auto" w:fill="auto"/>
            <w:vAlign w:val="bottom"/>
          </w:tcPr>
          <w:p w14:paraId="61D9AD4A" w14:textId="77777777" w:rsidR="00B150DF" w:rsidRPr="00DA4360" w:rsidRDefault="00B150DF" w:rsidP="003F6F1A">
            <w:pPr>
              <w:keepNext/>
              <w:tabs>
                <w:tab w:val="left" w:pos="360"/>
              </w:tabs>
              <w:suppressAutoHyphens/>
              <w:spacing w:after="0" w:line="240" w:lineRule="auto"/>
              <w:jc w:val="right"/>
              <w:rPr>
                <w:rFonts w:ascii="Arial" w:hAnsi="Arial" w:cs="Arial"/>
                <w:sz w:val="20"/>
                <w:szCs w:val="20"/>
                <w:lang w:val="en-CA"/>
              </w:rPr>
            </w:pPr>
          </w:p>
        </w:tc>
      </w:tr>
      <w:tr w:rsidR="003E0848" w:rsidRPr="00DA4360" w14:paraId="120CA5EA" w14:textId="77777777" w:rsidTr="004A1755">
        <w:tc>
          <w:tcPr>
            <w:tcW w:w="4762" w:type="dxa"/>
            <w:tcBorders>
              <w:bottom w:val="single" w:sz="4" w:space="0" w:color="auto"/>
            </w:tcBorders>
            <w:shd w:val="clear" w:color="auto" w:fill="auto"/>
          </w:tcPr>
          <w:p w14:paraId="1D364335" w14:textId="77777777" w:rsidR="00A86E9F" w:rsidRPr="00DA4360" w:rsidRDefault="00A86E9F" w:rsidP="003F6F1A">
            <w:pPr>
              <w:keepNext/>
              <w:tabs>
                <w:tab w:val="left" w:pos="360"/>
              </w:tabs>
              <w:suppressAutoHyphens/>
              <w:spacing w:after="0" w:line="240" w:lineRule="auto"/>
              <w:jc w:val="both"/>
              <w:rPr>
                <w:rFonts w:ascii="Arial" w:hAnsi="Arial" w:cs="Arial"/>
                <w:sz w:val="20"/>
                <w:szCs w:val="20"/>
                <w:lang w:val="en-CA"/>
              </w:rPr>
            </w:pPr>
            <w:r w:rsidRPr="00DA4360">
              <w:rPr>
                <w:rFonts w:ascii="Arial" w:hAnsi="Arial" w:cs="Arial"/>
                <w:sz w:val="20"/>
                <w:szCs w:val="20"/>
                <w:lang w:val="en-CA"/>
              </w:rPr>
              <w:t>Direct clinic expenses</w:t>
            </w:r>
          </w:p>
        </w:tc>
        <w:tc>
          <w:tcPr>
            <w:tcW w:w="236" w:type="dxa"/>
            <w:tcBorders>
              <w:bottom w:val="single" w:sz="4" w:space="0" w:color="auto"/>
            </w:tcBorders>
            <w:shd w:val="clear" w:color="auto" w:fill="auto"/>
          </w:tcPr>
          <w:p w14:paraId="45BD0D6A" w14:textId="77777777" w:rsidR="00A86E9F" w:rsidRPr="00DA4360" w:rsidRDefault="00A86E9F" w:rsidP="003F6F1A">
            <w:pPr>
              <w:keepNext/>
              <w:tabs>
                <w:tab w:val="left" w:pos="360"/>
              </w:tabs>
              <w:suppressAutoHyphens/>
              <w:spacing w:after="0" w:line="240" w:lineRule="auto"/>
              <w:jc w:val="right"/>
              <w:rPr>
                <w:rFonts w:ascii="Arial" w:hAnsi="Arial" w:cs="Arial"/>
                <w:b/>
                <w:sz w:val="20"/>
                <w:szCs w:val="20"/>
                <w:lang w:val="en-CA"/>
              </w:rPr>
            </w:pPr>
          </w:p>
        </w:tc>
        <w:tc>
          <w:tcPr>
            <w:tcW w:w="2054" w:type="dxa"/>
            <w:tcBorders>
              <w:bottom w:val="single" w:sz="4" w:space="0" w:color="auto"/>
            </w:tcBorders>
            <w:shd w:val="clear" w:color="auto" w:fill="auto"/>
            <w:vAlign w:val="bottom"/>
          </w:tcPr>
          <w:p w14:paraId="00B86817" w14:textId="77777777" w:rsidR="00A86E9F" w:rsidRPr="00DA4360" w:rsidRDefault="00A86E9F" w:rsidP="003F6F1A">
            <w:pPr>
              <w:keepNext/>
              <w:tabs>
                <w:tab w:val="left" w:pos="360"/>
              </w:tabs>
              <w:suppressAutoHyphens/>
              <w:spacing w:after="0" w:line="240" w:lineRule="auto"/>
              <w:jc w:val="right"/>
              <w:rPr>
                <w:rFonts w:ascii="Arial" w:hAnsi="Arial" w:cs="Arial"/>
                <w:b/>
                <w:sz w:val="20"/>
                <w:szCs w:val="20"/>
                <w:lang w:val="en-CA"/>
              </w:rPr>
            </w:pPr>
            <w:r w:rsidRPr="00DA4360">
              <w:rPr>
                <w:rFonts w:ascii="Arial" w:hAnsi="Arial" w:cs="Arial"/>
                <w:b/>
                <w:bCs/>
                <w:sz w:val="20"/>
                <w:szCs w:val="20"/>
                <w:lang w:val="en-CA"/>
              </w:rPr>
              <w:t xml:space="preserve"> 122,163 </w:t>
            </w:r>
          </w:p>
        </w:tc>
        <w:tc>
          <w:tcPr>
            <w:tcW w:w="236" w:type="dxa"/>
            <w:tcBorders>
              <w:bottom w:val="single" w:sz="4" w:space="0" w:color="auto"/>
            </w:tcBorders>
            <w:shd w:val="clear" w:color="auto" w:fill="auto"/>
            <w:vAlign w:val="bottom"/>
          </w:tcPr>
          <w:p w14:paraId="3D7DDFE5" w14:textId="77777777" w:rsidR="00A86E9F" w:rsidRPr="00DA4360" w:rsidRDefault="00A86E9F" w:rsidP="003F6F1A">
            <w:pPr>
              <w:keepNext/>
              <w:tabs>
                <w:tab w:val="left" w:pos="360"/>
              </w:tabs>
              <w:suppressAutoHyphens/>
              <w:spacing w:after="0" w:line="240" w:lineRule="auto"/>
              <w:jc w:val="right"/>
              <w:rPr>
                <w:rFonts w:ascii="Arial" w:hAnsi="Arial" w:cs="Arial"/>
                <w:sz w:val="20"/>
                <w:szCs w:val="20"/>
                <w:lang w:val="en-CA"/>
              </w:rPr>
            </w:pPr>
          </w:p>
        </w:tc>
        <w:tc>
          <w:tcPr>
            <w:tcW w:w="2123" w:type="dxa"/>
            <w:tcBorders>
              <w:bottom w:val="single" w:sz="4" w:space="0" w:color="auto"/>
            </w:tcBorders>
            <w:shd w:val="clear" w:color="auto" w:fill="auto"/>
            <w:vAlign w:val="bottom"/>
          </w:tcPr>
          <w:p w14:paraId="21032E1C" w14:textId="77777777" w:rsidR="00A86E9F" w:rsidRPr="00DA4360" w:rsidRDefault="00A86E9F" w:rsidP="003F6F1A">
            <w:pPr>
              <w:keepNext/>
              <w:tabs>
                <w:tab w:val="left" w:pos="360"/>
              </w:tabs>
              <w:suppressAutoHyphens/>
              <w:spacing w:after="0" w:line="240" w:lineRule="auto"/>
              <w:jc w:val="right"/>
              <w:rPr>
                <w:rFonts w:ascii="Arial" w:hAnsi="Arial" w:cs="Arial"/>
                <w:sz w:val="20"/>
                <w:szCs w:val="20"/>
                <w:lang w:val="en-CA"/>
              </w:rPr>
            </w:pPr>
            <w:r w:rsidRPr="00DA4360">
              <w:rPr>
                <w:rFonts w:ascii="Arial" w:hAnsi="Arial" w:cs="Arial"/>
                <w:sz w:val="20"/>
                <w:szCs w:val="20"/>
                <w:lang w:val="en-CA"/>
              </w:rPr>
              <w:t xml:space="preserve"> 212,436 </w:t>
            </w:r>
          </w:p>
        </w:tc>
      </w:tr>
      <w:tr w:rsidR="003E0848" w:rsidRPr="00DA4360" w14:paraId="30DDF09E" w14:textId="77777777" w:rsidTr="004A1755">
        <w:tc>
          <w:tcPr>
            <w:tcW w:w="4762" w:type="dxa"/>
            <w:tcBorders>
              <w:top w:val="single" w:sz="4" w:space="0" w:color="auto"/>
            </w:tcBorders>
            <w:shd w:val="clear" w:color="auto" w:fill="auto"/>
          </w:tcPr>
          <w:p w14:paraId="0A45CF43" w14:textId="77777777" w:rsidR="00B150DF" w:rsidRPr="00DA4360" w:rsidRDefault="00B150DF" w:rsidP="003F6F1A">
            <w:pPr>
              <w:keepNext/>
              <w:tabs>
                <w:tab w:val="left" w:pos="360"/>
              </w:tabs>
              <w:suppressAutoHyphens/>
              <w:spacing w:after="0" w:line="240" w:lineRule="auto"/>
              <w:jc w:val="both"/>
              <w:rPr>
                <w:rFonts w:ascii="Arial" w:hAnsi="Arial" w:cs="Arial"/>
                <w:sz w:val="20"/>
                <w:szCs w:val="20"/>
                <w:lang w:val="en-CA"/>
              </w:rPr>
            </w:pPr>
          </w:p>
        </w:tc>
        <w:tc>
          <w:tcPr>
            <w:tcW w:w="236" w:type="dxa"/>
            <w:tcBorders>
              <w:top w:val="single" w:sz="4" w:space="0" w:color="auto"/>
            </w:tcBorders>
            <w:shd w:val="clear" w:color="auto" w:fill="auto"/>
          </w:tcPr>
          <w:p w14:paraId="332CFB3B" w14:textId="77777777" w:rsidR="00B150DF" w:rsidRPr="00DA4360" w:rsidRDefault="00B150DF" w:rsidP="003F6F1A">
            <w:pPr>
              <w:keepNext/>
              <w:tabs>
                <w:tab w:val="left" w:pos="360"/>
              </w:tabs>
              <w:suppressAutoHyphens/>
              <w:spacing w:after="0" w:line="240" w:lineRule="auto"/>
              <w:jc w:val="right"/>
              <w:rPr>
                <w:rFonts w:ascii="Arial" w:hAnsi="Arial" w:cs="Arial"/>
                <w:b/>
                <w:sz w:val="20"/>
                <w:szCs w:val="20"/>
                <w:lang w:val="en-CA"/>
              </w:rPr>
            </w:pPr>
          </w:p>
        </w:tc>
        <w:tc>
          <w:tcPr>
            <w:tcW w:w="2054" w:type="dxa"/>
            <w:tcBorders>
              <w:top w:val="single" w:sz="4" w:space="0" w:color="auto"/>
            </w:tcBorders>
            <w:shd w:val="clear" w:color="auto" w:fill="auto"/>
            <w:vAlign w:val="bottom"/>
          </w:tcPr>
          <w:p w14:paraId="5FAEE19F" w14:textId="77777777" w:rsidR="00B150DF" w:rsidRPr="00DA4360" w:rsidRDefault="00B150DF" w:rsidP="003F6F1A">
            <w:pPr>
              <w:keepNext/>
              <w:tabs>
                <w:tab w:val="left" w:pos="360"/>
              </w:tabs>
              <w:suppressAutoHyphens/>
              <w:spacing w:after="0" w:line="240" w:lineRule="auto"/>
              <w:jc w:val="right"/>
              <w:rPr>
                <w:rFonts w:ascii="Arial" w:hAnsi="Arial" w:cs="Arial"/>
                <w:b/>
                <w:sz w:val="20"/>
                <w:szCs w:val="20"/>
                <w:lang w:val="en-CA"/>
              </w:rPr>
            </w:pPr>
          </w:p>
        </w:tc>
        <w:tc>
          <w:tcPr>
            <w:tcW w:w="236" w:type="dxa"/>
            <w:tcBorders>
              <w:top w:val="single" w:sz="4" w:space="0" w:color="auto"/>
            </w:tcBorders>
            <w:shd w:val="clear" w:color="auto" w:fill="auto"/>
            <w:vAlign w:val="bottom"/>
          </w:tcPr>
          <w:p w14:paraId="53126CC6" w14:textId="77777777" w:rsidR="00B150DF" w:rsidRPr="00DA4360" w:rsidRDefault="00B150DF" w:rsidP="003F6F1A">
            <w:pPr>
              <w:keepNext/>
              <w:tabs>
                <w:tab w:val="left" w:pos="360"/>
              </w:tabs>
              <w:suppressAutoHyphens/>
              <w:spacing w:after="0" w:line="240" w:lineRule="auto"/>
              <w:jc w:val="right"/>
              <w:rPr>
                <w:rFonts w:ascii="Arial" w:hAnsi="Arial" w:cs="Arial"/>
                <w:sz w:val="20"/>
                <w:szCs w:val="20"/>
                <w:lang w:val="en-CA"/>
              </w:rPr>
            </w:pPr>
          </w:p>
        </w:tc>
        <w:tc>
          <w:tcPr>
            <w:tcW w:w="2123" w:type="dxa"/>
            <w:tcBorders>
              <w:top w:val="single" w:sz="4" w:space="0" w:color="auto"/>
            </w:tcBorders>
            <w:shd w:val="clear" w:color="auto" w:fill="auto"/>
            <w:vAlign w:val="bottom"/>
          </w:tcPr>
          <w:p w14:paraId="04E3C3DF" w14:textId="77777777" w:rsidR="00B150DF" w:rsidRPr="00DA4360" w:rsidRDefault="00B150DF" w:rsidP="003F6F1A">
            <w:pPr>
              <w:keepNext/>
              <w:tabs>
                <w:tab w:val="left" w:pos="360"/>
              </w:tabs>
              <w:suppressAutoHyphens/>
              <w:spacing w:after="0" w:line="240" w:lineRule="auto"/>
              <w:jc w:val="right"/>
              <w:rPr>
                <w:rFonts w:ascii="Arial" w:hAnsi="Arial" w:cs="Arial"/>
                <w:sz w:val="20"/>
                <w:szCs w:val="20"/>
                <w:lang w:val="en-CA"/>
              </w:rPr>
            </w:pPr>
          </w:p>
        </w:tc>
      </w:tr>
      <w:tr w:rsidR="003E0848" w:rsidRPr="00DA4360" w14:paraId="2EA1C76A" w14:textId="77777777" w:rsidTr="004A1755">
        <w:tc>
          <w:tcPr>
            <w:tcW w:w="4762" w:type="dxa"/>
            <w:shd w:val="clear" w:color="auto" w:fill="auto"/>
          </w:tcPr>
          <w:p w14:paraId="4D64B67D" w14:textId="77777777" w:rsidR="00A86E9F" w:rsidRPr="00DA4360" w:rsidRDefault="00A86E9F" w:rsidP="003F6F1A">
            <w:pPr>
              <w:keepNext/>
              <w:tabs>
                <w:tab w:val="left" w:pos="360"/>
              </w:tabs>
              <w:suppressAutoHyphens/>
              <w:spacing w:after="0" w:line="240" w:lineRule="auto"/>
              <w:jc w:val="both"/>
              <w:rPr>
                <w:rFonts w:ascii="Arial" w:hAnsi="Arial" w:cs="Arial"/>
                <w:sz w:val="20"/>
                <w:szCs w:val="20"/>
                <w:lang w:val="en-CA"/>
              </w:rPr>
            </w:pPr>
            <w:r w:rsidRPr="00DA4360">
              <w:rPr>
                <w:rFonts w:ascii="Arial" w:hAnsi="Arial" w:cs="Arial"/>
                <w:sz w:val="20"/>
                <w:szCs w:val="20"/>
                <w:lang w:val="en-CA"/>
              </w:rPr>
              <w:t>Earnings from clinic operations</w:t>
            </w:r>
          </w:p>
        </w:tc>
        <w:tc>
          <w:tcPr>
            <w:tcW w:w="236" w:type="dxa"/>
            <w:shd w:val="clear" w:color="auto" w:fill="auto"/>
          </w:tcPr>
          <w:p w14:paraId="2BB9B220" w14:textId="77777777" w:rsidR="00A86E9F" w:rsidRPr="00DA4360" w:rsidRDefault="00A86E9F" w:rsidP="003F6F1A">
            <w:pPr>
              <w:keepNext/>
              <w:tabs>
                <w:tab w:val="left" w:pos="360"/>
              </w:tabs>
              <w:suppressAutoHyphens/>
              <w:spacing w:after="0" w:line="240" w:lineRule="auto"/>
              <w:jc w:val="right"/>
              <w:rPr>
                <w:rFonts w:ascii="Arial" w:hAnsi="Arial" w:cs="Arial"/>
                <w:b/>
                <w:sz w:val="20"/>
                <w:szCs w:val="20"/>
                <w:lang w:val="en-CA"/>
              </w:rPr>
            </w:pPr>
          </w:p>
        </w:tc>
        <w:tc>
          <w:tcPr>
            <w:tcW w:w="2054" w:type="dxa"/>
            <w:shd w:val="clear" w:color="auto" w:fill="auto"/>
            <w:vAlign w:val="bottom"/>
          </w:tcPr>
          <w:p w14:paraId="0DF351DD" w14:textId="77777777" w:rsidR="00A86E9F" w:rsidRPr="00DA4360" w:rsidRDefault="00A86E9F" w:rsidP="003F6F1A">
            <w:pPr>
              <w:keepNext/>
              <w:tabs>
                <w:tab w:val="left" w:pos="360"/>
              </w:tabs>
              <w:suppressAutoHyphens/>
              <w:spacing w:after="0" w:line="240" w:lineRule="auto"/>
              <w:jc w:val="right"/>
              <w:rPr>
                <w:rFonts w:ascii="Arial" w:hAnsi="Arial" w:cs="Arial"/>
                <w:b/>
                <w:sz w:val="20"/>
                <w:szCs w:val="20"/>
                <w:lang w:val="en-CA"/>
              </w:rPr>
            </w:pPr>
            <w:r w:rsidRPr="00DA4360">
              <w:rPr>
                <w:rFonts w:ascii="Arial" w:hAnsi="Arial" w:cs="Arial"/>
                <w:b/>
                <w:bCs/>
                <w:sz w:val="20"/>
                <w:szCs w:val="20"/>
                <w:lang w:val="en-CA"/>
              </w:rPr>
              <w:t xml:space="preserve"> 621,706 </w:t>
            </w:r>
          </w:p>
        </w:tc>
        <w:tc>
          <w:tcPr>
            <w:tcW w:w="236" w:type="dxa"/>
            <w:shd w:val="clear" w:color="auto" w:fill="auto"/>
            <w:vAlign w:val="bottom"/>
          </w:tcPr>
          <w:p w14:paraId="4A9855C3" w14:textId="77777777" w:rsidR="00A86E9F" w:rsidRPr="00DA4360" w:rsidRDefault="00A86E9F" w:rsidP="003F6F1A">
            <w:pPr>
              <w:keepNext/>
              <w:tabs>
                <w:tab w:val="left" w:pos="360"/>
              </w:tabs>
              <w:suppressAutoHyphens/>
              <w:spacing w:after="0" w:line="240" w:lineRule="auto"/>
              <w:jc w:val="right"/>
              <w:rPr>
                <w:rFonts w:ascii="Arial" w:hAnsi="Arial" w:cs="Arial"/>
                <w:sz w:val="20"/>
                <w:szCs w:val="20"/>
                <w:lang w:val="en-CA"/>
              </w:rPr>
            </w:pPr>
          </w:p>
        </w:tc>
        <w:tc>
          <w:tcPr>
            <w:tcW w:w="2123" w:type="dxa"/>
            <w:shd w:val="clear" w:color="auto" w:fill="auto"/>
            <w:vAlign w:val="bottom"/>
          </w:tcPr>
          <w:p w14:paraId="511F08CF" w14:textId="77777777" w:rsidR="00A86E9F" w:rsidRPr="00DA4360" w:rsidRDefault="00A86E9F" w:rsidP="003F6F1A">
            <w:pPr>
              <w:keepNext/>
              <w:tabs>
                <w:tab w:val="left" w:pos="360"/>
              </w:tabs>
              <w:suppressAutoHyphens/>
              <w:spacing w:after="0" w:line="240" w:lineRule="auto"/>
              <w:jc w:val="right"/>
              <w:rPr>
                <w:rFonts w:ascii="Arial" w:hAnsi="Arial" w:cs="Arial"/>
                <w:sz w:val="20"/>
                <w:szCs w:val="20"/>
                <w:lang w:val="en-CA"/>
              </w:rPr>
            </w:pPr>
            <w:r w:rsidRPr="00DA4360">
              <w:rPr>
                <w:rFonts w:ascii="Arial" w:hAnsi="Arial" w:cs="Arial"/>
                <w:sz w:val="20"/>
                <w:szCs w:val="20"/>
                <w:lang w:val="en-CA"/>
              </w:rPr>
              <w:t xml:space="preserve"> 402,191 </w:t>
            </w:r>
          </w:p>
        </w:tc>
      </w:tr>
      <w:tr w:rsidR="003E0848" w:rsidRPr="00DA4360" w14:paraId="72F158FE" w14:textId="77777777" w:rsidTr="004A1755">
        <w:tc>
          <w:tcPr>
            <w:tcW w:w="4762" w:type="dxa"/>
            <w:shd w:val="clear" w:color="auto" w:fill="auto"/>
          </w:tcPr>
          <w:p w14:paraId="0F6BFBA9" w14:textId="77777777" w:rsidR="00A86E9F" w:rsidRPr="00DA4360" w:rsidRDefault="00A86E9F" w:rsidP="003F6F1A">
            <w:pPr>
              <w:keepNext/>
              <w:tabs>
                <w:tab w:val="left" w:pos="360"/>
              </w:tabs>
              <w:suppressAutoHyphens/>
              <w:spacing w:after="0" w:line="240" w:lineRule="auto"/>
              <w:jc w:val="both"/>
              <w:rPr>
                <w:rFonts w:ascii="Arial" w:hAnsi="Arial" w:cs="Arial"/>
                <w:sz w:val="20"/>
                <w:szCs w:val="20"/>
                <w:lang w:val="en-CA"/>
              </w:rPr>
            </w:pPr>
          </w:p>
        </w:tc>
        <w:tc>
          <w:tcPr>
            <w:tcW w:w="236" w:type="dxa"/>
            <w:shd w:val="clear" w:color="auto" w:fill="auto"/>
          </w:tcPr>
          <w:p w14:paraId="3CA2472E" w14:textId="77777777" w:rsidR="00A86E9F" w:rsidRPr="00DA4360" w:rsidRDefault="00A86E9F" w:rsidP="003F6F1A">
            <w:pPr>
              <w:keepNext/>
              <w:tabs>
                <w:tab w:val="left" w:pos="360"/>
              </w:tabs>
              <w:suppressAutoHyphens/>
              <w:spacing w:after="0" w:line="240" w:lineRule="auto"/>
              <w:jc w:val="right"/>
              <w:rPr>
                <w:rFonts w:ascii="Arial" w:hAnsi="Arial" w:cs="Arial"/>
                <w:b/>
                <w:sz w:val="20"/>
                <w:szCs w:val="20"/>
                <w:lang w:val="en-CA"/>
              </w:rPr>
            </w:pPr>
          </w:p>
        </w:tc>
        <w:tc>
          <w:tcPr>
            <w:tcW w:w="2054" w:type="dxa"/>
            <w:shd w:val="clear" w:color="auto" w:fill="auto"/>
            <w:vAlign w:val="bottom"/>
          </w:tcPr>
          <w:p w14:paraId="38917FCF" w14:textId="77777777" w:rsidR="00A86E9F" w:rsidRPr="00DA4360" w:rsidRDefault="00A86E9F" w:rsidP="003F6F1A">
            <w:pPr>
              <w:keepNext/>
              <w:tabs>
                <w:tab w:val="left" w:pos="360"/>
              </w:tabs>
              <w:suppressAutoHyphens/>
              <w:spacing w:after="0" w:line="240" w:lineRule="auto"/>
              <w:jc w:val="right"/>
              <w:rPr>
                <w:rFonts w:ascii="Arial" w:hAnsi="Arial" w:cs="Arial"/>
                <w:b/>
                <w:sz w:val="20"/>
                <w:szCs w:val="20"/>
                <w:lang w:val="en-CA"/>
              </w:rPr>
            </w:pPr>
          </w:p>
        </w:tc>
        <w:tc>
          <w:tcPr>
            <w:tcW w:w="236" w:type="dxa"/>
            <w:shd w:val="clear" w:color="auto" w:fill="auto"/>
            <w:vAlign w:val="bottom"/>
          </w:tcPr>
          <w:p w14:paraId="40E108B5" w14:textId="77777777" w:rsidR="00A86E9F" w:rsidRPr="00DA4360" w:rsidRDefault="00A86E9F" w:rsidP="003F6F1A">
            <w:pPr>
              <w:keepNext/>
              <w:tabs>
                <w:tab w:val="left" w:pos="360"/>
              </w:tabs>
              <w:suppressAutoHyphens/>
              <w:spacing w:after="0" w:line="240" w:lineRule="auto"/>
              <w:jc w:val="right"/>
              <w:rPr>
                <w:rFonts w:ascii="Arial" w:hAnsi="Arial" w:cs="Arial"/>
                <w:sz w:val="20"/>
                <w:szCs w:val="20"/>
                <w:lang w:val="en-CA"/>
              </w:rPr>
            </w:pPr>
          </w:p>
        </w:tc>
        <w:tc>
          <w:tcPr>
            <w:tcW w:w="2123" w:type="dxa"/>
            <w:shd w:val="clear" w:color="auto" w:fill="auto"/>
            <w:vAlign w:val="bottom"/>
          </w:tcPr>
          <w:p w14:paraId="1417DFCC" w14:textId="77777777" w:rsidR="00A86E9F" w:rsidRPr="00DA4360" w:rsidRDefault="00A86E9F" w:rsidP="003F6F1A">
            <w:pPr>
              <w:keepNext/>
              <w:tabs>
                <w:tab w:val="left" w:pos="360"/>
              </w:tabs>
              <w:suppressAutoHyphens/>
              <w:spacing w:after="0" w:line="240" w:lineRule="auto"/>
              <w:jc w:val="right"/>
              <w:rPr>
                <w:rFonts w:ascii="Arial" w:hAnsi="Arial" w:cs="Arial"/>
                <w:sz w:val="20"/>
                <w:szCs w:val="20"/>
                <w:lang w:val="en-CA"/>
              </w:rPr>
            </w:pPr>
          </w:p>
        </w:tc>
      </w:tr>
      <w:tr w:rsidR="003E0848" w:rsidRPr="00DA4360" w14:paraId="7FAC3816" w14:textId="77777777" w:rsidTr="004A1755">
        <w:tc>
          <w:tcPr>
            <w:tcW w:w="4762" w:type="dxa"/>
            <w:shd w:val="clear" w:color="auto" w:fill="auto"/>
          </w:tcPr>
          <w:p w14:paraId="2FEFF7D8" w14:textId="77777777" w:rsidR="00A86E9F" w:rsidRPr="00DA4360" w:rsidRDefault="00A86E9F" w:rsidP="003F6F1A">
            <w:pPr>
              <w:keepNext/>
              <w:tabs>
                <w:tab w:val="left" w:pos="360"/>
              </w:tabs>
              <w:suppressAutoHyphens/>
              <w:spacing w:after="0" w:line="240" w:lineRule="auto"/>
              <w:jc w:val="both"/>
              <w:rPr>
                <w:rFonts w:ascii="Arial" w:hAnsi="Arial" w:cs="Arial"/>
                <w:sz w:val="20"/>
                <w:szCs w:val="20"/>
                <w:lang w:val="en-CA"/>
              </w:rPr>
            </w:pPr>
            <w:r w:rsidRPr="00DA4360">
              <w:rPr>
                <w:rFonts w:ascii="Arial" w:hAnsi="Arial" w:cs="Arial"/>
                <w:sz w:val="20"/>
                <w:szCs w:val="20"/>
                <w:lang w:val="en-CA"/>
              </w:rPr>
              <w:t>Operating expenses</w:t>
            </w:r>
          </w:p>
        </w:tc>
        <w:tc>
          <w:tcPr>
            <w:tcW w:w="236" w:type="dxa"/>
            <w:shd w:val="clear" w:color="auto" w:fill="auto"/>
          </w:tcPr>
          <w:p w14:paraId="2403DEC8" w14:textId="77777777" w:rsidR="00A86E9F" w:rsidRPr="00DA4360" w:rsidRDefault="00A86E9F" w:rsidP="003F6F1A">
            <w:pPr>
              <w:keepNext/>
              <w:tabs>
                <w:tab w:val="left" w:pos="360"/>
              </w:tabs>
              <w:suppressAutoHyphens/>
              <w:spacing w:after="0" w:line="240" w:lineRule="auto"/>
              <w:jc w:val="right"/>
              <w:rPr>
                <w:rFonts w:ascii="Arial" w:hAnsi="Arial" w:cs="Arial"/>
                <w:b/>
                <w:sz w:val="20"/>
                <w:szCs w:val="20"/>
                <w:lang w:val="en-CA"/>
              </w:rPr>
            </w:pPr>
          </w:p>
        </w:tc>
        <w:tc>
          <w:tcPr>
            <w:tcW w:w="2054" w:type="dxa"/>
            <w:shd w:val="clear" w:color="auto" w:fill="auto"/>
            <w:vAlign w:val="bottom"/>
          </w:tcPr>
          <w:p w14:paraId="438652CE" w14:textId="77777777" w:rsidR="00A86E9F" w:rsidRPr="00DA4360" w:rsidRDefault="00A86E9F" w:rsidP="003F6F1A">
            <w:pPr>
              <w:keepNext/>
              <w:tabs>
                <w:tab w:val="left" w:pos="360"/>
              </w:tabs>
              <w:suppressAutoHyphens/>
              <w:spacing w:after="0" w:line="240" w:lineRule="auto"/>
              <w:jc w:val="right"/>
              <w:rPr>
                <w:rFonts w:ascii="Arial" w:hAnsi="Arial" w:cs="Arial"/>
                <w:b/>
                <w:sz w:val="20"/>
                <w:szCs w:val="20"/>
                <w:lang w:val="en-CA"/>
              </w:rPr>
            </w:pPr>
            <w:r w:rsidRPr="00DA4360">
              <w:rPr>
                <w:rFonts w:ascii="Arial" w:hAnsi="Arial" w:cs="Arial"/>
                <w:b/>
                <w:bCs/>
                <w:sz w:val="20"/>
                <w:szCs w:val="20"/>
                <w:lang w:val="en-CA"/>
              </w:rPr>
              <w:t xml:space="preserve"> 1,</w:t>
            </w:r>
            <w:r w:rsidR="00BD1255" w:rsidRPr="00DA4360">
              <w:rPr>
                <w:rFonts w:ascii="Arial" w:hAnsi="Arial" w:cs="Arial"/>
                <w:b/>
                <w:bCs/>
                <w:sz w:val="20"/>
                <w:szCs w:val="20"/>
                <w:lang w:val="en-CA"/>
              </w:rPr>
              <w:t>30</w:t>
            </w:r>
            <w:r w:rsidR="00D3689F" w:rsidRPr="00DA4360">
              <w:rPr>
                <w:rFonts w:ascii="Arial" w:hAnsi="Arial" w:cs="Arial"/>
                <w:b/>
                <w:bCs/>
                <w:sz w:val="20"/>
                <w:szCs w:val="20"/>
                <w:lang w:val="en-CA"/>
              </w:rPr>
              <w:t>0,875</w:t>
            </w:r>
            <w:r w:rsidRPr="00DA4360">
              <w:rPr>
                <w:rFonts w:ascii="Arial" w:hAnsi="Arial" w:cs="Arial"/>
                <w:b/>
                <w:bCs/>
                <w:sz w:val="20"/>
                <w:szCs w:val="20"/>
                <w:lang w:val="en-CA"/>
              </w:rPr>
              <w:t xml:space="preserve"> </w:t>
            </w:r>
          </w:p>
        </w:tc>
        <w:tc>
          <w:tcPr>
            <w:tcW w:w="236" w:type="dxa"/>
            <w:shd w:val="clear" w:color="auto" w:fill="auto"/>
            <w:vAlign w:val="bottom"/>
          </w:tcPr>
          <w:p w14:paraId="132392DD" w14:textId="77777777" w:rsidR="00A86E9F" w:rsidRPr="00DA4360" w:rsidRDefault="00A86E9F" w:rsidP="003F6F1A">
            <w:pPr>
              <w:keepNext/>
              <w:tabs>
                <w:tab w:val="left" w:pos="360"/>
              </w:tabs>
              <w:suppressAutoHyphens/>
              <w:spacing w:after="0" w:line="240" w:lineRule="auto"/>
              <w:jc w:val="right"/>
              <w:rPr>
                <w:rFonts w:ascii="Arial" w:hAnsi="Arial" w:cs="Arial"/>
                <w:sz w:val="20"/>
                <w:szCs w:val="20"/>
                <w:lang w:val="en-CA"/>
              </w:rPr>
            </w:pPr>
          </w:p>
        </w:tc>
        <w:tc>
          <w:tcPr>
            <w:tcW w:w="2123" w:type="dxa"/>
            <w:shd w:val="clear" w:color="auto" w:fill="auto"/>
            <w:vAlign w:val="bottom"/>
          </w:tcPr>
          <w:p w14:paraId="56C5DC96" w14:textId="77777777" w:rsidR="00A86E9F" w:rsidRPr="00DA4360" w:rsidRDefault="00424A47" w:rsidP="003F6F1A">
            <w:pPr>
              <w:keepNext/>
              <w:tabs>
                <w:tab w:val="left" w:pos="360"/>
              </w:tabs>
              <w:suppressAutoHyphens/>
              <w:spacing w:after="0" w:line="240" w:lineRule="auto"/>
              <w:jc w:val="right"/>
              <w:rPr>
                <w:rFonts w:ascii="Arial" w:hAnsi="Arial" w:cs="Arial"/>
                <w:sz w:val="20"/>
                <w:szCs w:val="20"/>
                <w:lang w:val="en-CA"/>
              </w:rPr>
            </w:pPr>
            <w:r w:rsidRPr="00DA4360">
              <w:rPr>
                <w:rFonts w:ascii="Arial" w:hAnsi="Arial" w:cs="Arial"/>
                <w:sz w:val="20"/>
                <w:szCs w:val="20"/>
                <w:lang w:val="en-CA"/>
              </w:rPr>
              <w:t>2,431,784</w:t>
            </w:r>
            <w:r w:rsidR="00A86E9F" w:rsidRPr="00DA4360">
              <w:rPr>
                <w:rFonts w:ascii="Arial" w:hAnsi="Arial" w:cs="Arial"/>
                <w:sz w:val="20"/>
                <w:szCs w:val="20"/>
                <w:lang w:val="en-CA"/>
              </w:rPr>
              <w:t xml:space="preserve"> </w:t>
            </w:r>
          </w:p>
        </w:tc>
      </w:tr>
      <w:tr w:rsidR="003E0848" w:rsidRPr="00DA4360" w14:paraId="5D2BAF80" w14:textId="77777777" w:rsidTr="004A1755">
        <w:tc>
          <w:tcPr>
            <w:tcW w:w="4762" w:type="dxa"/>
            <w:shd w:val="clear" w:color="auto" w:fill="auto"/>
          </w:tcPr>
          <w:p w14:paraId="0CF09CC8" w14:textId="77777777" w:rsidR="00A86E9F" w:rsidRPr="00DA4360" w:rsidRDefault="00A86E9F" w:rsidP="003F6F1A">
            <w:pPr>
              <w:keepNext/>
              <w:tabs>
                <w:tab w:val="left" w:pos="360"/>
              </w:tabs>
              <w:suppressAutoHyphens/>
              <w:spacing w:after="0" w:line="240" w:lineRule="auto"/>
              <w:jc w:val="both"/>
              <w:rPr>
                <w:rFonts w:ascii="Arial" w:hAnsi="Arial" w:cs="Arial"/>
                <w:sz w:val="20"/>
                <w:szCs w:val="20"/>
                <w:lang w:val="en-CA"/>
              </w:rPr>
            </w:pPr>
            <w:r w:rsidRPr="00DA4360">
              <w:rPr>
                <w:rFonts w:ascii="Arial" w:hAnsi="Arial" w:cs="Arial"/>
                <w:sz w:val="20"/>
                <w:szCs w:val="20"/>
                <w:lang w:val="en-CA"/>
              </w:rPr>
              <w:t>Legal and professional fees</w:t>
            </w:r>
          </w:p>
        </w:tc>
        <w:tc>
          <w:tcPr>
            <w:tcW w:w="236" w:type="dxa"/>
            <w:shd w:val="clear" w:color="auto" w:fill="auto"/>
          </w:tcPr>
          <w:p w14:paraId="05BB50A5" w14:textId="77777777" w:rsidR="00A86E9F" w:rsidRPr="00DA4360" w:rsidRDefault="00A86E9F" w:rsidP="003F6F1A">
            <w:pPr>
              <w:keepNext/>
              <w:tabs>
                <w:tab w:val="left" w:pos="360"/>
              </w:tabs>
              <w:suppressAutoHyphens/>
              <w:spacing w:after="0" w:line="240" w:lineRule="auto"/>
              <w:jc w:val="right"/>
              <w:rPr>
                <w:rFonts w:ascii="Arial" w:hAnsi="Arial" w:cs="Arial"/>
                <w:b/>
                <w:sz w:val="20"/>
                <w:szCs w:val="20"/>
                <w:lang w:val="en-CA"/>
              </w:rPr>
            </w:pPr>
          </w:p>
        </w:tc>
        <w:tc>
          <w:tcPr>
            <w:tcW w:w="2054" w:type="dxa"/>
            <w:shd w:val="clear" w:color="auto" w:fill="auto"/>
            <w:vAlign w:val="bottom"/>
          </w:tcPr>
          <w:p w14:paraId="7E116EF4" w14:textId="77777777" w:rsidR="00A86E9F" w:rsidRPr="00DA4360" w:rsidRDefault="00A86E9F" w:rsidP="003F6F1A">
            <w:pPr>
              <w:keepNext/>
              <w:tabs>
                <w:tab w:val="left" w:pos="360"/>
              </w:tabs>
              <w:suppressAutoHyphens/>
              <w:spacing w:after="0" w:line="240" w:lineRule="auto"/>
              <w:jc w:val="right"/>
              <w:rPr>
                <w:rFonts w:ascii="Arial" w:hAnsi="Arial" w:cs="Arial"/>
                <w:b/>
                <w:sz w:val="20"/>
                <w:szCs w:val="20"/>
                <w:lang w:val="en-CA"/>
              </w:rPr>
            </w:pPr>
            <w:r w:rsidRPr="00DA4360">
              <w:rPr>
                <w:rFonts w:ascii="Arial" w:hAnsi="Arial" w:cs="Arial"/>
                <w:b/>
                <w:bCs/>
                <w:sz w:val="20"/>
                <w:szCs w:val="20"/>
                <w:lang w:val="en-CA"/>
              </w:rPr>
              <w:t xml:space="preserve"> 433,679 </w:t>
            </w:r>
          </w:p>
        </w:tc>
        <w:tc>
          <w:tcPr>
            <w:tcW w:w="236" w:type="dxa"/>
            <w:shd w:val="clear" w:color="auto" w:fill="auto"/>
            <w:vAlign w:val="bottom"/>
          </w:tcPr>
          <w:p w14:paraId="7DDA7C80" w14:textId="77777777" w:rsidR="00A86E9F" w:rsidRPr="00DA4360" w:rsidRDefault="00A86E9F" w:rsidP="003F6F1A">
            <w:pPr>
              <w:keepNext/>
              <w:tabs>
                <w:tab w:val="left" w:pos="360"/>
              </w:tabs>
              <w:suppressAutoHyphens/>
              <w:spacing w:after="0" w:line="240" w:lineRule="auto"/>
              <w:jc w:val="right"/>
              <w:rPr>
                <w:rFonts w:ascii="Arial" w:hAnsi="Arial" w:cs="Arial"/>
                <w:sz w:val="20"/>
                <w:szCs w:val="20"/>
                <w:lang w:val="en-CA"/>
              </w:rPr>
            </w:pPr>
          </w:p>
        </w:tc>
        <w:tc>
          <w:tcPr>
            <w:tcW w:w="2123" w:type="dxa"/>
            <w:shd w:val="clear" w:color="auto" w:fill="auto"/>
            <w:vAlign w:val="bottom"/>
          </w:tcPr>
          <w:p w14:paraId="41E73010" w14:textId="77777777" w:rsidR="00A86E9F" w:rsidRPr="00DA4360" w:rsidRDefault="00A86E9F" w:rsidP="003F6F1A">
            <w:pPr>
              <w:keepNext/>
              <w:tabs>
                <w:tab w:val="left" w:pos="360"/>
              </w:tabs>
              <w:suppressAutoHyphens/>
              <w:spacing w:after="0" w:line="240" w:lineRule="auto"/>
              <w:jc w:val="right"/>
              <w:rPr>
                <w:rFonts w:ascii="Arial" w:hAnsi="Arial" w:cs="Arial"/>
                <w:sz w:val="20"/>
                <w:szCs w:val="20"/>
                <w:lang w:val="en-CA"/>
              </w:rPr>
            </w:pPr>
            <w:r w:rsidRPr="00DA4360">
              <w:rPr>
                <w:rFonts w:ascii="Arial" w:hAnsi="Arial" w:cs="Arial"/>
                <w:sz w:val="20"/>
                <w:szCs w:val="20"/>
                <w:lang w:val="en-CA"/>
              </w:rPr>
              <w:t xml:space="preserve"> 354,881 </w:t>
            </w:r>
          </w:p>
        </w:tc>
      </w:tr>
      <w:tr w:rsidR="003E0848" w:rsidRPr="00DA4360" w14:paraId="26B4AF73" w14:textId="77777777" w:rsidTr="004A1755">
        <w:tc>
          <w:tcPr>
            <w:tcW w:w="4762" w:type="dxa"/>
            <w:shd w:val="clear" w:color="auto" w:fill="auto"/>
          </w:tcPr>
          <w:p w14:paraId="6FF8AB99" w14:textId="77777777" w:rsidR="00A86E9F" w:rsidRPr="00DA4360" w:rsidRDefault="00A86E9F" w:rsidP="003F6F1A">
            <w:pPr>
              <w:keepNext/>
              <w:tabs>
                <w:tab w:val="left" w:pos="360"/>
              </w:tabs>
              <w:suppressAutoHyphens/>
              <w:spacing w:after="0" w:line="240" w:lineRule="auto"/>
              <w:jc w:val="both"/>
              <w:rPr>
                <w:rFonts w:ascii="Arial" w:hAnsi="Arial" w:cs="Arial"/>
                <w:sz w:val="20"/>
                <w:szCs w:val="20"/>
                <w:lang w:val="en-CA"/>
              </w:rPr>
            </w:pPr>
            <w:r w:rsidRPr="00DA4360">
              <w:rPr>
                <w:rFonts w:ascii="Arial" w:hAnsi="Arial" w:cs="Arial"/>
                <w:sz w:val="20"/>
                <w:szCs w:val="20"/>
                <w:lang w:val="en-CA"/>
              </w:rPr>
              <w:t>Depreciation and amortization expense</w:t>
            </w:r>
          </w:p>
        </w:tc>
        <w:tc>
          <w:tcPr>
            <w:tcW w:w="236" w:type="dxa"/>
            <w:shd w:val="clear" w:color="auto" w:fill="auto"/>
          </w:tcPr>
          <w:p w14:paraId="31DBEE37" w14:textId="77777777" w:rsidR="00A86E9F" w:rsidRPr="00DA4360" w:rsidRDefault="00A86E9F" w:rsidP="003F6F1A">
            <w:pPr>
              <w:keepNext/>
              <w:tabs>
                <w:tab w:val="left" w:pos="360"/>
              </w:tabs>
              <w:suppressAutoHyphens/>
              <w:spacing w:after="0" w:line="240" w:lineRule="auto"/>
              <w:jc w:val="right"/>
              <w:rPr>
                <w:rFonts w:ascii="Arial" w:hAnsi="Arial" w:cs="Arial"/>
                <w:b/>
                <w:sz w:val="20"/>
                <w:szCs w:val="20"/>
                <w:lang w:val="en-CA"/>
              </w:rPr>
            </w:pPr>
          </w:p>
        </w:tc>
        <w:tc>
          <w:tcPr>
            <w:tcW w:w="2054" w:type="dxa"/>
            <w:shd w:val="clear" w:color="auto" w:fill="auto"/>
            <w:vAlign w:val="bottom"/>
          </w:tcPr>
          <w:p w14:paraId="5D4E8188" w14:textId="77777777" w:rsidR="00A86E9F" w:rsidRPr="00DA4360" w:rsidRDefault="00A86E9F" w:rsidP="003F6F1A">
            <w:pPr>
              <w:keepNext/>
              <w:tabs>
                <w:tab w:val="left" w:pos="360"/>
              </w:tabs>
              <w:suppressAutoHyphens/>
              <w:spacing w:after="0" w:line="240" w:lineRule="auto"/>
              <w:jc w:val="right"/>
              <w:rPr>
                <w:rFonts w:ascii="Arial" w:hAnsi="Arial" w:cs="Arial"/>
                <w:b/>
                <w:sz w:val="20"/>
                <w:szCs w:val="20"/>
                <w:lang w:val="en-CA"/>
              </w:rPr>
            </w:pPr>
            <w:r w:rsidRPr="00DA4360">
              <w:rPr>
                <w:rFonts w:ascii="Arial" w:hAnsi="Arial" w:cs="Arial"/>
                <w:b/>
                <w:bCs/>
                <w:sz w:val="20"/>
                <w:szCs w:val="20"/>
                <w:lang w:val="en-CA"/>
              </w:rPr>
              <w:t xml:space="preserve"> 1</w:t>
            </w:r>
            <w:r w:rsidR="00BD1255" w:rsidRPr="00DA4360">
              <w:rPr>
                <w:rFonts w:ascii="Arial" w:hAnsi="Arial" w:cs="Arial"/>
                <w:b/>
                <w:bCs/>
                <w:sz w:val="20"/>
                <w:szCs w:val="20"/>
                <w:lang w:val="en-CA"/>
              </w:rPr>
              <w:t>1</w:t>
            </w:r>
            <w:r w:rsidR="00D3689F" w:rsidRPr="00DA4360">
              <w:rPr>
                <w:rFonts w:ascii="Arial" w:hAnsi="Arial" w:cs="Arial"/>
                <w:b/>
                <w:bCs/>
                <w:sz w:val="20"/>
                <w:szCs w:val="20"/>
                <w:lang w:val="en-CA"/>
              </w:rPr>
              <w:t>8,411</w:t>
            </w:r>
            <w:r w:rsidRPr="00DA4360">
              <w:rPr>
                <w:rFonts w:ascii="Arial" w:hAnsi="Arial" w:cs="Arial"/>
                <w:b/>
                <w:bCs/>
                <w:sz w:val="20"/>
                <w:szCs w:val="20"/>
                <w:lang w:val="en-CA"/>
              </w:rPr>
              <w:t xml:space="preserve"> </w:t>
            </w:r>
          </w:p>
        </w:tc>
        <w:tc>
          <w:tcPr>
            <w:tcW w:w="236" w:type="dxa"/>
            <w:shd w:val="clear" w:color="auto" w:fill="auto"/>
            <w:vAlign w:val="bottom"/>
          </w:tcPr>
          <w:p w14:paraId="27CC182C" w14:textId="77777777" w:rsidR="00A86E9F" w:rsidRPr="00DA4360" w:rsidRDefault="00A86E9F" w:rsidP="003F6F1A">
            <w:pPr>
              <w:keepNext/>
              <w:tabs>
                <w:tab w:val="left" w:pos="360"/>
              </w:tabs>
              <w:suppressAutoHyphens/>
              <w:spacing w:after="0" w:line="240" w:lineRule="auto"/>
              <w:jc w:val="right"/>
              <w:rPr>
                <w:rFonts w:ascii="Arial" w:hAnsi="Arial" w:cs="Arial"/>
                <w:sz w:val="20"/>
                <w:szCs w:val="20"/>
                <w:lang w:val="en-CA"/>
              </w:rPr>
            </w:pPr>
          </w:p>
        </w:tc>
        <w:tc>
          <w:tcPr>
            <w:tcW w:w="2123" w:type="dxa"/>
            <w:shd w:val="clear" w:color="auto" w:fill="auto"/>
            <w:vAlign w:val="bottom"/>
          </w:tcPr>
          <w:p w14:paraId="5BC81AB0" w14:textId="77777777" w:rsidR="00A86E9F" w:rsidRPr="00DA4360" w:rsidRDefault="00A86E9F" w:rsidP="003F6F1A">
            <w:pPr>
              <w:keepNext/>
              <w:tabs>
                <w:tab w:val="left" w:pos="360"/>
              </w:tabs>
              <w:suppressAutoHyphens/>
              <w:spacing w:after="0" w:line="240" w:lineRule="auto"/>
              <w:jc w:val="right"/>
              <w:rPr>
                <w:rFonts w:ascii="Arial" w:hAnsi="Arial" w:cs="Arial"/>
                <w:sz w:val="20"/>
                <w:szCs w:val="20"/>
                <w:lang w:val="en-CA"/>
              </w:rPr>
            </w:pPr>
            <w:r w:rsidRPr="00DA4360">
              <w:rPr>
                <w:rFonts w:ascii="Arial" w:hAnsi="Arial" w:cs="Arial"/>
                <w:sz w:val="20"/>
                <w:szCs w:val="20"/>
                <w:lang w:val="en-CA"/>
              </w:rPr>
              <w:t xml:space="preserve"> 34,535 </w:t>
            </w:r>
          </w:p>
        </w:tc>
      </w:tr>
      <w:tr w:rsidR="003E0848" w:rsidRPr="00DA4360" w14:paraId="26FDE6A8" w14:textId="77777777" w:rsidTr="004A1755">
        <w:tc>
          <w:tcPr>
            <w:tcW w:w="4762" w:type="dxa"/>
            <w:tcBorders>
              <w:bottom w:val="single" w:sz="4" w:space="0" w:color="auto"/>
            </w:tcBorders>
            <w:shd w:val="clear" w:color="auto" w:fill="auto"/>
          </w:tcPr>
          <w:p w14:paraId="7CBB9CA0" w14:textId="77777777" w:rsidR="00A86E9F" w:rsidRPr="00DA4360" w:rsidRDefault="00A86E9F" w:rsidP="003F6F1A">
            <w:pPr>
              <w:keepNext/>
              <w:tabs>
                <w:tab w:val="left" w:pos="360"/>
              </w:tabs>
              <w:suppressAutoHyphens/>
              <w:spacing w:after="0" w:line="240" w:lineRule="auto"/>
              <w:jc w:val="both"/>
              <w:rPr>
                <w:rFonts w:ascii="Arial" w:hAnsi="Arial" w:cs="Arial"/>
                <w:sz w:val="20"/>
                <w:szCs w:val="20"/>
                <w:lang w:val="en-CA"/>
              </w:rPr>
            </w:pPr>
            <w:r w:rsidRPr="00DA4360">
              <w:rPr>
                <w:rFonts w:ascii="Arial" w:hAnsi="Arial" w:cs="Arial"/>
                <w:sz w:val="20"/>
                <w:szCs w:val="20"/>
                <w:lang w:val="en-CA"/>
              </w:rPr>
              <w:t xml:space="preserve">Share-based payments </w:t>
            </w:r>
          </w:p>
        </w:tc>
        <w:tc>
          <w:tcPr>
            <w:tcW w:w="236" w:type="dxa"/>
            <w:tcBorders>
              <w:bottom w:val="single" w:sz="4" w:space="0" w:color="auto"/>
            </w:tcBorders>
            <w:shd w:val="clear" w:color="auto" w:fill="auto"/>
          </w:tcPr>
          <w:p w14:paraId="44749BC3" w14:textId="77777777" w:rsidR="00A86E9F" w:rsidRPr="00DA4360" w:rsidRDefault="00A86E9F" w:rsidP="003F6F1A">
            <w:pPr>
              <w:keepNext/>
              <w:tabs>
                <w:tab w:val="left" w:pos="360"/>
              </w:tabs>
              <w:suppressAutoHyphens/>
              <w:spacing w:after="0" w:line="240" w:lineRule="auto"/>
              <w:jc w:val="right"/>
              <w:rPr>
                <w:rFonts w:ascii="Arial" w:hAnsi="Arial" w:cs="Arial"/>
                <w:b/>
                <w:sz w:val="18"/>
                <w:szCs w:val="18"/>
                <w:lang w:val="en-CA"/>
              </w:rPr>
            </w:pPr>
          </w:p>
        </w:tc>
        <w:tc>
          <w:tcPr>
            <w:tcW w:w="2054" w:type="dxa"/>
            <w:tcBorders>
              <w:bottom w:val="single" w:sz="4" w:space="0" w:color="auto"/>
            </w:tcBorders>
            <w:shd w:val="clear" w:color="auto" w:fill="auto"/>
            <w:vAlign w:val="bottom"/>
          </w:tcPr>
          <w:p w14:paraId="48886892" w14:textId="77777777" w:rsidR="00A86E9F" w:rsidRPr="00DA4360" w:rsidRDefault="00A86E9F" w:rsidP="003F6F1A">
            <w:pPr>
              <w:keepNext/>
              <w:tabs>
                <w:tab w:val="left" w:pos="360"/>
              </w:tabs>
              <w:suppressAutoHyphens/>
              <w:spacing w:after="0" w:line="240" w:lineRule="auto"/>
              <w:jc w:val="right"/>
              <w:rPr>
                <w:rFonts w:ascii="Arial" w:hAnsi="Arial" w:cs="Arial"/>
                <w:b/>
                <w:sz w:val="18"/>
                <w:szCs w:val="18"/>
                <w:lang w:val="en-CA"/>
              </w:rPr>
            </w:pPr>
            <w:r w:rsidRPr="00DA4360">
              <w:rPr>
                <w:rFonts w:ascii="Arial" w:hAnsi="Arial" w:cs="Arial"/>
                <w:b/>
                <w:bCs/>
                <w:sz w:val="18"/>
                <w:szCs w:val="18"/>
                <w:lang w:val="en-CA"/>
              </w:rPr>
              <w:t xml:space="preserve"> 472,120 </w:t>
            </w:r>
          </w:p>
        </w:tc>
        <w:tc>
          <w:tcPr>
            <w:tcW w:w="236" w:type="dxa"/>
            <w:tcBorders>
              <w:bottom w:val="single" w:sz="4" w:space="0" w:color="auto"/>
            </w:tcBorders>
            <w:shd w:val="clear" w:color="auto" w:fill="auto"/>
            <w:vAlign w:val="bottom"/>
          </w:tcPr>
          <w:p w14:paraId="342095FC" w14:textId="77777777" w:rsidR="00A86E9F" w:rsidRPr="00DA4360" w:rsidRDefault="00A86E9F" w:rsidP="003F6F1A">
            <w:pPr>
              <w:keepNext/>
              <w:tabs>
                <w:tab w:val="left" w:pos="360"/>
              </w:tabs>
              <w:suppressAutoHyphens/>
              <w:spacing w:after="0" w:line="240" w:lineRule="auto"/>
              <w:jc w:val="right"/>
              <w:rPr>
                <w:rFonts w:ascii="Arial" w:hAnsi="Arial" w:cs="Arial"/>
                <w:sz w:val="18"/>
                <w:szCs w:val="18"/>
                <w:lang w:val="en-CA"/>
              </w:rPr>
            </w:pPr>
          </w:p>
        </w:tc>
        <w:tc>
          <w:tcPr>
            <w:tcW w:w="2123" w:type="dxa"/>
            <w:tcBorders>
              <w:bottom w:val="single" w:sz="4" w:space="0" w:color="auto"/>
            </w:tcBorders>
            <w:shd w:val="clear" w:color="auto" w:fill="auto"/>
            <w:vAlign w:val="bottom"/>
          </w:tcPr>
          <w:p w14:paraId="6126C26E" w14:textId="77777777" w:rsidR="00A86E9F" w:rsidRPr="00DA4360" w:rsidRDefault="00A86E9F" w:rsidP="003F6F1A">
            <w:pPr>
              <w:keepNext/>
              <w:tabs>
                <w:tab w:val="left" w:pos="360"/>
              </w:tabs>
              <w:suppressAutoHyphens/>
              <w:spacing w:after="0" w:line="240" w:lineRule="auto"/>
              <w:jc w:val="right"/>
              <w:rPr>
                <w:rFonts w:ascii="Arial" w:hAnsi="Arial" w:cs="Arial"/>
                <w:sz w:val="18"/>
                <w:szCs w:val="18"/>
                <w:lang w:val="en-CA"/>
              </w:rPr>
            </w:pPr>
            <w:r w:rsidRPr="00DA4360">
              <w:rPr>
                <w:rFonts w:ascii="Arial" w:hAnsi="Arial" w:cs="Arial"/>
                <w:sz w:val="18"/>
                <w:szCs w:val="18"/>
                <w:lang w:val="en-CA"/>
              </w:rPr>
              <w:t xml:space="preserve"> </w:t>
            </w:r>
            <w:r w:rsidR="00424A47" w:rsidRPr="00DA4360">
              <w:rPr>
                <w:rFonts w:ascii="Arial" w:hAnsi="Arial" w:cs="Arial"/>
                <w:sz w:val="18"/>
                <w:szCs w:val="18"/>
                <w:lang w:val="en-CA"/>
              </w:rPr>
              <w:t>892,417</w:t>
            </w:r>
            <w:r w:rsidRPr="00DA4360">
              <w:rPr>
                <w:rFonts w:ascii="Arial" w:hAnsi="Arial" w:cs="Arial"/>
                <w:sz w:val="18"/>
                <w:szCs w:val="18"/>
                <w:lang w:val="en-CA"/>
              </w:rPr>
              <w:t xml:space="preserve">   </w:t>
            </w:r>
          </w:p>
        </w:tc>
      </w:tr>
      <w:tr w:rsidR="003E0848" w:rsidRPr="00DA4360" w14:paraId="2F4572C8" w14:textId="77777777" w:rsidTr="004A1755">
        <w:tc>
          <w:tcPr>
            <w:tcW w:w="4762" w:type="dxa"/>
            <w:tcBorders>
              <w:top w:val="single" w:sz="4" w:space="0" w:color="auto"/>
            </w:tcBorders>
            <w:shd w:val="clear" w:color="auto" w:fill="auto"/>
          </w:tcPr>
          <w:p w14:paraId="758675B2" w14:textId="77777777" w:rsidR="00B150DF" w:rsidRPr="00DA4360" w:rsidRDefault="00B150DF" w:rsidP="003F6F1A">
            <w:pPr>
              <w:keepNext/>
              <w:tabs>
                <w:tab w:val="left" w:pos="360"/>
              </w:tabs>
              <w:suppressAutoHyphens/>
              <w:spacing w:after="0" w:line="240" w:lineRule="auto"/>
              <w:jc w:val="both"/>
              <w:rPr>
                <w:rFonts w:ascii="Arial" w:hAnsi="Arial" w:cs="Arial"/>
                <w:sz w:val="20"/>
                <w:szCs w:val="20"/>
                <w:lang w:val="en-CA"/>
              </w:rPr>
            </w:pPr>
          </w:p>
        </w:tc>
        <w:tc>
          <w:tcPr>
            <w:tcW w:w="236" w:type="dxa"/>
            <w:tcBorders>
              <w:top w:val="single" w:sz="4" w:space="0" w:color="auto"/>
            </w:tcBorders>
            <w:shd w:val="clear" w:color="auto" w:fill="auto"/>
          </w:tcPr>
          <w:p w14:paraId="425E367C" w14:textId="77777777" w:rsidR="00B150DF" w:rsidRPr="00DA4360" w:rsidRDefault="00B150DF" w:rsidP="003F6F1A">
            <w:pPr>
              <w:keepNext/>
              <w:tabs>
                <w:tab w:val="left" w:pos="360"/>
              </w:tabs>
              <w:suppressAutoHyphens/>
              <w:spacing w:after="0" w:line="240" w:lineRule="auto"/>
              <w:jc w:val="right"/>
              <w:rPr>
                <w:rFonts w:ascii="Arial" w:hAnsi="Arial" w:cs="Arial"/>
                <w:b/>
                <w:sz w:val="18"/>
                <w:szCs w:val="18"/>
                <w:lang w:val="en-CA"/>
              </w:rPr>
            </w:pPr>
          </w:p>
        </w:tc>
        <w:tc>
          <w:tcPr>
            <w:tcW w:w="2054" w:type="dxa"/>
            <w:tcBorders>
              <w:top w:val="single" w:sz="4" w:space="0" w:color="auto"/>
            </w:tcBorders>
            <w:shd w:val="clear" w:color="auto" w:fill="auto"/>
            <w:vAlign w:val="bottom"/>
          </w:tcPr>
          <w:p w14:paraId="335D0099" w14:textId="77777777" w:rsidR="00B150DF" w:rsidRPr="00DA4360" w:rsidRDefault="00B150DF" w:rsidP="003F6F1A">
            <w:pPr>
              <w:keepNext/>
              <w:tabs>
                <w:tab w:val="left" w:pos="360"/>
              </w:tabs>
              <w:suppressAutoHyphens/>
              <w:spacing w:after="0" w:line="240" w:lineRule="auto"/>
              <w:jc w:val="right"/>
              <w:rPr>
                <w:rFonts w:ascii="Arial" w:hAnsi="Arial" w:cs="Arial"/>
                <w:b/>
                <w:sz w:val="18"/>
                <w:szCs w:val="18"/>
                <w:lang w:val="en-CA"/>
              </w:rPr>
            </w:pPr>
          </w:p>
        </w:tc>
        <w:tc>
          <w:tcPr>
            <w:tcW w:w="236" w:type="dxa"/>
            <w:tcBorders>
              <w:top w:val="single" w:sz="4" w:space="0" w:color="auto"/>
            </w:tcBorders>
            <w:shd w:val="clear" w:color="auto" w:fill="auto"/>
            <w:vAlign w:val="bottom"/>
          </w:tcPr>
          <w:p w14:paraId="11ECC759" w14:textId="77777777" w:rsidR="00B150DF" w:rsidRPr="00DA4360" w:rsidRDefault="00B150DF" w:rsidP="003F6F1A">
            <w:pPr>
              <w:keepNext/>
              <w:tabs>
                <w:tab w:val="left" w:pos="360"/>
              </w:tabs>
              <w:suppressAutoHyphens/>
              <w:spacing w:after="0" w:line="240" w:lineRule="auto"/>
              <w:jc w:val="right"/>
              <w:rPr>
                <w:rFonts w:ascii="Arial" w:hAnsi="Arial" w:cs="Arial"/>
                <w:sz w:val="18"/>
                <w:szCs w:val="18"/>
                <w:lang w:val="en-CA"/>
              </w:rPr>
            </w:pPr>
          </w:p>
        </w:tc>
        <w:tc>
          <w:tcPr>
            <w:tcW w:w="2123" w:type="dxa"/>
            <w:tcBorders>
              <w:top w:val="single" w:sz="4" w:space="0" w:color="auto"/>
            </w:tcBorders>
            <w:shd w:val="clear" w:color="auto" w:fill="auto"/>
            <w:vAlign w:val="bottom"/>
          </w:tcPr>
          <w:p w14:paraId="43A86C09" w14:textId="77777777" w:rsidR="00B150DF" w:rsidRPr="00DA4360" w:rsidRDefault="00B150DF" w:rsidP="003F6F1A">
            <w:pPr>
              <w:keepNext/>
              <w:tabs>
                <w:tab w:val="left" w:pos="360"/>
              </w:tabs>
              <w:suppressAutoHyphens/>
              <w:spacing w:after="0" w:line="240" w:lineRule="auto"/>
              <w:jc w:val="right"/>
              <w:rPr>
                <w:rFonts w:ascii="Arial" w:hAnsi="Arial" w:cs="Arial"/>
                <w:sz w:val="18"/>
                <w:szCs w:val="18"/>
                <w:lang w:val="en-CA"/>
              </w:rPr>
            </w:pPr>
          </w:p>
        </w:tc>
      </w:tr>
      <w:tr w:rsidR="003E0848" w:rsidRPr="00DA4360" w14:paraId="4C66699F" w14:textId="77777777" w:rsidTr="004A1755">
        <w:tc>
          <w:tcPr>
            <w:tcW w:w="4762" w:type="dxa"/>
            <w:shd w:val="clear" w:color="auto" w:fill="auto"/>
          </w:tcPr>
          <w:p w14:paraId="16513082" w14:textId="77777777" w:rsidR="00A86E9F" w:rsidRPr="00DA4360" w:rsidRDefault="00A86E9F" w:rsidP="003F6F1A">
            <w:pPr>
              <w:keepNext/>
              <w:tabs>
                <w:tab w:val="left" w:pos="360"/>
              </w:tabs>
              <w:suppressAutoHyphens/>
              <w:spacing w:after="0" w:line="240" w:lineRule="auto"/>
              <w:jc w:val="both"/>
              <w:rPr>
                <w:rFonts w:ascii="Arial" w:hAnsi="Arial" w:cs="Arial"/>
                <w:sz w:val="20"/>
                <w:szCs w:val="20"/>
                <w:lang w:val="en-CA"/>
              </w:rPr>
            </w:pPr>
            <w:r w:rsidRPr="00DA4360">
              <w:rPr>
                <w:rFonts w:ascii="Arial" w:hAnsi="Arial" w:cs="Arial"/>
                <w:sz w:val="20"/>
                <w:szCs w:val="20"/>
                <w:lang w:val="en-CA"/>
              </w:rPr>
              <w:t>Loss from operations</w:t>
            </w:r>
          </w:p>
        </w:tc>
        <w:tc>
          <w:tcPr>
            <w:tcW w:w="236" w:type="dxa"/>
            <w:shd w:val="clear" w:color="auto" w:fill="auto"/>
          </w:tcPr>
          <w:p w14:paraId="43BEBA80" w14:textId="77777777" w:rsidR="00A86E9F" w:rsidRPr="00DA4360" w:rsidRDefault="00A86E9F" w:rsidP="003F6F1A">
            <w:pPr>
              <w:keepNext/>
              <w:tabs>
                <w:tab w:val="left" w:pos="360"/>
              </w:tabs>
              <w:suppressAutoHyphens/>
              <w:spacing w:after="0" w:line="240" w:lineRule="auto"/>
              <w:jc w:val="right"/>
              <w:rPr>
                <w:rFonts w:ascii="Arial" w:hAnsi="Arial" w:cs="Arial"/>
                <w:b/>
                <w:sz w:val="18"/>
                <w:szCs w:val="18"/>
                <w:lang w:val="en-CA"/>
              </w:rPr>
            </w:pPr>
          </w:p>
        </w:tc>
        <w:tc>
          <w:tcPr>
            <w:tcW w:w="2054" w:type="dxa"/>
            <w:shd w:val="clear" w:color="auto" w:fill="auto"/>
            <w:vAlign w:val="bottom"/>
          </w:tcPr>
          <w:p w14:paraId="0705A116" w14:textId="77777777" w:rsidR="00A86E9F" w:rsidRPr="00DA4360" w:rsidRDefault="00A86E9F" w:rsidP="003F6F1A">
            <w:pPr>
              <w:keepNext/>
              <w:tabs>
                <w:tab w:val="left" w:pos="360"/>
              </w:tabs>
              <w:suppressAutoHyphens/>
              <w:spacing w:after="0" w:line="240" w:lineRule="auto"/>
              <w:jc w:val="right"/>
              <w:rPr>
                <w:rFonts w:ascii="Arial" w:hAnsi="Arial" w:cs="Arial"/>
                <w:b/>
                <w:sz w:val="18"/>
                <w:szCs w:val="18"/>
                <w:lang w:val="en-CA"/>
              </w:rPr>
            </w:pPr>
            <w:r w:rsidRPr="00DA4360">
              <w:rPr>
                <w:rFonts w:ascii="Arial" w:hAnsi="Arial" w:cs="Arial"/>
                <w:b/>
                <w:bCs/>
                <w:sz w:val="18"/>
                <w:szCs w:val="18"/>
                <w:lang w:val="en-CA"/>
              </w:rPr>
              <w:t xml:space="preserve"> (</w:t>
            </w:r>
            <w:r w:rsidR="004E17E1" w:rsidRPr="00DA4360">
              <w:rPr>
                <w:rFonts w:ascii="Arial" w:hAnsi="Arial" w:cs="Arial"/>
                <w:b/>
                <w:bCs/>
                <w:sz w:val="18"/>
                <w:szCs w:val="18"/>
                <w:lang w:val="en-CA"/>
              </w:rPr>
              <w:t>1,</w:t>
            </w:r>
            <w:r w:rsidR="00BD1255" w:rsidRPr="00DA4360">
              <w:rPr>
                <w:rFonts w:ascii="Arial" w:hAnsi="Arial" w:cs="Arial"/>
                <w:b/>
                <w:bCs/>
                <w:sz w:val="18"/>
                <w:szCs w:val="18"/>
                <w:lang w:val="en-CA"/>
              </w:rPr>
              <w:t>703,</w:t>
            </w:r>
            <w:r w:rsidR="00D3689F" w:rsidRPr="00DA4360">
              <w:rPr>
                <w:rFonts w:ascii="Arial" w:hAnsi="Arial" w:cs="Arial"/>
                <w:b/>
                <w:bCs/>
                <w:sz w:val="18"/>
                <w:szCs w:val="18"/>
                <w:lang w:val="en-CA"/>
              </w:rPr>
              <w:t>379</w:t>
            </w:r>
            <w:r w:rsidRPr="00DA4360">
              <w:rPr>
                <w:rFonts w:ascii="Arial" w:hAnsi="Arial" w:cs="Arial"/>
                <w:b/>
                <w:bCs/>
                <w:sz w:val="18"/>
                <w:szCs w:val="18"/>
                <w:lang w:val="en-CA"/>
              </w:rPr>
              <w:t>)</w:t>
            </w:r>
          </w:p>
        </w:tc>
        <w:tc>
          <w:tcPr>
            <w:tcW w:w="236" w:type="dxa"/>
            <w:shd w:val="clear" w:color="auto" w:fill="auto"/>
            <w:vAlign w:val="bottom"/>
          </w:tcPr>
          <w:p w14:paraId="7E0181A2" w14:textId="77777777" w:rsidR="00A86E9F" w:rsidRPr="00DA4360" w:rsidRDefault="00A86E9F" w:rsidP="003F6F1A">
            <w:pPr>
              <w:keepNext/>
              <w:tabs>
                <w:tab w:val="left" w:pos="360"/>
              </w:tabs>
              <w:suppressAutoHyphens/>
              <w:spacing w:after="0" w:line="240" w:lineRule="auto"/>
              <w:jc w:val="right"/>
              <w:rPr>
                <w:rFonts w:ascii="Arial" w:hAnsi="Arial" w:cs="Arial"/>
                <w:sz w:val="18"/>
                <w:szCs w:val="18"/>
                <w:lang w:val="en-CA"/>
              </w:rPr>
            </w:pPr>
          </w:p>
        </w:tc>
        <w:tc>
          <w:tcPr>
            <w:tcW w:w="2123" w:type="dxa"/>
            <w:shd w:val="clear" w:color="auto" w:fill="auto"/>
            <w:vAlign w:val="bottom"/>
          </w:tcPr>
          <w:p w14:paraId="1AD73058" w14:textId="77777777" w:rsidR="00A86E9F" w:rsidRPr="00DA4360" w:rsidRDefault="00A86E9F" w:rsidP="003F6F1A">
            <w:pPr>
              <w:keepNext/>
              <w:tabs>
                <w:tab w:val="left" w:pos="360"/>
              </w:tabs>
              <w:suppressAutoHyphens/>
              <w:spacing w:after="0" w:line="240" w:lineRule="auto"/>
              <w:jc w:val="right"/>
              <w:rPr>
                <w:rFonts w:ascii="Arial" w:hAnsi="Arial" w:cs="Arial"/>
                <w:sz w:val="18"/>
                <w:szCs w:val="18"/>
                <w:lang w:val="en-CA"/>
              </w:rPr>
            </w:pPr>
            <w:r w:rsidRPr="00DA4360">
              <w:rPr>
                <w:rFonts w:ascii="Arial" w:hAnsi="Arial" w:cs="Arial"/>
                <w:sz w:val="18"/>
                <w:szCs w:val="18"/>
                <w:lang w:val="en-CA"/>
              </w:rPr>
              <w:t xml:space="preserve"> (</w:t>
            </w:r>
            <w:r w:rsidR="00424A47" w:rsidRPr="00DA4360">
              <w:rPr>
                <w:rFonts w:ascii="Arial" w:hAnsi="Arial" w:cs="Arial"/>
                <w:sz w:val="18"/>
                <w:szCs w:val="18"/>
                <w:lang w:val="en-CA"/>
              </w:rPr>
              <w:t>3,311,426</w:t>
            </w:r>
            <w:r w:rsidRPr="00DA4360">
              <w:rPr>
                <w:rFonts w:ascii="Arial" w:hAnsi="Arial" w:cs="Arial"/>
                <w:sz w:val="18"/>
                <w:szCs w:val="18"/>
                <w:lang w:val="en-CA"/>
              </w:rPr>
              <w:t>)</w:t>
            </w:r>
          </w:p>
        </w:tc>
      </w:tr>
      <w:tr w:rsidR="003E0848" w:rsidRPr="00DA4360" w14:paraId="47D5FC19" w14:textId="77777777" w:rsidTr="004A1755">
        <w:tc>
          <w:tcPr>
            <w:tcW w:w="4762" w:type="dxa"/>
            <w:shd w:val="clear" w:color="auto" w:fill="auto"/>
          </w:tcPr>
          <w:p w14:paraId="0FEEE7CF" w14:textId="77777777" w:rsidR="00B150DF" w:rsidRPr="00DA4360" w:rsidRDefault="00B150DF" w:rsidP="003F6F1A">
            <w:pPr>
              <w:keepNext/>
              <w:tabs>
                <w:tab w:val="left" w:pos="360"/>
              </w:tabs>
              <w:suppressAutoHyphens/>
              <w:spacing w:after="0" w:line="240" w:lineRule="auto"/>
              <w:jc w:val="both"/>
              <w:rPr>
                <w:rFonts w:ascii="Arial" w:hAnsi="Arial" w:cs="Arial"/>
                <w:sz w:val="20"/>
                <w:szCs w:val="20"/>
                <w:lang w:val="en-CA"/>
              </w:rPr>
            </w:pPr>
          </w:p>
        </w:tc>
        <w:tc>
          <w:tcPr>
            <w:tcW w:w="236" w:type="dxa"/>
            <w:shd w:val="clear" w:color="auto" w:fill="auto"/>
          </w:tcPr>
          <w:p w14:paraId="5B3FAB04" w14:textId="77777777" w:rsidR="00B150DF" w:rsidRPr="00DA4360" w:rsidRDefault="00B150DF" w:rsidP="003F6F1A">
            <w:pPr>
              <w:keepNext/>
              <w:tabs>
                <w:tab w:val="left" w:pos="360"/>
              </w:tabs>
              <w:suppressAutoHyphens/>
              <w:spacing w:after="0" w:line="240" w:lineRule="auto"/>
              <w:jc w:val="right"/>
              <w:rPr>
                <w:rFonts w:ascii="Arial" w:hAnsi="Arial" w:cs="Arial"/>
                <w:b/>
                <w:sz w:val="18"/>
                <w:szCs w:val="18"/>
                <w:lang w:val="en-CA"/>
              </w:rPr>
            </w:pPr>
          </w:p>
        </w:tc>
        <w:tc>
          <w:tcPr>
            <w:tcW w:w="2054" w:type="dxa"/>
            <w:shd w:val="clear" w:color="auto" w:fill="auto"/>
            <w:vAlign w:val="bottom"/>
          </w:tcPr>
          <w:p w14:paraId="3490A8D9" w14:textId="77777777" w:rsidR="00B150DF" w:rsidRPr="00DA4360" w:rsidRDefault="00B150DF" w:rsidP="003F6F1A">
            <w:pPr>
              <w:keepNext/>
              <w:tabs>
                <w:tab w:val="left" w:pos="360"/>
              </w:tabs>
              <w:suppressAutoHyphens/>
              <w:spacing w:after="0" w:line="240" w:lineRule="auto"/>
              <w:jc w:val="right"/>
              <w:rPr>
                <w:rFonts w:ascii="Arial" w:hAnsi="Arial" w:cs="Arial"/>
                <w:b/>
                <w:sz w:val="18"/>
                <w:szCs w:val="18"/>
                <w:lang w:val="en-CA"/>
              </w:rPr>
            </w:pPr>
          </w:p>
        </w:tc>
        <w:tc>
          <w:tcPr>
            <w:tcW w:w="236" w:type="dxa"/>
            <w:shd w:val="clear" w:color="auto" w:fill="auto"/>
            <w:vAlign w:val="bottom"/>
          </w:tcPr>
          <w:p w14:paraId="2CAA51FE" w14:textId="77777777" w:rsidR="00B150DF" w:rsidRPr="00DA4360" w:rsidRDefault="00B150DF" w:rsidP="003F6F1A">
            <w:pPr>
              <w:keepNext/>
              <w:tabs>
                <w:tab w:val="left" w:pos="360"/>
              </w:tabs>
              <w:suppressAutoHyphens/>
              <w:spacing w:after="0" w:line="240" w:lineRule="auto"/>
              <w:jc w:val="right"/>
              <w:rPr>
                <w:rFonts w:ascii="Arial" w:hAnsi="Arial" w:cs="Arial"/>
                <w:sz w:val="18"/>
                <w:szCs w:val="18"/>
                <w:lang w:val="en-CA"/>
              </w:rPr>
            </w:pPr>
          </w:p>
        </w:tc>
        <w:tc>
          <w:tcPr>
            <w:tcW w:w="2123" w:type="dxa"/>
            <w:shd w:val="clear" w:color="auto" w:fill="auto"/>
            <w:vAlign w:val="bottom"/>
          </w:tcPr>
          <w:p w14:paraId="1D1849DA" w14:textId="77777777" w:rsidR="00B150DF" w:rsidRPr="00DA4360" w:rsidRDefault="00B150DF" w:rsidP="003F6F1A">
            <w:pPr>
              <w:keepNext/>
              <w:tabs>
                <w:tab w:val="left" w:pos="360"/>
              </w:tabs>
              <w:suppressAutoHyphens/>
              <w:spacing w:after="0" w:line="240" w:lineRule="auto"/>
              <w:jc w:val="right"/>
              <w:rPr>
                <w:rFonts w:ascii="Arial" w:hAnsi="Arial" w:cs="Arial"/>
                <w:sz w:val="18"/>
                <w:szCs w:val="18"/>
                <w:lang w:val="en-CA"/>
              </w:rPr>
            </w:pPr>
          </w:p>
        </w:tc>
      </w:tr>
      <w:tr w:rsidR="003E0848" w:rsidRPr="00DA4360" w14:paraId="10C7069A" w14:textId="77777777" w:rsidTr="004A1755">
        <w:tc>
          <w:tcPr>
            <w:tcW w:w="4762" w:type="dxa"/>
            <w:shd w:val="clear" w:color="auto" w:fill="auto"/>
          </w:tcPr>
          <w:p w14:paraId="773524FE" w14:textId="77777777" w:rsidR="00A86E9F" w:rsidRPr="00DA4360" w:rsidRDefault="00A86E9F" w:rsidP="003F6F1A">
            <w:pPr>
              <w:keepNext/>
              <w:tabs>
                <w:tab w:val="left" w:pos="360"/>
              </w:tabs>
              <w:suppressAutoHyphens/>
              <w:spacing w:after="0" w:line="240" w:lineRule="auto"/>
              <w:jc w:val="both"/>
              <w:rPr>
                <w:rFonts w:ascii="Arial" w:hAnsi="Arial" w:cs="Arial"/>
                <w:sz w:val="20"/>
                <w:szCs w:val="20"/>
                <w:lang w:val="en-CA"/>
              </w:rPr>
            </w:pPr>
            <w:r w:rsidRPr="00DA4360">
              <w:rPr>
                <w:rFonts w:ascii="Arial" w:hAnsi="Arial" w:cs="Arial"/>
                <w:sz w:val="20"/>
                <w:szCs w:val="20"/>
                <w:lang w:val="en-CA"/>
              </w:rPr>
              <w:t>Listing fee</w:t>
            </w:r>
          </w:p>
        </w:tc>
        <w:tc>
          <w:tcPr>
            <w:tcW w:w="236" w:type="dxa"/>
            <w:shd w:val="clear" w:color="auto" w:fill="auto"/>
          </w:tcPr>
          <w:p w14:paraId="4CD92347" w14:textId="77777777" w:rsidR="00A86E9F" w:rsidRPr="00DA4360" w:rsidRDefault="00A86E9F" w:rsidP="003F6F1A">
            <w:pPr>
              <w:keepNext/>
              <w:tabs>
                <w:tab w:val="left" w:pos="360"/>
              </w:tabs>
              <w:suppressAutoHyphens/>
              <w:spacing w:after="0" w:line="240" w:lineRule="auto"/>
              <w:jc w:val="right"/>
              <w:rPr>
                <w:rFonts w:ascii="Arial" w:hAnsi="Arial" w:cs="Arial"/>
                <w:b/>
                <w:sz w:val="18"/>
                <w:szCs w:val="18"/>
                <w:lang w:val="en-CA"/>
              </w:rPr>
            </w:pPr>
          </w:p>
        </w:tc>
        <w:tc>
          <w:tcPr>
            <w:tcW w:w="2054" w:type="dxa"/>
            <w:shd w:val="clear" w:color="auto" w:fill="auto"/>
            <w:vAlign w:val="bottom"/>
          </w:tcPr>
          <w:p w14:paraId="412B3023" w14:textId="77777777" w:rsidR="00A86E9F" w:rsidRPr="00DA4360" w:rsidRDefault="00A86E9F" w:rsidP="003F6F1A">
            <w:pPr>
              <w:keepNext/>
              <w:tabs>
                <w:tab w:val="left" w:pos="360"/>
              </w:tabs>
              <w:suppressAutoHyphens/>
              <w:spacing w:after="0" w:line="240" w:lineRule="auto"/>
              <w:jc w:val="right"/>
              <w:rPr>
                <w:rFonts w:ascii="Arial" w:hAnsi="Arial" w:cs="Arial"/>
                <w:b/>
                <w:sz w:val="18"/>
                <w:szCs w:val="18"/>
                <w:lang w:val="en-CA"/>
              </w:rPr>
            </w:pPr>
            <w:r w:rsidRPr="00DA4360">
              <w:rPr>
                <w:rFonts w:ascii="Arial" w:hAnsi="Arial" w:cs="Arial"/>
                <w:b/>
                <w:bCs/>
                <w:sz w:val="18"/>
                <w:szCs w:val="18"/>
                <w:lang w:val="en-CA"/>
              </w:rPr>
              <w:t xml:space="preserve"> -   </w:t>
            </w:r>
          </w:p>
        </w:tc>
        <w:tc>
          <w:tcPr>
            <w:tcW w:w="236" w:type="dxa"/>
            <w:shd w:val="clear" w:color="auto" w:fill="auto"/>
            <w:vAlign w:val="bottom"/>
          </w:tcPr>
          <w:p w14:paraId="30E28449" w14:textId="77777777" w:rsidR="00A86E9F" w:rsidRPr="00DA4360" w:rsidRDefault="00A86E9F" w:rsidP="003F6F1A">
            <w:pPr>
              <w:keepNext/>
              <w:tabs>
                <w:tab w:val="left" w:pos="360"/>
              </w:tabs>
              <w:suppressAutoHyphens/>
              <w:spacing w:after="0" w:line="240" w:lineRule="auto"/>
              <w:jc w:val="right"/>
              <w:rPr>
                <w:rFonts w:ascii="Arial" w:hAnsi="Arial" w:cs="Arial"/>
                <w:sz w:val="18"/>
                <w:szCs w:val="18"/>
                <w:lang w:val="en-CA"/>
              </w:rPr>
            </w:pPr>
          </w:p>
        </w:tc>
        <w:tc>
          <w:tcPr>
            <w:tcW w:w="2123" w:type="dxa"/>
            <w:shd w:val="clear" w:color="auto" w:fill="auto"/>
            <w:vAlign w:val="bottom"/>
          </w:tcPr>
          <w:p w14:paraId="7CF9A8A0" w14:textId="77777777" w:rsidR="00A86E9F" w:rsidRPr="00DA4360" w:rsidRDefault="00A86E9F" w:rsidP="003F6F1A">
            <w:pPr>
              <w:keepNext/>
              <w:tabs>
                <w:tab w:val="left" w:pos="360"/>
              </w:tabs>
              <w:suppressAutoHyphens/>
              <w:spacing w:after="0" w:line="240" w:lineRule="auto"/>
              <w:jc w:val="right"/>
              <w:rPr>
                <w:rFonts w:ascii="Arial" w:hAnsi="Arial" w:cs="Arial"/>
                <w:sz w:val="18"/>
                <w:szCs w:val="18"/>
                <w:lang w:val="en-CA"/>
              </w:rPr>
            </w:pPr>
            <w:r w:rsidRPr="00DA4360">
              <w:rPr>
                <w:rFonts w:ascii="Arial" w:hAnsi="Arial" w:cs="Arial"/>
                <w:sz w:val="18"/>
                <w:szCs w:val="18"/>
                <w:lang w:val="en-CA"/>
              </w:rPr>
              <w:t xml:space="preserve"> 1,143,660 </w:t>
            </w:r>
          </w:p>
        </w:tc>
      </w:tr>
      <w:tr w:rsidR="003E0848" w:rsidRPr="00DA4360" w14:paraId="0E694B42" w14:textId="77777777" w:rsidTr="004A1755">
        <w:tc>
          <w:tcPr>
            <w:tcW w:w="4762" w:type="dxa"/>
            <w:shd w:val="clear" w:color="auto" w:fill="auto"/>
          </w:tcPr>
          <w:p w14:paraId="3E54FAD1" w14:textId="77777777" w:rsidR="00A86E9F" w:rsidRPr="00DA4360" w:rsidRDefault="00A86E9F" w:rsidP="003F6F1A">
            <w:pPr>
              <w:keepNext/>
              <w:tabs>
                <w:tab w:val="left" w:pos="360"/>
              </w:tabs>
              <w:suppressAutoHyphens/>
              <w:spacing w:after="0" w:line="240" w:lineRule="auto"/>
              <w:jc w:val="both"/>
              <w:rPr>
                <w:rFonts w:ascii="Arial" w:hAnsi="Arial" w:cs="Arial"/>
                <w:sz w:val="20"/>
                <w:szCs w:val="20"/>
                <w:lang w:val="en-CA"/>
              </w:rPr>
            </w:pPr>
            <w:r w:rsidRPr="00DA4360">
              <w:rPr>
                <w:rFonts w:ascii="Arial" w:hAnsi="Arial" w:cs="Arial"/>
                <w:sz w:val="20"/>
                <w:szCs w:val="20"/>
                <w:lang w:val="en-CA"/>
              </w:rPr>
              <w:t>Accretion expense</w:t>
            </w:r>
          </w:p>
        </w:tc>
        <w:tc>
          <w:tcPr>
            <w:tcW w:w="236" w:type="dxa"/>
            <w:shd w:val="clear" w:color="auto" w:fill="auto"/>
          </w:tcPr>
          <w:p w14:paraId="5D26F898" w14:textId="77777777" w:rsidR="00A86E9F" w:rsidRPr="00DA4360" w:rsidRDefault="00A86E9F" w:rsidP="003F6F1A">
            <w:pPr>
              <w:keepNext/>
              <w:tabs>
                <w:tab w:val="left" w:pos="360"/>
              </w:tabs>
              <w:suppressAutoHyphens/>
              <w:spacing w:after="0" w:line="240" w:lineRule="auto"/>
              <w:jc w:val="right"/>
              <w:rPr>
                <w:rFonts w:ascii="Arial" w:hAnsi="Arial" w:cs="Arial"/>
                <w:b/>
                <w:sz w:val="18"/>
                <w:szCs w:val="18"/>
                <w:lang w:val="en-CA"/>
              </w:rPr>
            </w:pPr>
          </w:p>
        </w:tc>
        <w:tc>
          <w:tcPr>
            <w:tcW w:w="2054" w:type="dxa"/>
            <w:shd w:val="clear" w:color="auto" w:fill="auto"/>
            <w:vAlign w:val="bottom"/>
          </w:tcPr>
          <w:p w14:paraId="3B1BC2CD" w14:textId="77777777" w:rsidR="00A86E9F" w:rsidRPr="00DA4360" w:rsidRDefault="00A86E9F" w:rsidP="003F6F1A">
            <w:pPr>
              <w:keepNext/>
              <w:tabs>
                <w:tab w:val="left" w:pos="360"/>
              </w:tabs>
              <w:suppressAutoHyphens/>
              <w:spacing w:after="0" w:line="240" w:lineRule="auto"/>
              <w:jc w:val="right"/>
              <w:rPr>
                <w:rFonts w:ascii="Arial" w:hAnsi="Arial" w:cs="Arial"/>
                <w:b/>
                <w:sz w:val="18"/>
                <w:szCs w:val="18"/>
                <w:lang w:val="en-CA"/>
              </w:rPr>
            </w:pPr>
            <w:r w:rsidRPr="00DA4360">
              <w:rPr>
                <w:rFonts w:ascii="Arial" w:hAnsi="Arial" w:cs="Arial"/>
                <w:b/>
                <w:bCs/>
                <w:sz w:val="18"/>
                <w:szCs w:val="18"/>
                <w:lang w:val="en-CA"/>
              </w:rPr>
              <w:t xml:space="preserve"> 115,599 </w:t>
            </w:r>
          </w:p>
        </w:tc>
        <w:tc>
          <w:tcPr>
            <w:tcW w:w="236" w:type="dxa"/>
            <w:shd w:val="clear" w:color="auto" w:fill="auto"/>
            <w:vAlign w:val="bottom"/>
          </w:tcPr>
          <w:p w14:paraId="330CF54F" w14:textId="77777777" w:rsidR="00A86E9F" w:rsidRPr="00DA4360" w:rsidRDefault="00A86E9F" w:rsidP="003F6F1A">
            <w:pPr>
              <w:keepNext/>
              <w:tabs>
                <w:tab w:val="left" w:pos="360"/>
              </w:tabs>
              <w:suppressAutoHyphens/>
              <w:spacing w:after="0" w:line="240" w:lineRule="auto"/>
              <w:jc w:val="right"/>
              <w:rPr>
                <w:rFonts w:ascii="Arial" w:hAnsi="Arial" w:cs="Arial"/>
                <w:sz w:val="18"/>
                <w:szCs w:val="18"/>
                <w:lang w:val="en-CA"/>
              </w:rPr>
            </w:pPr>
          </w:p>
        </w:tc>
        <w:tc>
          <w:tcPr>
            <w:tcW w:w="2123" w:type="dxa"/>
            <w:shd w:val="clear" w:color="auto" w:fill="auto"/>
            <w:vAlign w:val="bottom"/>
          </w:tcPr>
          <w:p w14:paraId="132BB271" w14:textId="77777777" w:rsidR="00A86E9F" w:rsidRPr="00DA4360" w:rsidRDefault="00A86E9F" w:rsidP="003F6F1A">
            <w:pPr>
              <w:keepNext/>
              <w:tabs>
                <w:tab w:val="left" w:pos="360"/>
              </w:tabs>
              <w:suppressAutoHyphens/>
              <w:spacing w:after="0" w:line="240" w:lineRule="auto"/>
              <w:jc w:val="right"/>
              <w:rPr>
                <w:rFonts w:ascii="Arial" w:hAnsi="Arial" w:cs="Arial"/>
                <w:sz w:val="18"/>
                <w:szCs w:val="18"/>
                <w:lang w:val="en-CA"/>
              </w:rPr>
            </w:pPr>
            <w:r w:rsidRPr="00DA4360">
              <w:rPr>
                <w:rFonts w:ascii="Arial" w:hAnsi="Arial" w:cs="Arial"/>
                <w:sz w:val="18"/>
                <w:szCs w:val="18"/>
                <w:lang w:val="en-CA"/>
              </w:rPr>
              <w:t xml:space="preserve"> 214,680 </w:t>
            </w:r>
          </w:p>
        </w:tc>
      </w:tr>
      <w:tr w:rsidR="003E0848" w:rsidRPr="00DA4360" w14:paraId="4C0B6ECE" w14:textId="77777777" w:rsidTr="004A1755">
        <w:tc>
          <w:tcPr>
            <w:tcW w:w="4762" w:type="dxa"/>
            <w:shd w:val="clear" w:color="auto" w:fill="auto"/>
          </w:tcPr>
          <w:p w14:paraId="7878CAE9" w14:textId="77777777" w:rsidR="00A86E9F" w:rsidRPr="00DA4360" w:rsidRDefault="00A86E9F" w:rsidP="003F6F1A">
            <w:pPr>
              <w:keepNext/>
              <w:tabs>
                <w:tab w:val="left" w:pos="360"/>
              </w:tabs>
              <w:suppressAutoHyphens/>
              <w:spacing w:after="0" w:line="240" w:lineRule="auto"/>
              <w:jc w:val="both"/>
              <w:rPr>
                <w:rFonts w:ascii="Arial" w:hAnsi="Arial" w:cs="Arial"/>
                <w:sz w:val="20"/>
                <w:szCs w:val="20"/>
                <w:lang w:val="en-CA"/>
              </w:rPr>
            </w:pPr>
            <w:r w:rsidRPr="00DA4360">
              <w:rPr>
                <w:rFonts w:ascii="Arial" w:hAnsi="Arial" w:cs="Arial"/>
                <w:sz w:val="20"/>
                <w:szCs w:val="20"/>
                <w:lang w:val="en-CA"/>
              </w:rPr>
              <w:t>Interest income</w:t>
            </w:r>
          </w:p>
        </w:tc>
        <w:tc>
          <w:tcPr>
            <w:tcW w:w="236" w:type="dxa"/>
            <w:shd w:val="clear" w:color="auto" w:fill="auto"/>
          </w:tcPr>
          <w:p w14:paraId="4D0D45BA" w14:textId="77777777" w:rsidR="00A86E9F" w:rsidRPr="00DA4360" w:rsidRDefault="00A86E9F" w:rsidP="003F6F1A">
            <w:pPr>
              <w:keepNext/>
              <w:tabs>
                <w:tab w:val="left" w:pos="360"/>
              </w:tabs>
              <w:suppressAutoHyphens/>
              <w:spacing w:after="0" w:line="240" w:lineRule="auto"/>
              <w:jc w:val="right"/>
              <w:rPr>
                <w:rFonts w:ascii="Arial" w:hAnsi="Arial" w:cs="Arial"/>
                <w:b/>
                <w:sz w:val="18"/>
                <w:szCs w:val="18"/>
                <w:lang w:val="en-CA"/>
              </w:rPr>
            </w:pPr>
          </w:p>
        </w:tc>
        <w:tc>
          <w:tcPr>
            <w:tcW w:w="2054" w:type="dxa"/>
            <w:shd w:val="clear" w:color="auto" w:fill="auto"/>
            <w:vAlign w:val="bottom"/>
          </w:tcPr>
          <w:p w14:paraId="1138DECB" w14:textId="77777777" w:rsidR="00A86E9F" w:rsidRPr="00DA4360" w:rsidRDefault="00A86E9F" w:rsidP="003F6F1A">
            <w:pPr>
              <w:keepNext/>
              <w:tabs>
                <w:tab w:val="left" w:pos="360"/>
              </w:tabs>
              <w:suppressAutoHyphens/>
              <w:spacing w:after="0" w:line="240" w:lineRule="auto"/>
              <w:jc w:val="right"/>
              <w:rPr>
                <w:rFonts w:ascii="Arial" w:hAnsi="Arial" w:cs="Arial"/>
                <w:b/>
                <w:sz w:val="18"/>
                <w:szCs w:val="18"/>
                <w:lang w:val="en-CA"/>
              </w:rPr>
            </w:pPr>
            <w:r w:rsidRPr="00DA4360">
              <w:rPr>
                <w:rFonts w:ascii="Arial" w:hAnsi="Arial" w:cs="Arial"/>
                <w:b/>
                <w:bCs/>
                <w:sz w:val="18"/>
                <w:szCs w:val="18"/>
                <w:lang w:val="en-CA"/>
              </w:rPr>
              <w:t xml:space="preserve"> (2,866)</w:t>
            </w:r>
          </w:p>
        </w:tc>
        <w:tc>
          <w:tcPr>
            <w:tcW w:w="236" w:type="dxa"/>
            <w:shd w:val="clear" w:color="auto" w:fill="auto"/>
            <w:vAlign w:val="bottom"/>
          </w:tcPr>
          <w:p w14:paraId="4DC7CCA4" w14:textId="77777777" w:rsidR="00A86E9F" w:rsidRPr="00DA4360" w:rsidRDefault="00A86E9F" w:rsidP="003F6F1A">
            <w:pPr>
              <w:keepNext/>
              <w:tabs>
                <w:tab w:val="left" w:pos="360"/>
              </w:tabs>
              <w:suppressAutoHyphens/>
              <w:spacing w:after="0" w:line="240" w:lineRule="auto"/>
              <w:jc w:val="right"/>
              <w:rPr>
                <w:rFonts w:ascii="Arial" w:hAnsi="Arial" w:cs="Arial"/>
                <w:sz w:val="18"/>
                <w:szCs w:val="18"/>
                <w:lang w:val="en-CA"/>
              </w:rPr>
            </w:pPr>
          </w:p>
        </w:tc>
        <w:tc>
          <w:tcPr>
            <w:tcW w:w="2123" w:type="dxa"/>
            <w:shd w:val="clear" w:color="auto" w:fill="auto"/>
            <w:vAlign w:val="bottom"/>
          </w:tcPr>
          <w:p w14:paraId="05028094" w14:textId="77777777" w:rsidR="00A86E9F" w:rsidRPr="00DA4360" w:rsidRDefault="00A86E9F" w:rsidP="003F6F1A">
            <w:pPr>
              <w:keepNext/>
              <w:tabs>
                <w:tab w:val="left" w:pos="360"/>
              </w:tabs>
              <w:suppressAutoHyphens/>
              <w:spacing w:after="0" w:line="240" w:lineRule="auto"/>
              <w:jc w:val="right"/>
              <w:rPr>
                <w:rFonts w:ascii="Arial" w:hAnsi="Arial" w:cs="Arial"/>
                <w:sz w:val="18"/>
                <w:szCs w:val="18"/>
                <w:lang w:val="en-CA"/>
              </w:rPr>
            </w:pPr>
            <w:r w:rsidRPr="00DA4360">
              <w:rPr>
                <w:rFonts w:ascii="Arial" w:hAnsi="Arial" w:cs="Arial"/>
                <w:sz w:val="18"/>
                <w:szCs w:val="18"/>
                <w:lang w:val="en-CA"/>
              </w:rPr>
              <w:t xml:space="preserve"> -   </w:t>
            </w:r>
          </w:p>
        </w:tc>
      </w:tr>
      <w:tr w:rsidR="003E0848" w:rsidRPr="00DA4360" w14:paraId="516C63A9" w14:textId="77777777" w:rsidTr="004A1755">
        <w:tc>
          <w:tcPr>
            <w:tcW w:w="4762" w:type="dxa"/>
            <w:shd w:val="clear" w:color="auto" w:fill="auto"/>
          </w:tcPr>
          <w:p w14:paraId="6DA6A1C9" w14:textId="77777777" w:rsidR="00A86E9F" w:rsidRPr="00DA4360" w:rsidRDefault="00A86E9F" w:rsidP="003F6F1A">
            <w:pPr>
              <w:keepNext/>
              <w:tabs>
                <w:tab w:val="left" w:pos="360"/>
              </w:tabs>
              <w:suppressAutoHyphens/>
              <w:spacing w:after="0" w:line="240" w:lineRule="auto"/>
              <w:jc w:val="both"/>
              <w:rPr>
                <w:rFonts w:ascii="Arial" w:hAnsi="Arial" w:cs="Arial"/>
                <w:sz w:val="20"/>
                <w:szCs w:val="20"/>
                <w:lang w:val="en-CA"/>
              </w:rPr>
            </w:pPr>
            <w:r w:rsidRPr="00DA4360">
              <w:rPr>
                <w:rFonts w:ascii="Arial" w:hAnsi="Arial" w:cs="Arial"/>
                <w:sz w:val="20"/>
                <w:szCs w:val="20"/>
                <w:lang w:val="en-CA"/>
              </w:rPr>
              <w:t>Interest expense</w:t>
            </w:r>
          </w:p>
        </w:tc>
        <w:tc>
          <w:tcPr>
            <w:tcW w:w="236" w:type="dxa"/>
            <w:shd w:val="clear" w:color="auto" w:fill="auto"/>
          </w:tcPr>
          <w:p w14:paraId="2C998AC4" w14:textId="77777777" w:rsidR="00A86E9F" w:rsidRPr="00DA4360" w:rsidRDefault="00A86E9F" w:rsidP="003F6F1A">
            <w:pPr>
              <w:keepNext/>
              <w:tabs>
                <w:tab w:val="left" w:pos="360"/>
              </w:tabs>
              <w:suppressAutoHyphens/>
              <w:spacing w:after="0" w:line="240" w:lineRule="auto"/>
              <w:jc w:val="right"/>
              <w:rPr>
                <w:rFonts w:ascii="Arial" w:hAnsi="Arial" w:cs="Arial"/>
                <w:b/>
                <w:sz w:val="18"/>
                <w:szCs w:val="18"/>
                <w:lang w:val="en-CA"/>
              </w:rPr>
            </w:pPr>
          </w:p>
        </w:tc>
        <w:tc>
          <w:tcPr>
            <w:tcW w:w="2054" w:type="dxa"/>
            <w:shd w:val="clear" w:color="auto" w:fill="auto"/>
            <w:vAlign w:val="bottom"/>
          </w:tcPr>
          <w:p w14:paraId="196D46AA" w14:textId="77777777" w:rsidR="00A86E9F" w:rsidRPr="00DA4360" w:rsidRDefault="00A86E9F" w:rsidP="003F6F1A">
            <w:pPr>
              <w:keepNext/>
              <w:tabs>
                <w:tab w:val="left" w:pos="360"/>
              </w:tabs>
              <w:suppressAutoHyphens/>
              <w:spacing w:after="0" w:line="240" w:lineRule="auto"/>
              <w:jc w:val="right"/>
              <w:rPr>
                <w:rFonts w:ascii="Arial" w:hAnsi="Arial" w:cs="Arial"/>
                <w:b/>
                <w:sz w:val="18"/>
                <w:szCs w:val="18"/>
                <w:lang w:val="en-CA"/>
              </w:rPr>
            </w:pPr>
            <w:r w:rsidRPr="00DA4360">
              <w:rPr>
                <w:rFonts w:ascii="Arial" w:hAnsi="Arial" w:cs="Arial"/>
                <w:b/>
                <w:bCs/>
                <w:sz w:val="18"/>
                <w:szCs w:val="18"/>
                <w:lang w:val="en-CA"/>
              </w:rPr>
              <w:t xml:space="preserve"> 7</w:t>
            </w:r>
            <w:r w:rsidR="00D3689F" w:rsidRPr="00DA4360">
              <w:rPr>
                <w:rFonts w:ascii="Arial" w:hAnsi="Arial" w:cs="Arial"/>
                <w:b/>
                <w:bCs/>
                <w:sz w:val="18"/>
                <w:szCs w:val="18"/>
                <w:lang w:val="en-CA"/>
              </w:rPr>
              <w:t>5,659</w:t>
            </w:r>
            <w:r w:rsidRPr="00DA4360">
              <w:rPr>
                <w:rFonts w:ascii="Arial" w:hAnsi="Arial" w:cs="Arial"/>
                <w:b/>
                <w:bCs/>
                <w:sz w:val="18"/>
                <w:szCs w:val="18"/>
                <w:lang w:val="en-CA"/>
              </w:rPr>
              <w:t xml:space="preserve"> </w:t>
            </w:r>
          </w:p>
        </w:tc>
        <w:tc>
          <w:tcPr>
            <w:tcW w:w="236" w:type="dxa"/>
            <w:shd w:val="clear" w:color="auto" w:fill="auto"/>
            <w:vAlign w:val="bottom"/>
          </w:tcPr>
          <w:p w14:paraId="103CA9D9" w14:textId="77777777" w:rsidR="00A86E9F" w:rsidRPr="00DA4360" w:rsidRDefault="00A86E9F" w:rsidP="003F6F1A">
            <w:pPr>
              <w:keepNext/>
              <w:tabs>
                <w:tab w:val="left" w:pos="360"/>
              </w:tabs>
              <w:suppressAutoHyphens/>
              <w:spacing w:after="0" w:line="240" w:lineRule="auto"/>
              <w:jc w:val="right"/>
              <w:rPr>
                <w:rFonts w:ascii="Arial" w:hAnsi="Arial" w:cs="Arial"/>
                <w:sz w:val="18"/>
                <w:szCs w:val="18"/>
                <w:lang w:val="en-CA"/>
              </w:rPr>
            </w:pPr>
          </w:p>
        </w:tc>
        <w:tc>
          <w:tcPr>
            <w:tcW w:w="2123" w:type="dxa"/>
            <w:shd w:val="clear" w:color="auto" w:fill="auto"/>
            <w:vAlign w:val="bottom"/>
          </w:tcPr>
          <w:p w14:paraId="024CA541" w14:textId="77777777" w:rsidR="00A86E9F" w:rsidRPr="00DA4360" w:rsidRDefault="00A86E9F" w:rsidP="003F6F1A">
            <w:pPr>
              <w:keepNext/>
              <w:tabs>
                <w:tab w:val="left" w:pos="360"/>
              </w:tabs>
              <w:suppressAutoHyphens/>
              <w:spacing w:after="0" w:line="240" w:lineRule="auto"/>
              <w:jc w:val="right"/>
              <w:rPr>
                <w:rFonts w:ascii="Arial" w:hAnsi="Arial" w:cs="Arial"/>
                <w:sz w:val="18"/>
                <w:szCs w:val="18"/>
                <w:lang w:val="en-CA"/>
              </w:rPr>
            </w:pPr>
            <w:r w:rsidRPr="00DA4360">
              <w:rPr>
                <w:rFonts w:ascii="Arial" w:hAnsi="Arial" w:cs="Arial"/>
                <w:sz w:val="18"/>
                <w:szCs w:val="18"/>
                <w:lang w:val="en-CA"/>
              </w:rPr>
              <w:t xml:space="preserve"> 84,425 </w:t>
            </w:r>
          </w:p>
        </w:tc>
      </w:tr>
      <w:tr w:rsidR="003E0848" w:rsidRPr="00DA4360" w14:paraId="04A4562C" w14:textId="77777777" w:rsidTr="004A1755">
        <w:tc>
          <w:tcPr>
            <w:tcW w:w="4762" w:type="dxa"/>
            <w:shd w:val="clear" w:color="auto" w:fill="auto"/>
          </w:tcPr>
          <w:p w14:paraId="46383B50" w14:textId="77777777" w:rsidR="00BD1255" w:rsidRPr="00DA4360" w:rsidRDefault="00BD1255" w:rsidP="003F6F1A">
            <w:pPr>
              <w:keepNext/>
              <w:tabs>
                <w:tab w:val="left" w:pos="360"/>
              </w:tabs>
              <w:suppressAutoHyphens/>
              <w:spacing w:after="0" w:line="240" w:lineRule="auto"/>
              <w:jc w:val="both"/>
              <w:rPr>
                <w:rFonts w:ascii="Arial" w:hAnsi="Arial" w:cs="Arial"/>
                <w:sz w:val="20"/>
                <w:szCs w:val="20"/>
                <w:lang w:val="en-CA"/>
              </w:rPr>
            </w:pPr>
            <w:r w:rsidRPr="00DA4360">
              <w:rPr>
                <w:rFonts w:ascii="Arial" w:hAnsi="Arial" w:cs="Arial"/>
                <w:sz w:val="20"/>
                <w:szCs w:val="20"/>
                <w:lang w:val="en-CA"/>
              </w:rPr>
              <w:t>Loss on disposal of property and equipment</w:t>
            </w:r>
          </w:p>
        </w:tc>
        <w:tc>
          <w:tcPr>
            <w:tcW w:w="236" w:type="dxa"/>
            <w:shd w:val="clear" w:color="auto" w:fill="auto"/>
          </w:tcPr>
          <w:p w14:paraId="764852A3" w14:textId="77777777" w:rsidR="00BD1255" w:rsidRPr="00DA4360" w:rsidRDefault="00BD1255" w:rsidP="003F6F1A">
            <w:pPr>
              <w:keepNext/>
              <w:tabs>
                <w:tab w:val="left" w:pos="360"/>
              </w:tabs>
              <w:suppressAutoHyphens/>
              <w:spacing w:after="0" w:line="240" w:lineRule="auto"/>
              <w:jc w:val="right"/>
              <w:rPr>
                <w:rFonts w:ascii="Arial" w:hAnsi="Arial" w:cs="Arial"/>
                <w:b/>
                <w:sz w:val="18"/>
                <w:szCs w:val="18"/>
                <w:lang w:val="en-CA"/>
              </w:rPr>
            </w:pPr>
          </w:p>
        </w:tc>
        <w:tc>
          <w:tcPr>
            <w:tcW w:w="2054" w:type="dxa"/>
            <w:shd w:val="clear" w:color="auto" w:fill="auto"/>
            <w:vAlign w:val="bottom"/>
          </w:tcPr>
          <w:p w14:paraId="4F972A9B" w14:textId="77777777" w:rsidR="00BD1255" w:rsidRPr="00DA4360" w:rsidRDefault="00BD1255" w:rsidP="003F6F1A">
            <w:pPr>
              <w:keepNext/>
              <w:tabs>
                <w:tab w:val="left" w:pos="360"/>
              </w:tabs>
              <w:suppressAutoHyphens/>
              <w:spacing w:after="0" w:line="240" w:lineRule="auto"/>
              <w:jc w:val="right"/>
              <w:rPr>
                <w:rFonts w:ascii="Arial" w:hAnsi="Arial" w:cs="Arial"/>
                <w:b/>
                <w:bCs/>
                <w:sz w:val="18"/>
                <w:szCs w:val="18"/>
                <w:lang w:val="en-CA"/>
              </w:rPr>
            </w:pPr>
            <w:r w:rsidRPr="00DA4360">
              <w:rPr>
                <w:rFonts w:ascii="Arial" w:hAnsi="Arial" w:cs="Arial"/>
                <w:b/>
                <w:bCs/>
                <w:sz w:val="18"/>
                <w:szCs w:val="18"/>
                <w:lang w:val="en-CA"/>
              </w:rPr>
              <w:t>114,516</w:t>
            </w:r>
          </w:p>
        </w:tc>
        <w:tc>
          <w:tcPr>
            <w:tcW w:w="236" w:type="dxa"/>
            <w:shd w:val="clear" w:color="auto" w:fill="auto"/>
            <w:vAlign w:val="bottom"/>
          </w:tcPr>
          <w:p w14:paraId="754A4BA8" w14:textId="77777777" w:rsidR="00BD1255" w:rsidRPr="00DA4360" w:rsidRDefault="00BD1255" w:rsidP="003F6F1A">
            <w:pPr>
              <w:keepNext/>
              <w:tabs>
                <w:tab w:val="left" w:pos="360"/>
              </w:tabs>
              <w:suppressAutoHyphens/>
              <w:spacing w:after="0" w:line="240" w:lineRule="auto"/>
              <w:jc w:val="right"/>
              <w:rPr>
                <w:rFonts w:ascii="Arial" w:hAnsi="Arial" w:cs="Arial"/>
                <w:sz w:val="18"/>
                <w:szCs w:val="18"/>
                <w:lang w:val="en-CA"/>
              </w:rPr>
            </w:pPr>
          </w:p>
        </w:tc>
        <w:tc>
          <w:tcPr>
            <w:tcW w:w="2123" w:type="dxa"/>
            <w:shd w:val="clear" w:color="auto" w:fill="auto"/>
            <w:vAlign w:val="bottom"/>
          </w:tcPr>
          <w:p w14:paraId="3E455395" w14:textId="77EA9D88" w:rsidR="00BD1255" w:rsidRPr="00DA4360" w:rsidRDefault="00474C43" w:rsidP="003F6F1A">
            <w:pPr>
              <w:keepNext/>
              <w:tabs>
                <w:tab w:val="left" w:pos="360"/>
              </w:tabs>
              <w:suppressAutoHyphens/>
              <w:spacing w:after="0" w:line="240" w:lineRule="auto"/>
              <w:jc w:val="right"/>
              <w:rPr>
                <w:rFonts w:ascii="Arial" w:hAnsi="Arial" w:cs="Arial"/>
                <w:sz w:val="18"/>
                <w:szCs w:val="18"/>
                <w:lang w:val="en-CA"/>
              </w:rPr>
            </w:pPr>
            <w:r>
              <w:rPr>
                <w:rFonts w:ascii="Arial" w:hAnsi="Arial" w:cs="Arial"/>
                <w:sz w:val="18"/>
                <w:szCs w:val="18"/>
                <w:lang w:val="en-CA"/>
              </w:rPr>
              <w:t>-</w:t>
            </w:r>
          </w:p>
        </w:tc>
      </w:tr>
      <w:tr w:rsidR="003E0848" w:rsidRPr="00DA4360" w14:paraId="1B0CD6F0" w14:textId="77777777" w:rsidTr="004A1755">
        <w:tc>
          <w:tcPr>
            <w:tcW w:w="4762" w:type="dxa"/>
            <w:shd w:val="clear" w:color="auto" w:fill="auto"/>
          </w:tcPr>
          <w:p w14:paraId="2F8A7DB3" w14:textId="77777777" w:rsidR="00A86E9F" w:rsidRPr="00DA4360" w:rsidRDefault="00A86E9F" w:rsidP="003F6F1A">
            <w:pPr>
              <w:keepNext/>
              <w:tabs>
                <w:tab w:val="left" w:pos="360"/>
              </w:tabs>
              <w:suppressAutoHyphens/>
              <w:spacing w:after="0" w:line="240" w:lineRule="auto"/>
              <w:jc w:val="both"/>
              <w:rPr>
                <w:rFonts w:ascii="Arial" w:hAnsi="Arial" w:cs="Arial"/>
                <w:sz w:val="20"/>
                <w:szCs w:val="20"/>
                <w:lang w:val="en-CA"/>
              </w:rPr>
            </w:pPr>
            <w:r w:rsidRPr="00DA4360">
              <w:rPr>
                <w:rFonts w:ascii="Arial" w:hAnsi="Arial" w:cs="Arial"/>
                <w:sz w:val="20"/>
                <w:szCs w:val="20"/>
                <w:lang w:val="en-CA"/>
              </w:rPr>
              <w:t>Gain on change in fair value of warrant liability</w:t>
            </w:r>
          </w:p>
        </w:tc>
        <w:tc>
          <w:tcPr>
            <w:tcW w:w="236" w:type="dxa"/>
            <w:shd w:val="clear" w:color="auto" w:fill="auto"/>
          </w:tcPr>
          <w:p w14:paraId="6F04F9D7" w14:textId="77777777" w:rsidR="00A86E9F" w:rsidRPr="00DA4360" w:rsidRDefault="00A86E9F" w:rsidP="003F6F1A">
            <w:pPr>
              <w:keepNext/>
              <w:tabs>
                <w:tab w:val="left" w:pos="360"/>
              </w:tabs>
              <w:suppressAutoHyphens/>
              <w:spacing w:after="0" w:line="240" w:lineRule="auto"/>
              <w:jc w:val="right"/>
              <w:rPr>
                <w:rFonts w:ascii="Arial" w:hAnsi="Arial" w:cs="Arial"/>
                <w:b/>
                <w:sz w:val="18"/>
                <w:szCs w:val="18"/>
                <w:lang w:val="en-CA"/>
              </w:rPr>
            </w:pPr>
          </w:p>
        </w:tc>
        <w:tc>
          <w:tcPr>
            <w:tcW w:w="2054" w:type="dxa"/>
            <w:shd w:val="clear" w:color="auto" w:fill="auto"/>
            <w:vAlign w:val="bottom"/>
          </w:tcPr>
          <w:p w14:paraId="2CF1A7B1" w14:textId="77777777" w:rsidR="00A86E9F" w:rsidRPr="00DA4360" w:rsidRDefault="00A86E9F" w:rsidP="003F6F1A">
            <w:pPr>
              <w:keepNext/>
              <w:tabs>
                <w:tab w:val="left" w:pos="360"/>
              </w:tabs>
              <w:suppressAutoHyphens/>
              <w:spacing w:after="0" w:line="240" w:lineRule="auto"/>
              <w:jc w:val="right"/>
              <w:rPr>
                <w:rFonts w:ascii="Arial" w:hAnsi="Arial" w:cs="Arial"/>
                <w:b/>
                <w:sz w:val="18"/>
                <w:szCs w:val="18"/>
                <w:lang w:val="en-CA"/>
              </w:rPr>
            </w:pPr>
            <w:r w:rsidRPr="00DA4360">
              <w:rPr>
                <w:rFonts w:ascii="Arial" w:hAnsi="Arial" w:cs="Arial"/>
                <w:b/>
                <w:bCs/>
                <w:sz w:val="18"/>
                <w:szCs w:val="18"/>
                <w:lang w:val="en-CA"/>
              </w:rPr>
              <w:t xml:space="preserve"> (160,874)</w:t>
            </w:r>
          </w:p>
        </w:tc>
        <w:tc>
          <w:tcPr>
            <w:tcW w:w="236" w:type="dxa"/>
            <w:shd w:val="clear" w:color="auto" w:fill="auto"/>
            <w:vAlign w:val="bottom"/>
          </w:tcPr>
          <w:p w14:paraId="4DBAEB12" w14:textId="77777777" w:rsidR="00A86E9F" w:rsidRPr="00DA4360" w:rsidRDefault="00A86E9F" w:rsidP="003F6F1A">
            <w:pPr>
              <w:keepNext/>
              <w:tabs>
                <w:tab w:val="left" w:pos="360"/>
              </w:tabs>
              <w:suppressAutoHyphens/>
              <w:spacing w:after="0" w:line="240" w:lineRule="auto"/>
              <w:jc w:val="right"/>
              <w:rPr>
                <w:rFonts w:ascii="Arial" w:hAnsi="Arial" w:cs="Arial"/>
                <w:sz w:val="18"/>
                <w:szCs w:val="18"/>
                <w:lang w:val="en-CA"/>
              </w:rPr>
            </w:pPr>
          </w:p>
        </w:tc>
        <w:tc>
          <w:tcPr>
            <w:tcW w:w="2123" w:type="dxa"/>
            <w:shd w:val="clear" w:color="auto" w:fill="auto"/>
            <w:vAlign w:val="bottom"/>
          </w:tcPr>
          <w:p w14:paraId="16D8ED1B" w14:textId="77777777" w:rsidR="00A86E9F" w:rsidRPr="00DA4360" w:rsidRDefault="00A86E9F" w:rsidP="003F6F1A">
            <w:pPr>
              <w:keepNext/>
              <w:tabs>
                <w:tab w:val="left" w:pos="360"/>
              </w:tabs>
              <w:suppressAutoHyphens/>
              <w:spacing w:after="0" w:line="240" w:lineRule="auto"/>
              <w:jc w:val="right"/>
              <w:rPr>
                <w:rFonts w:ascii="Arial" w:hAnsi="Arial" w:cs="Arial"/>
                <w:sz w:val="18"/>
                <w:szCs w:val="18"/>
                <w:lang w:val="en-CA"/>
              </w:rPr>
            </w:pPr>
            <w:r w:rsidRPr="00DA4360">
              <w:rPr>
                <w:rFonts w:ascii="Arial" w:hAnsi="Arial" w:cs="Arial"/>
                <w:sz w:val="18"/>
                <w:szCs w:val="18"/>
                <w:lang w:val="en-CA"/>
              </w:rPr>
              <w:t xml:space="preserve"> -   </w:t>
            </w:r>
          </w:p>
        </w:tc>
      </w:tr>
      <w:tr w:rsidR="003E0848" w:rsidRPr="00DA4360" w14:paraId="2246F499" w14:textId="77777777" w:rsidTr="004A1755">
        <w:tc>
          <w:tcPr>
            <w:tcW w:w="4762" w:type="dxa"/>
            <w:shd w:val="clear" w:color="auto" w:fill="auto"/>
          </w:tcPr>
          <w:p w14:paraId="569E7C85" w14:textId="77777777" w:rsidR="00A86E9F" w:rsidRPr="00DA4360" w:rsidRDefault="00A86E9F" w:rsidP="003F6F1A">
            <w:pPr>
              <w:keepNext/>
              <w:tabs>
                <w:tab w:val="left" w:pos="360"/>
              </w:tabs>
              <w:suppressAutoHyphens/>
              <w:spacing w:after="0" w:line="240" w:lineRule="auto"/>
              <w:jc w:val="both"/>
              <w:rPr>
                <w:rFonts w:ascii="Arial" w:hAnsi="Arial" w:cs="Arial"/>
                <w:sz w:val="20"/>
                <w:szCs w:val="20"/>
                <w:lang w:val="en-CA"/>
              </w:rPr>
            </w:pPr>
            <w:r w:rsidRPr="00DA4360">
              <w:rPr>
                <w:rFonts w:ascii="Arial" w:hAnsi="Arial" w:cs="Arial"/>
                <w:sz w:val="20"/>
                <w:szCs w:val="20"/>
                <w:lang w:val="en-CA"/>
              </w:rPr>
              <w:t>Gain on change in fair value of conversion option</w:t>
            </w:r>
          </w:p>
        </w:tc>
        <w:tc>
          <w:tcPr>
            <w:tcW w:w="236" w:type="dxa"/>
            <w:shd w:val="clear" w:color="auto" w:fill="auto"/>
          </w:tcPr>
          <w:p w14:paraId="191BD129" w14:textId="77777777" w:rsidR="00A86E9F" w:rsidRPr="00DA4360" w:rsidRDefault="00A86E9F" w:rsidP="003F6F1A">
            <w:pPr>
              <w:keepNext/>
              <w:tabs>
                <w:tab w:val="left" w:pos="360"/>
              </w:tabs>
              <w:suppressAutoHyphens/>
              <w:spacing w:after="0" w:line="240" w:lineRule="auto"/>
              <w:jc w:val="right"/>
              <w:rPr>
                <w:rFonts w:ascii="Arial" w:hAnsi="Arial" w:cs="Arial"/>
                <w:b/>
                <w:sz w:val="18"/>
                <w:szCs w:val="18"/>
                <w:lang w:val="en-CA"/>
              </w:rPr>
            </w:pPr>
          </w:p>
        </w:tc>
        <w:tc>
          <w:tcPr>
            <w:tcW w:w="2054" w:type="dxa"/>
            <w:shd w:val="clear" w:color="auto" w:fill="auto"/>
            <w:vAlign w:val="bottom"/>
          </w:tcPr>
          <w:p w14:paraId="5B33D960" w14:textId="77777777" w:rsidR="00A86E9F" w:rsidRPr="00DA4360" w:rsidRDefault="00A86E9F" w:rsidP="003F6F1A">
            <w:pPr>
              <w:keepNext/>
              <w:tabs>
                <w:tab w:val="left" w:pos="360"/>
              </w:tabs>
              <w:suppressAutoHyphens/>
              <w:spacing w:after="0" w:line="240" w:lineRule="auto"/>
              <w:jc w:val="right"/>
              <w:rPr>
                <w:rFonts w:ascii="Arial" w:hAnsi="Arial" w:cs="Arial"/>
                <w:b/>
                <w:sz w:val="18"/>
                <w:szCs w:val="18"/>
                <w:lang w:val="en-CA"/>
              </w:rPr>
            </w:pPr>
            <w:r w:rsidRPr="00DA4360">
              <w:rPr>
                <w:rFonts w:ascii="Arial" w:hAnsi="Arial" w:cs="Arial"/>
                <w:b/>
                <w:bCs/>
                <w:sz w:val="18"/>
                <w:szCs w:val="18"/>
                <w:lang w:val="en-CA"/>
              </w:rPr>
              <w:t xml:space="preserve"> (64,426)</w:t>
            </w:r>
          </w:p>
        </w:tc>
        <w:tc>
          <w:tcPr>
            <w:tcW w:w="236" w:type="dxa"/>
            <w:shd w:val="clear" w:color="auto" w:fill="auto"/>
            <w:vAlign w:val="bottom"/>
          </w:tcPr>
          <w:p w14:paraId="6F271CA7" w14:textId="77777777" w:rsidR="00A86E9F" w:rsidRPr="00DA4360" w:rsidRDefault="00A86E9F" w:rsidP="003F6F1A">
            <w:pPr>
              <w:keepNext/>
              <w:tabs>
                <w:tab w:val="left" w:pos="360"/>
              </w:tabs>
              <w:suppressAutoHyphens/>
              <w:spacing w:after="0" w:line="240" w:lineRule="auto"/>
              <w:jc w:val="right"/>
              <w:rPr>
                <w:rFonts w:ascii="Arial" w:hAnsi="Arial" w:cs="Arial"/>
                <w:sz w:val="18"/>
                <w:szCs w:val="18"/>
                <w:lang w:val="en-CA"/>
              </w:rPr>
            </w:pPr>
          </w:p>
        </w:tc>
        <w:tc>
          <w:tcPr>
            <w:tcW w:w="2123" w:type="dxa"/>
            <w:shd w:val="clear" w:color="auto" w:fill="auto"/>
            <w:vAlign w:val="bottom"/>
          </w:tcPr>
          <w:p w14:paraId="4A831845" w14:textId="77777777" w:rsidR="00A86E9F" w:rsidRPr="00DA4360" w:rsidRDefault="00A86E9F" w:rsidP="003F6F1A">
            <w:pPr>
              <w:keepNext/>
              <w:tabs>
                <w:tab w:val="left" w:pos="360"/>
              </w:tabs>
              <w:suppressAutoHyphens/>
              <w:spacing w:after="0" w:line="240" w:lineRule="auto"/>
              <w:jc w:val="right"/>
              <w:rPr>
                <w:rFonts w:ascii="Arial" w:hAnsi="Arial" w:cs="Arial"/>
                <w:sz w:val="18"/>
                <w:szCs w:val="18"/>
                <w:lang w:val="en-CA"/>
              </w:rPr>
            </w:pPr>
            <w:r w:rsidRPr="00DA4360">
              <w:rPr>
                <w:rFonts w:ascii="Arial" w:hAnsi="Arial" w:cs="Arial"/>
                <w:sz w:val="18"/>
                <w:szCs w:val="18"/>
                <w:lang w:val="en-CA"/>
              </w:rPr>
              <w:t xml:space="preserve"> -   </w:t>
            </w:r>
          </w:p>
        </w:tc>
      </w:tr>
      <w:tr w:rsidR="003E0848" w:rsidRPr="00DA4360" w14:paraId="03295F27" w14:textId="77777777" w:rsidTr="004A1755">
        <w:tc>
          <w:tcPr>
            <w:tcW w:w="4762" w:type="dxa"/>
            <w:tcBorders>
              <w:bottom w:val="single" w:sz="4" w:space="0" w:color="auto"/>
            </w:tcBorders>
            <w:shd w:val="clear" w:color="auto" w:fill="auto"/>
          </w:tcPr>
          <w:p w14:paraId="172249C8" w14:textId="77777777" w:rsidR="00A86E9F" w:rsidRPr="00DA4360" w:rsidRDefault="00A86E9F" w:rsidP="003F6F1A">
            <w:pPr>
              <w:keepNext/>
              <w:tabs>
                <w:tab w:val="left" w:pos="360"/>
              </w:tabs>
              <w:suppressAutoHyphens/>
              <w:spacing w:after="0" w:line="240" w:lineRule="auto"/>
              <w:jc w:val="both"/>
              <w:rPr>
                <w:rFonts w:ascii="Arial" w:hAnsi="Arial" w:cs="Arial"/>
                <w:sz w:val="20"/>
                <w:szCs w:val="20"/>
                <w:lang w:val="en-CA"/>
              </w:rPr>
            </w:pPr>
            <w:r w:rsidRPr="00DA4360">
              <w:rPr>
                <w:rFonts w:ascii="Arial" w:hAnsi="Arial" w:cs="Arial"/>
                <w:sz w:val="20"/>
                <w:szCs w:val="20"/>
                <w:lang w:val="en-CA"/>
              </w:rPr>
              <w:t>Other expense, net</w:t>
            </w:r>
          </w:p>
        </w:tc>
        <w:tc>
          <w:tcPr>
            <w:tcW w:w="236" w:type="dxa"/>
            <w:tcBorders>
              <w:bottom w:val="single" w:sz="4" w:space="0" w:color="auto"/>
            </w:tcBorders>
            <w:shd w:val="clear" w:color="auto" w:fill="auto"/>
          </w:tcPr>
          <w:p w14:paraId="197539FA" w14:textId="77777777" w:rsidR="00A86E9F" w:rsidRPr="00DA4360" w:rsidRDefault="00A86E9F" w:rsidP="003F6F1A">
            <w:pPr>
              <w:keepNext/>
              <w:tabs>
                <w:tab w:val="left" w:pos="360"/>
              </w:tabs>
              <w:suppressAutoHyphens/>
              <w:spacing w:after="0" w:line="240" w:lineRule="auto"/>
              <w:jc w:val="right"/>
              <w:rPr>
                <w:rFonts w:ascii="Arial" w:hAnsi="Arial" w:cs="Arial"/>
                <w:b/>
                <w:sz w:val="18"/>
                <w:szCs w:val="18"/>
                <w:lang w:val="en-CA"/>
              </w:rPr>
            </w:pPr>
          </w:p>
        </w:tc>
        <w:tc>
          <w:tcPr>
            <w:tcW w:w="2054" w:type="dxa"/>
            <w:tcBorders>
              <w:bottom w:val="single" w:sz="4" w:space="0" w:color="auto"/>
            </w:tcBorders>
            <w:shd w:val="clear" w:color="auto" w:fill="auto"/>
            <w:vAlign w:val="bottom"/>
          </w:tcPr>
          <w:p w14:paraId="413DE7C3" w14:textId="77777777" w:rsidR="00A86E9F" w:rsidRPr="00DA4360" w:rsidRDefault="00A86E9F" w:rsidP="003F6F1A">
            <w:pPr>
              <w:keepNext/>
              <w:tabs>
                <w:tab w:val="left" w:pos="360"/>
              </w:tabs>
              <w:suppressAutoHyphens/>
              <w:spacing w:after="0" w:line="240" w:lineRule="auto"/>
              <w:jc w:val="right"/>
              <w:rPr>
                <w:rFonts w:ascii="Arial" w:hAnsi="Arial" w:cs="Arial"/>
                <w:b/>
                <w:sz w:val="18"/>
                <w:szCs w:val="18"/>
                <w:lang w:val="en-CA"/>
              </w:rPr>
            </w:pPr>
            <w:r w:rsidRPr="00DA4360">
              <w:rPr>
                <w:rFonts w:ascii="Arial" w:hAnsi="Arial" w:cs="Arial"/>
                <w:b/>
                <w:bCs/>
                <w:sz w:val="18"/>
                <w:szCs w:val="18"/>
                <w:lang w:val="en-CA"/>
              </w:rPr>
              <w:t xml:space="preserve"> 74,0</w:t>
            </w:r>
            <w:r w:rsidR="00BD1255" w:rsidRPr="00DA4360">
              <w:rPr>
                <w:rFonts w:ascii="Arial" w:hAnsi="Arial" w:cs="Arial"/>
                <w:b/>
                <w:bCs/>
                <w:sz w:val="18"/>
                <w:szCs w:val="18"/>
                <w:lang w:val="en-CA"/>
              </w:rPr>
              <w:t>60</w:t>
            </w:r>
            <w:r w:rsidRPr="00DA4360">
              <w:rPr>
                <w:rFonts w:ascii="Arial" w:hAnsi="Arial" w:cs="Arial"/>
                <w:b/>
                <w:bCs/>
                <w:sz w:val="18"/>
                <w:szCs w:val="18"/>
                <w:lang w:val="en-CA"/>
              </w:rPr>
              <w:t xml:space="preserve"> </w:t>
            </w:r>
          </w:p>
        </w:tc>
        <w:tc>
          <w:tcPr>
            <w:tcW w:w="236" w:type="dxa"/>
            <w:tcBorders>
              <w:bottom w:val="single" w:sz="4" w:space="0" w:color="auto"/>
            </w:tcBorders>
            <w:shd w:val="clear" w:color="auto" w:fill="auto"/>
            <w:vAlign w:val="bottom"/>
          </w:tcPr>
          <w:p w14:paraId="7EF109AA" w14:textId="77777777" w:rsidR="00A86E9F" w:rsidRPr="00DA4360" w:rsidRDefault="00A86E9F" w:rsidP="003F6F1A">
            <w:pPr>
              <w:keepNext/>
              <w:tabs>
                <w:tab w:val="left" w:pos="360"/>
              </w:tabs>
              <w:suppressAutoHyphens/>
              <w:spacing w:after="0" w:line="240" w:lineRule="auto"/>
              <w:jc w:val="right"/>
              <w:rPr>
                <w:rFonts w:ascii="Arial" w:hAnsi="Arial" w:cs="Arial"/>
                <w:sz w:val="18"/>
                <w:szCs w:val="18"/>
                <w:lang w:val="en-CA"/>
              </w:rPr>
            </w:pPr>
          </w:p>
        </w:tc>
        <w:tc>
          <w:tcPr>
            <w:tcW w:w="2123" w:type="dxa"/>
            <w:tcBorders>
              <w:bottom w:val="single" w:sz="4" w:space="0" w:color="auto"/>
            </w:tcBorders>
            <w:shd w:val="clear" w:color="auto" w:fill="auto"/>
            <w:vAlign w:val="bottom"/>
          </w:tcPr>
          <w:p w14:paraId="000CB932" w14:textId="77777777" w:rsidR="00A86E9F" w:rsidRPr="00DA4360" w:rsidRDefault="00A86E9F" w:rsidP="003F6F1A">
            <w:pPr>
              <w:keepNext/>
              <w:tabs>
                <w:tab w:val="left" w:pos="360"/>
              </w:tabs>
              <w:suppressAutoHyphens/>
              <w:spacing w:after="0" w:line="240" w:lineRule="auto"/>
              <w:jc w:val="right"/>
              <w:rPr>
                <w:rFonts w:ascii="Arial" w:hAnsi="Arial" w:cs="Arial"/>
                <w:sz w:val="18"/>
                <w:szCs w:val="18"/>
                <w:lang w:val="en-CA"/>
              </w:rPr>
            </w:pPr>
            <w:r w:rsidRPr="00DA4360">
              <w:rPr>
                <w:rFonts w:ascii="Arial" w:hAnsi="Arial" w:cs="Arial"/>
                <w:sz w:val="18"/>
                <w:szCs w:val="18"/>
                <w:lang w:val="en-CA"/>
              </w:rPr>
              <w:t xml:space="preserve"> -   </w:t>
            </w:r>
          </w:p>
        </w:tc>
      </w:tr>
      <w:tr w:rsidR="003E0848" w:rsidRPr="00DA4360" w14:paraId="648A7DC3" w14:textId="77777777" w:rsidTr="004A1755">
        <w:tc>
          <w:tcPr>
            <w:tcW w:w="4762" w:type="dxa"/>
            <w:tcBorders>
              <w:top w:val="single" w:sz="4" w:space="0" w:color="auto"/>
            </w:tcBorders>
            <w:shd w:val="clear" w:color="auto" w:fill="auto"/>
          </w:tcPr>
          <w:p w14:paraId="6534002F" w14:textId="77777777" w:rsidR="00B150DF" w:rsidRPr="00DA4360" w:rsidRDefault="00B150DF" w:rsidP="003F6F1A">
            <w:pPr>
              <w:keepNext/>
              <w:tabs>
                <w:tab w:val="left" w:pos="360"/>
              </w:tabs>
              <w:suppressAutoHyphens/>
              <w:spacing w:after="0" w:line="240" w:lineRule="auto"/>
              <w:jc w:val="both"/>
              <w:rPr>
                <w:rFonts w:ascii="Arial" w:hAnsi="Arial" w:cs="Arial"/>
                <w:sz w:val="20"/>
                <w:szCs w:val="20"/>
                <w:lang w:val="en-CA"/>
              </w:rPr>
            </w:pPr>
          </w:p>
        </w:tc>
        <w:tc>
          <w:tcPr>
            <w:tcW w:w="236" w:type="dxa"/>
            <w:tcBorders>
              <w:top w:val="single" w:sz="4" w:space="0" w:color="auto"/>
            </w:tcBorders>
            <w:shd w:val="clear" w:color="auto" w:fill="auto"/>
          </w:tcPr>
          <w:p w14:paraId="16F7E83B" w14:textId="77777777" w:rsidR="00B150DF" w:rsidRPr="00DA4360" w:rsidRDefault="00B150DF" w:rsidP="003F6F1A">
            <w:pPr>
              <w:keepNext/>
              <w:tabs>
                <w:tab w:val="left" w:pos="360"/>
              </w:tabs>
              <w:suppressAutoHyphens/>
              <w:spacing w:after="0" w:line="240" w:lineRule="auto"/>
              <w:jc w:val="right"/>
              <w:rPr>
                <w:rFonts w:ascii="Arial" w:hAnsi="Arial" w:cs="Arial"/>
                <w:b/>
                <w:sz w:val="18"/>
                <w:szCs w:val="18"/>
                <w:lang w:val="en-CA"/>
              </w:rPr>
            </w:pPr>
          </w:p>
        </w:tc>
        <w:tc>
          <w:tcPr>
            <w:tcW w:w="2054" w:type="dxa"/>
            <w:tcBorders>
              <w:top w:val="single" w:sz="4" w:space="0" w:color="auto"/>
            </w:tcBorders>
            <w:shd w:val="clear" w:color="auto" w:fill="auto"/>
            <w:vAlign w:val="bottom"/>
          </w:tcPr>
          <w:p w14:paraId="3F94E8F0" w14:textId="77777777" w:rsidR="00B150DF" w:rsidRPr="00DA4360" w:rsidRDefault="00B150DF" w:rsidP="003F6F1A">
            <w:pPr>
              <w:keepNext/>
              <w:tabs>
                <w:tab w:val="left" w:pos="360"/>
              </w:tabs>
              <w:suppressAutoHyphens/>
              <w:spacing w:after="0" w:line="240" w:lineRule="auto"/>
              <w:jc w:val="right"/>
              <w:rPr>
                <w:rFonts w:ascii="Arial" w:hAnsi="Arial" w:cs="Arial"/>
                <w:b/>
                <w:sz w:val="18"/>
                <w:szCs w:val="18"/>
                <w:lang w:val="en-CA"/>
              </w:rPr>
            </w:pPr>
          </w:p>
        </w:tc>
        <w:tc>
          <w:tcPr>
            <w:tcW w:w="236" w:type="dxa"/>
            <w:tcBorders>
              <w:top w:val="single" w:sz="4" w:space="0" w:color="auto"/>
            </w:tcBorders>
            <w:shd w:val="clear" w:color="auto" w:fill="auto"/>
            <w:vAlign w:val="bottom"/>
          </w:tcPr>
          <w:p w14:paraId="4EB9204B" w14:textId="77777777" w:rsidR="00B150DF" w:rsidRPr="00DA4360" w:rsidRDefault="00B150DF" w:rsidP="003F6F1A">
            <w:pPr>
              <w:keepNext/>
              <w:tabs>
                <w:tab w:val="left" w:pos="360"/>
              </w:tabs>
              <w:suppressAutoHyphens/>
              <w:spacing w:after="0" w:line="240" w:lineRule="auto"/>
              <w:jc w:val="right"/>
              <w:rPr>
                <w:rFonts w:ascii="Arial" w:hAnsi="Arial" w:cs="Arial"/>
                <w:sz w:val="18"/>
                <w:szCs w:val="18"/>
                <w:lang w:val="en-CA"/>
              </w:rPr>
            </w:pPr>
          </w:p>
        </w:tc>
        <w:tc>
          <w:tcPr>
            <w:tcW w:w="2123" w:type="dxa"/>
            <w:tcBorders>
              <w:top w:val="single" w:sz="4" w:space="0" w:color="auto"/>
            </w:tcBorders>
            <w:shd w:val="clear" w:color="auto" w:fill="auto"/>
            <w:vAlign w:val="bottom"/>
          </w:tcPr>
          <w:p w14:paraId="2F18C6AC" w14:textId="77777777" w:rsidR="00B150DF" w:rsidRPr="00DA4360" w:rsidRDefault="00B150DF" w:rsidP="003F6F1A">
            <w:pPr>
              <w:keepNext/>
              <w:tabs>
                <w:tab w:val="left" w:pos="360"/>
              </w:tabs>
              <w:suppressAutoHyphens/>
              <w:spacing w:after="0" w:line="240" w:lineRule="auto"/>
              <w:jc w:val="right"/>
              <w:rPr>
                <w:rFonts w:ascii="Arial" w:hAnsi="Arial" w:cs="Arial"/>
                <w:sz w:val="18"/>
                <w:szCs w:val="18"/>
                <w:lang w:val="en-CA"/>
              </w:rPr>
            </w:pPr>
          </w:p>
        </w:tc>
      </w:tr>
      <w:tr w:rsidR="003E0848" w:rsidRPr="00DA4360" w14:paraId="65337C4A" w14:textId="77777777" w:rsidTr="004A1755">
        <w:tc>
          <w:tcPr>
            <w:tcW w:w="4762" w:type="dxa"/>
            <w:tcBorders>
              <w:bottom w:val="single" w:sz="18" w:space="0" w:color="auto"/>
            </w:tcBorders>
            <w:shd w:val="clear" w:color="auto" w:fill="auto"/>
          </w:tcPr>
          <w:p w14:paraId="30079468" w14:textId="77777777" w:rsidR="00A86E9F" w:rsidRPr="00DA4360" w:rsidRDefault="00A86E9F" w:rsidP="003F6F1A">
            <w:pPr>
              <w:keepNext/>
              <w:tabs>
                <w:tab w:val="left" w:pos="360"/>
              </w:tabs>
              <w:suppressAutoHyphens/>
              <w:spacing w:after="0" w:line="240" w:lineRule="auto"/>
              <w:jc w:val="both"/>
              <w:rPr>
                <w:rFonts w:ascii="Arial" w:hAnsi="Arial" w:cs="Arial"/>
                <w:b/>
                <w:sz w:val="20"/>
                <w:szCs w:val="20"/>
                <w:lang w:val="en-CA"/>
              </w:rPr>
            </w:pPr>
            <w:r w:rsidRPr="00DA4360">
              <w:rPr>
                <w:rFonts w:ascii="Arial" w:hAnsi="Arial" w:cs="Arial"/>
                <w:b/>
                <w:sz w:val="20"/>
                <w:szCs w:val="20"/>
                <w:lang w:val="en-CA"/>
              </w:rPr>
              <w:t>Net loss and comprehensive loss for the period</w:t>
            </w:r>
          </w:p>
        </w:tc>
        <w:tc>
          <w:tcPr>
            <w:tcW w:w="236" w:type="dxa"/>
            <w:tcBorders>
              <w:bottom w:val="single" w:sz="18" w:space="0" w:color="auto"/>
            </w:tcBorders>
            <w:shd w:val="clear" w:color="auto" w:fill="auto"/>
          </w:tcPr>
          <w:p w14:paraId="2DD52935" w14:textId="77777777" w:rsidR="00A86E9F" w:rsidRPr="00DA4360" w:rsidRDefault="00A86E9F" w:rsidP="003F6F1A">
            <w:pPr>
              <w:keepNext/>
              <w:tabs>
                <w:tab w:val="left" w:pos="360"/>
              </w:tabs>
              <w:suppressAutoHyphens/>
              <w:spacing w:after="0" w:line="240" w:lineRule="auto"/>
              <w:jc w:val="right"/>
              <w:rPr>
                <w:rFonts w:ascii="Arial" w:hAnsi="Arial" w:cs="Arial"/>
                <w:b/>
                <w:sz w:val="18"/>
                <w:szCs w:val="18"/>
                <w:lang w:val="en-CA"/>
              </w:rPr>
            </w:pPr>
            <w:r w:rsidRPr="00DA4360">
              <w:rPr>
                <w:rFonts w:ascii="Arial" w:hAnsi="Arial" w:cs="Arial"/>
                <w:b/>
                <w:sz w:val="18"/>
                <w:szCs w:val="18"/>
                <w:lang w:val="en-CA"/>
              </w:rPr>
              <w:t>$</w:t>
            </w:r>
          </w:p>
        </w:tc>
        <w:tc>
          <w:tcPr>
            <w:tcW w:w="2054" w:type="dxa"/>
            <w:tcBorders>
              <w:bottom w:val="single" w:sz="18" w:space="0" w:color="auto"/>
            </w:tcBorders>
            <w:shd w:val="clear" w:color="auto" w:fill="auto"/>
            <w:vAlign w:val="bottom"/>
          </w:tcPr>
          <w:p w14:paraId="659A9E68" w14:textId="77777777" w:rsidR="00A86E9F" w:rsidRPr="00DA4360" w:rsidRDefault="00A86E9F" w:rsidP="003F6F1A">
            <w:pPr>
              <w:keepNext/>
              <w:tabs>
                <w:tab w:val="left" w:pos="360"/>
              </w:tabs>
              <w:suppressAutoHyphens/>
              <w:spacing w:after="0" w:line="240" w:lineRule="auto"/>
              <w:jc w:val="right"/>
              <w:rPr>
                <w:rFonts w:ascii="Arial" w:hAnsi="Arial" w:cs="Arial"/>
                <w:b/>
                <w:sz w:val="18"/>
                <w:szCs w:val="18"/>
                <w:lang w:val="en-CA"/>
              </w:rPr>
            </w:pPr>
            <w:r w:rsidRPr="00DA4360">
              <w:rPr>
                <w:rFonts w:ascii="Arial" w:hAnsi="Arial" w:cs="Arial"/>
                <w:b/>
                <w:bCs/>
                <w:sz w:val="18"/>
                <w:szCs w:val="18"/>
                <w:lang w:val="en-CA"/>
              </w:rPr>
              <w:t xml:space="preserve"> (</w:t>
            </w:r>
            <w:r w:rsidR="004E17E1" w:rsidRPr="00DA4360">
              <w:rPr>
                <w:rFonts w:ascii="Arial" w:hAnsi="Arial" w:cs="Arial"/>
                <w:b/>
                <w:bCs/>
                <w:sz w:val="18"/>
                <w:szCs w:val="18"/>
                <w:lang w:val="en-CA"/>
              </w:rPr>
              <w:t>1,</w:t>
            </w:r>
            <w:r w:rsidR="00BD1255" w:rsidRPr="00DA4360">
              <w:rPr>
                <w:rFonts w:ascii="Arial" w:hAnsi="Arial" w:cs="Arial"/>
                <w:b/>
                <w:bCs/>
                <w:sz w:val="18"/>
                <w:szCs w:val="18"/>
                <w:lang w:val="en-CA"/>
              </w:rPr>
              <w:t>855</w:t>
            </w:r>
            <w:r w:rsidR="00D3689F" w:rsidRPr="00DA4360">
              <w:rPr>
                <w:rFonts w:ascii="Arial" w:hAnsi="Arial" w:cs="Arial"/>
                <w:b/>
                <w:bCs/>
                <w:sz w:val="18"/>
                <w:szCs w:val="18"/>
                <w:lang w:val="en-CA"/>
              </w:rPr>
              <w:t>,047</w:t>
            </w:r>
            <w:r w:rsidRPr="00DA4360">
              <w:rPr>
                <w:rFonts w:ascii="Arial" w:hAnsi="Arial" w:cs="Arial"/>
                <w:b/>
                <w:bCs/>
                <w:sz w:val="18"/>
                <w:szCs w:val="18"/>
                <w:lang w:val="en-CA"/>
              </w:rPr>
              <w:t>)</w:t>
            </w:r>
          </w:p>
        </w:tc>
        <w:tc>
          <w:tcPr>
            <w:tcW w:w="236" w:type="dxa"/>
            <w:tcBorders>
              <w:bottom w:val="single" w:sz="18" w:space="0" w:color="auto"/>
            </w:tcBorders>
            <w:shd w:val="clear" w:color="auto" w:fill="auto"/>
            <w:vAlign w:val="bottom"/>
          </w:tcPr>
          <w:p w14:paraId="77BBF8E9" w14:textId="77777777" w:rsidR="00A86E9F" w:rsidRPr="00DA4360" w:rsidRDefault="00A86E9F" w:rsidP="003F6F1A">
            <w:pPr>
              <w:keepNext/>
              <w:tabs>
                <w:tab w:val="left" w:pos="360"/>
              </w:tabs>
              <w:suppressAutoHyphens/>
              <w:spacing w:after="0" w:line="240" w:lineRule="auto"/>
              <w:jc w:val="right"/>
              <w:rPr>
                <w:rFonts w:ascii="Arial" w:hAnsi="Arial" w:cs="Arial"/>
                <w:sz w:val="18"/>
                <w:szCs w:val="18"/>
                <w:lang w:val="en-CA"/>
              </w:rPr>
            </w:pPr>
            <w:r w:rsidRPr="00DA4360">
              <w:rPr>
                <w:rFonts w:ascii="Arial" w:hAnsi="Arial" w:cs="Arial"/>
                <w:sz w:val="18"/>
                <w:szCs w:val="18"/>
                <w:lang w:val="en-CA"/>
              </w:rPr>
              <w:t>$</w:t>
            </w:r>
          </w:p>
        </w:tc>
        <w:tc>
          <w:tcPr>
            <w:tcW w:w="2123" w:type="dxa"/>
            <w:tcBorders>
              <w:bottom w:val="single" w:sz="18" w:space="0" w:color="auto"/>
            </w:tcBorders>
            <w:shd w:val="clear" w:color="auto" w:fill="auto"/>
            <w:vAlign w:val="bottom"/>
          </w:tcPr>
          <w:p w14:paraId="0148E986" w14:textId="77777777" w:rsidR="00A86E9F" w:rsidRPr="00DA4360" w:rsidRDefault="00A86E9F" w:rsidP="003F6F1A">
            <w:pPr>
              <w:keepNext/>
              <w:tabs>
                <w:tab w:val="left" w:pos="360"/>
              </w:tabs>
              <w:suppressAutoHyphens/>
              <w:spacing w:after="0" w:line="240" w:lineRule="auto"/>
              <w:jc w:val="right"/>
              <w:rPr>
                <w:rFonts w:ascii="Arial" w:hAnsi="Arial" w:cs="Arial"/>
                <w:sz w:val="18"/>
                <w:szCs w:val="18"/>
                <w:lang w:val="en-CA"/>
              </w:rPr>
            </w:pPr>
            <w:r w:rsidRPr="00DA4360">
              <w:rPr>
                <w:rFonts w:ascii="Arial" w:hAnsi="Arial" w:cs="Arial"/>
                <w:sz w:val="18"/>
                <w:szCs w:val="18"/>
                <w:lang w:val="en-CA"/>
              </w:rPr>
              <w:t xml:space="preserve"> (</w:t>
            </w:r>
            <w:r w:rsidR="00424A47" w:rsidRPr="00DA4360">
              <w:rPr>
                <w:rFonts w:ascii="Arial" w:hAnsi="Arial" w:cs="Arial"/>
                <w:sz w:val="18"/>
                <w:szCs w:val="18"/>
                <w:lang w:val="en-CA"/>
              </w:rPr>
              <w:t>4,754,191</w:t>
            </w:r>
            <w:r w:rsidRPr="00DA4360">
              <w:rPr>
                <w:rFonts w:ascii="Arial" w:hAnsi="Arial" w:cs="Arial"/>
                <w:sz w:val="18"/>
                <w:szCs w:val="18"/>
                <w:lang w:val="en-CA"/>
              </w:rPr>
              <w:t>)</w:t>
            </w:r>
          </w:p>
        </w:tc>
      </w:tr>
    </w:tbl>
    <w:p w14:paraId="03340F16" w14:textId="77777777" w:rsidR="00B150DF" w:rsidRPr="00A86E9F" w:rsidRDefault="00B150DF" w:rsidP="003F6F1A">
      <w:pPr>
        <w:spacing w:after="0"/>
        <w:rPr>
          <w:rFonts w:ascii="Arial" w:hAnsi="Arial" w:cs="Arial"/>
          <w:sz w:val="20"/>
          <w:szCs w:val="20"/>
          <w:u w:val="single"/>
        </w:rPr>
      </w:pPr>
    </w:p>
    <w:p w14:paraId="7F3362A8" w14:textId="45430964" w:rsidR="00B150DF" w:rsidRPr="00A86E9F" w:rsidRDefault="00B150DF" w:rsidP="003F6F1A">
      <w:pPr>
        <w:spacing w:after="0"/>
        <w:rPr>
          <w:rFonts w:ascii="Arial" w:hAnsi="Arial" w:cs="Arial"/>
          <w:sz w:val="20"/>
          <w:szCs w:val="20"/>
          <w:u w:val="single"/>
        </w:rPr>
      </w:pPr>
      <w:r w:rsidRPr="00A86E9F">
        <w:rPr>
          <w:rFonts w:ascii="Arial" w:hAnsi="Arial" w:cs="Arial"/>
          <w:sz w:val="20"/>
          <w:szCs w:val="20"/>
          <w:u w:val="single"/>
        </w:rPr>
        <w:t xml:space="preserve">Clinic </w:t>
      </w:r>
      <w:r w:rsidR="00513D8E">
        <w:rPr>
          <w:rFonts w:ascii="Arial" w:hAnsi="Arial" w:cs="Arial"/>
          <w:sz w:val="20"/>
          <w:szCs w:val="20"/>
          <w:u w:val="single"/>
        </w:rPr>
        <w:t>r</w:t>
      </w:r>
      <w:r w:rsidRPr="00A86E9F">
        <w:rPr>
          <w:rFonts w:ascii="Arial" w:hAnsi="Arial" w:cs="Arial"/>
          <w:sz w:val="20"/>
          <w:szCs w:val="20"/>
          <w:u w:val="single"/>
        </w:rPr>
        <w:t>evenues</w:t>
      </w:r>
    </w:p>
    <w:p w14:paraId="715CB28E" w14:textId="77777777" w:rsidR="00B150DF" w:rsidRPr="00A86E9F" w:rsidRDefault="00B150DF" w:rsidP="003F6F1A">
      <w:pPr>
        <w:spacing w:after="0"/>
        <w:jc w:val="both"/>
        <w:rPr>
          <w:rFonts w:ascii="Arial" w:hAnsi="Arial" w:cs="Arial"/>
          <w:sz w:val="20"/>
          <w:szCs w:val="20"/>
        </w:rPr>
      </w:pPr>
    </w:p>
    <w:p w14:paraId="0C3AD52B" w14:textId="77777777" w:rsidR="00B150DF" w:rsidRPr="00A86E9F" w:rsidRDefault="00B150DF" w:rsidP="003F6F1A">
      <w:pPr>
        <w:spacing w:after="0"/>
        <w:jc w:val="both"/>
        <w:rPr>
          <w:rFonts w:ascii="Arial" w:hAnsi="Arial" w:cs="Arial"/>
          <w:sz w:val="20"/>
          <w:szCs w:val="20"/>
        </w:rPr>
      </w:pPr>
      <w:r w:rsidRPr="00A86E9F">
        <w:rPr>
          <w:rFonts w:ascii="Arial" w:hAnsi="Arial" w:cs="Arial"/>
          <w:sz w:val="20"/>
          <w:szCs w:val="20"/>
        </w:rPr>
        <w:t>Revenues were $</w:t>
      </w:r>
      <w:r w:rsidR="00A86E9F" w:rsidRPr="00A86E9F">
        <w:rPr>
          <w:rFonts w:ascii="Arial" w:hAnsi="Arial" w:cs="Arial"/>
          <w:sz w:val="20"/>
          <w:szCs w:val="20"/>
        </w:rPr>
        <w:t>743,869</w:t>
      </w:r>
      <w:r w:rsidRPr="00A86E9F">
        <w:rPr>
          <w:rFonts w:ascii="Arial" w:hAnsi="Arial" w:cs="Arial"/>
          <w:sz w:val="20"/>
          <w:szCs w:val="20"/>
        </w:rPr>
        <w:t>, compared to $</w:t>
      </w:r>
      <w:r w:rsidR="00A86E9F" w:rsidRPr="00A86E9F">
        <w:rPr>
          <w:rFonts w:ascii="Arial" w:hAnsi="Arial" w:cs="Arial"/>
          <w:sz w:val="20"/>
          <w:szCs w:val="20"/>
        </w:rPr>
        <w:t>614,627</w:t>
      </w:r>
      <w:r w:rsidRPr="00A86E9F">
        <w:rPr>
          <w:rFonts w:ascii="Arial" w:hAnsi="Arial" w:cs="Arial"/>
          <w:sz w:val="20"/>
          <w:szCs w:val="20"/>
        </w:rPr>
        <w:t xml:space="preserve"> during </w:t>
      </w:r>
      <w:r w:rsidR="00A86E9F" w:rsidRPr="00A86E9F">
        <w:rPr>
          <w:rFonts w:ascii="Arial" w:hAnsi="Arial" w:cs="Arial"/>
          <w:sz w:val="20"/>
          <w:szCs w:val="20"/>
        </w:rPr>
        <w:t>YTD</w:t>
      </w:r>
      <w:r w:rsidRPr="00A86E9F">
        <w:rPr>
          <w:rFonts w:ascii="Arial" w:hAnsi="Arial" w:cs="Arial"/>
          <w:sz w:val="20"/>
          <w:szCs w:val="20"/>
        </w:rPr>
        <w:t xml:space="preserve"> 2018 as the Company received </w:t>
      </w:r>
      <w:r w:rsidR="00FB59C4">
        <w:rPr>
          <w:rFonts w:ascii="Arial" w:hAnsi="Arial" w:cs="Arial"/>
          <w:sz w:val="20"/>
          <w:szCs w:val="20"/>
        </w:rPr>
        <w:t>5,497</w:t>
      </w:r>
      <w:r w:rsidRPr="00A86E9F">
        <w:rPr>
          <w:rFonts w:ascii="Arial" w:hAnsi="Arial" w:cs="Arial"/>
          <w:sz w:val="20"/>
          <w:szCs w:val="20"/>
        </w:rPr>
        <w:t xml:space="preserve"> patients spending on average $</w:t>
      </w:r>
      <w:r w:rsidR="00FB59C4">
        <w:rPr>
          <w:rFonts w:ascii="Arial" w:hAnsi="Arial" w:cs="Arial"/>
          <w:sz w:val="20"/>
          <w:szCs w:val="20"/>
        </w:rPr>
        <w:t>135</w:t>
      </w:r>
      <w:r w:rsidRPr="00A86E9F">
        <w:rPr>
          <w:rFonts w:ascii="Arial" w:hAnsi="Arial" w:cs="Arial"/>
          <w:sz w:val="20"/>
          <w:szCs w:val="20"/>
        </w:rPr>
        <w:t xml:space="preserve">, compared to </w:t>
      </w:r>
      <w:r w:rsidR="00A86E9F" w:rsidRPr="00A86E9F">
        <w:rPr>
          <w:rFonts w:ascii="Arial" w:hAnsi="Arial" w:cs="Arial"/>
          <w:sz w:val="20"/>
          <w:szCs w:val="20"/>
        </w:rPr>
        <w:t>4,429</w:t>
      </w:r>
      <w:r w:rsidRPr="00A86E9F">
        <w:rPr>
          <w:rFonts w:ascii="Arial" w:hAnsi="Arial" w:cs="Arial"/>
          <w:sz w:val="20"/>
          <w:szCs w:val="20"/>
        </w:rPr>
        <w:t xml:space="preserve"> patients spending on average $1</w:t>
      </w:r>
      <w:r w:rsidR="00A86E9F" w:rsidRPr="00A86E9F">
        <w:rPr>
          <w:rFonts w:ascii="Arial" w:hAnsi="Arial" w:cs="Arial"/>
          <w:sz w:val="20"/>
          <w:szCs w:val="20"/>
        </w:rPr>
        <w:t>39</w:t>
      </w:r>
      <w:r w:rsidRPr="00A86E9F">
        <w:rPr>
          <w:rFonts w:ascii="Arial" w:hAnsi="Arial" w:cs="Arial"/>
          <w:sz w:val="20"/>
          <w:szCs w:val="20"/>
        </w:rPr>
        <w:t xml:space="preserve"> during </w:t>
      </w:r>
      <w:r w:rsidR="00A86E9F" w:rsidRPr="00A86E9F">
        <w:rPr>
          <w:rFonts w:ascii="Arial" w:hAnsi="Arial" w:cs="Arial"/>
          <w:sz w:val="20"/>
          <w:szCs w:val="20"/>
        </w:rPr>
        <w:t>YTD</w:t>
      </w:r>
      <w:r w:rsidRPr="00A86E9F">
        <w:rPr>
          <w:rFonts w:ascii="Arial" w:hAnsi="Arial" w:cs="Arial"/>
          <w:sz w:val="20"/>
          <w:szCs w:val="20"/>
        </w:rPr>
        <w:t xml:space="preserve"> 2018. The increase is primarily due to the addition of the Sun Valley clinics beginning May 1, 2019. </w:t>
      </w:r>
    </w:p>
    <w:p w14:paraId="48109588" w14:textId="77777777" w:rsidR="00B150DF" w:rsidRPr="00A86E9F" w:rsidRDefault="00B150DF" w:rsidP="003F6F1A">
      <w:pPr>
        <w:spacing w:after="0"/>
        <w:jc w:val="both"/>
        <w:rPr>
          <w:rFonts w:ascii="Arial" w:hAnsi="Arial" w:cs="Arial"/>
          <w:sz w:val="20"/>
          <w:szCs w:val="20"/>
        </w:rPr>
      </w:pPr>
    </w:p>
    <w:p w14:paraId="3F45641D" w14:textId="77777777" w:rsidR="00700B1D" w:rsidRPr="009F6DF3" w:rsidRDefault="00700B1D" w:rsidP="003F6F1A">
      <w:pPr>
        <w:spacing w:after="0"/>
        <w:jc w:val="both"/>
        <w:rPr>
          <w:rFonts w:ascii="Arial" w:hAnsi="Arial" w:cs="Arial"/>
          <w:sz w:val="20"/>
          <w:szCs w:val="20"/>
        </w:rPr>
      </w:pPr>
      <w:r>
        <w:rPr>
          <w:rFonts w:ascii="Arial" w:hAnsi="Arial" w:cs="Arial"/>
          <w:sz w:val="20"/>
          <w:szCs w:val="20"/>
        </w:rPr>
        <w:t>T</w:t>
      </w:r>
      <w:r w:rsidRPr="009F6DF3">
        <w:rPr>
          <w:rFonts w:ascii="Arial" w:hAnsi="Arial" w:cs="Arial"/>
          <w:sz w:val="20"/>
          <w:szCs w:val="20"/>
        </w:rPr>
        <w:t>he Company receives revenue stream</w:t>
      </w:r>
      <w:r>
        <w:rPr>
          <w:rFonts w:ascii="Arial" w:hAnsi="Arial" w:cs="Arial"/>
          <w:sz w:val="20"/>
          <w:szCs w:val="20"/>
        </w:rPr>
        <w:t>s from</w:t>
      </w:r>
      <w:r w:rsidRPr="009F6DF3">
        <w:rPr>
          <w:rFonts w:ascii="Arial" w:hAnsi="Arial" w:cs="Arial"/>
          <w:sz w:val="20"/>
          <w:szCs w:val="20"/>
        </w:rPr>
        <w:t xml:space="preserve"> patient visits to existing clinics</w:t>
      </w:r>
      <w:r>
        <w:rPr>
          <w:rFonts w:ascii="Arial" w:hAnsi="Arial" w:cs="Arial"/>
          <w:sz w:val="20"/>
          <w:szCs w:val="20"/>
        </w:rPr>
        <w:t xml:space="preserve"> throughout the network, and the Company has expanded into CBD product sales and the sale of premium wellness products and supplements.</w:t>
      </w:r>
      <w:r w:rsidRPr="009F6DF3">
        <w:rPr>
          <w:rFonts w:ascii="Arial" w:hAnsi="Arial" w:cs="Arial"/>
          <w:sz w:val="20"/>
          <w:szCs w:val="20"/>
        </w:rPr>
        <w:t xml:space="preserve"> The Company expects to expand </w:t>
      </w:r>
      <w:r>
        <w:rPr>
          <w:rFonts w:ascii="Arial" w:hAnsi="Arial" w:cs="Arial"/>
          <w:sz w:val="20"/>
          <w:szCs w:val="20"/>
        </w:rPr>
        <w:t>its</w:t>
      </w:r>
      <w:r w:rsidRPr="009F6DF3">
        <w:rPr>
          <w:rFonts w:ascii="Arial" w:hAnsi="Arial" w:cs="Arial"/>
          <w:sz w:val="20"/>
          <w:szCs w:val="20"/>
        </w:rPr>
        <w:t xml:space="preserve"> revenue stream</w:t>
      </w:r>
      <w:r>
        <w:rPr>
          <w:rFonts w:ascii="Arial" w:hAnsi="Arial" w:cs="Arial"/>
          <w:sz w:val="20"/>
          <w:szCs w:val="20"/>
        </w:rPr>
        <w:t>s</w:t>
      </w:r>
      <w:r w:rsidRPr="009F6DF3">
        <w:rPr>
          <w:rFonts w:ascii="Arial" w:hAnsi="Arial" w:cs="Arial"/>
          <w:sz w:val="20"/>
          <w:szCs w:val="20"/>
        </w:rPr>
        <w:t xml:space="preserve"> as the </w:t>
      </w:r>
      <w:r>
        <w:rPr>
          <w:rFonts w:ascii="Arial" w:hAnsi="Arial" w:cs="Arial"/>
          <w:sz w:val="20"/>
          <w:szCs w:val="20"/>
        </w:rPr>
        <w:t>Company</w:t>
      </w:r>
      <w:r w:rsidRPr="009F6DF3">
        <w:rPr>
          <w:rFonts w:ascii="Arial" w:hAnsi="Arial" w:cs="Arial"/>
          <w:sz w:val="20"/>
          <w:szCs w:val="20"/>
        </w:rPr>
        <w:t xml:space="preserve"> patient base grows</w:t>
      </w:r>
      <w:r>
        <w:rPr>
          <w:rFonts w:ascii="Arial" w:hAnsi="Arial" w:cs="Arial"/>
          <w:sz w:val="20"/>
          <w:szCs w:val="20"/>
        </w:rPr>
        <w:t>, as branded CBD</w:t>
      </w:r>
      <w:r w:rsidRPr="009F6DF3">
        <w:rPr>
          <w:rFonts w:ascii="Arial" w:hAnsi="Arial" w:cs="Arial"/>
          <w:sz w:val="20"/>
          <w:szCs w:val="20"/>
        </w:rPr>
        <w:t xml:space="preserve"> product</w:t>
      </w:r>
      <w:r>
        <w:rPr>
          <w:rFonts w:ascii="Arial" w:hAnsi="Arial" w:cs="Arial"/>
          <w:sz w:val="20"/>
          <w:szCs w:val="20"/>
        </w:rPr>
        <w:t>s are further</w:t>
      </w:r>
      <w:r w:rsidRPr="009F6DF3">
        <w:rPr>
          <w:rFonts w:ascii="Arial" w:hAnsi="Arial" w:cs="Arial"/>
          <w:sz w:val="20"/>
          <w:szCs w:val="20"/>
        </w:rPr>
        <w:t xml:space="preserve"> rolled out</w:t>
      </w:r>
      <w:r>
        <w:rPr>
          <w:rFonts w:ascii="Arial" w:hAnsi="Arial" w:cs="Arial"/>
          <w:sz w:val="20"/>
          <w:szCs w:val="20"/>
        </w:rPr>
        <w:t xml:space="preserve"> and the CBD extraction facility becomes fully operational.</w:t>
      </w:r>
      <w:r w:rsidRPr="009F6DF3">
        <w:rPr>
          <w:rFonts w:ascii="Arial" w:hAnsi="Arial" w:cs="Arial"/>
          <w:sz w:val="20"/>
          <w:szCs w:val="20"/>
        </w:rPr>
        <w:t xml:space="preserve"> </w:t>
      </w:r>
    </w:p>
    <w:p w14:paraId="0146EBDD" w14:textId="77777777" w:rsidR="00B150DF" w:rsidRPr="00A86E9F" w:rsidRDefault="00B150DF" w:rsidP="003F6F1A">
      <w:pPr>
        <w:spacing w:after="0"/>
        <w:jc w:val="both"/>
        <w:rPr>
          <w:rFonts w:ascii="Arial" w:hAnsi="Arial" w:cs="Arial"/>
          <w:sz w:val="20"/>
          <w:szCs w:val="20"/>
          <w:u w:val="single"/>
        </w:rPr>
      </w:pPr>
    </w:p>
    <w:p w14:paraId="18D32620" w14:textId="77777777" w:rsidR="00B150DF" w:rsidRPr="00A86E9F" w:rsidRDefault="00B150DF" w:rsidP="003F6F1A">
      <w:pPr>
        <w:spacing w:after="0"/>
        <w:jc w:val="both"/>
        <w:rPr>
          <w:rFonts w:ascii="Arial" w:hAnsi="Arial" w:cs="Arial"/>
          <w:sz w:val="20"/>
          <w:szCs w:val="20"/>
          <w:u w:val="single"/>
        </w:rPr>
      </w:pPr>
      <w:r w:rsidRPr="00A86E9F">
        <w:rPr>
          <w:rFonts w:ascii="Arial" w:hAnsi="Arial" w:cs="Arial"/>
          <w:sz w:val="20"/>
          <w:szCs w:val="20"/>
          <w:u w:val="single"/>
        </w:rPr>
        <w:t>Direct clinic expenses</w:t>
      </w:r>
    </w:p>
    <w:p w14:paraId="776A4CE0" w14:textId="77777777" w:rsidR="00B150DF" w:rsidRPr="00A86E9F" w:rsidRDefault="00B150DF" w:rsidP="003F6F1A">
      <w:pPr>
        <w:spacing w:after="0"/>
        <w:jc w:val="both"/>
        <w:rPr>
          <w:rFonts w:ascii="Arial" w:hAnsi="Arial" w:cs="Arial"/>
          <w:sz w:val="20"/>
          <w:szCs w:val="20"/>
          <w:u w:val="single"/>
        </w:rPr>
      </w:pPr>
    </w:p>
    <w:p w14:paraId="7492E86A" w14:textId="77777777" w:rsidR="00645A49" w:rsidRPr="009F6DF3" w:rsidRDefault="00B150DF" w:rsidP="003F6F1A">
      <w:pPr>
        <w:spacing w:after="0"/>
        <w:jc w:val="both"/>
        <w:rPr>
          <w:rFonts w:ascii="Arial" w:hAnsi="Arial" w:cs="Arial"/>
          <w:sz w:val="20"/>
          <w:szCs w:val="20"/>
        </w:rPr>
      </w:pPr>
      <w:r w:rsidRPr="00A86E9F">
        <w:rPr>
          <w:rFonts w:ascii="Arial" w:hAnsi="Arial" w:cs="Arial"/>
          <w:sz w:val="20"/>
          <w:szCs w:val="20"/>
        </w:rPr>
        <w:t>Direct clinic expenses were $</w:t>
      </w:r>
      <w:r w:rsidR="00A86E9F" w:rsidRPr="00A86E9F">
        <w:rPr>
          <w:rFonts w:ascii="Arial" w:hAnsi="Arial" w:cs="Arial"/>
          <w:sz w:val="20"/>
          <w:szCs w:val="20"/>
        </w:rPr>
        <w:t>122,163</w:t>
      </w:r>
      <w:r w:rsidRPr="00A86E9F">
        <w:rPr>
          <w:rFonts w:ascii="Arial" w:hAnsi="Arial" w:cs="Arial"/>
          <w:sz w:val="20"/>
          <w:szCs w:val="20"/>
        </w:rPr>
        <w:t>, compared to $</w:t>
      </w:r>
      <w:r w:rsidR="00A86E9F" w:rsidRPr="00A86E9F">
        <w:rPr>
          <w:rFonts w:ascii="Arial" w:hAnsi="Arial" w:cs="Arial"/>
          <w:sz w:val="20"/>
          <w:szCs w:val="20"/>
        </w:rPr>
        <w:t>212,436</w:t>
      </w:r>
      <w:r w:rsidRPr="00A86E9F">
        <w:rPr>
          <w:rFonts w:ascii="Arial" w:hAnsi="Arial" w:cs="Arial"/>
          <w:sz w:val="20"/>
          <w:szCs w:val="20"/>
        </w:rPr>
        <w:t xml:space="preserve"> during </w:t>
      </w:r>
      <w:r w:rsidR="00A86E9F" w:rsidRPr="00A86E9F">
        <w:rPr>
          <w:rFonts w:ascii="Arial" w:hAnsi="Arial" w:cs="Arial"/>
          <w:sz w:val="20"/>
          <w:szCs w:val="20"/>
        </w:rPr>
        <w:t xml:space="preserve">YTD </w:t>
      </w:r>
      <w:r w:rsidRPr="00A86E9F">
        <w:rPr>
          <w:rFonts w:ascii="Arial" w:hAnsi="Arial" w:cs="Arial"/>
          <w:sz w:val="20"/>
          <w:szCs w:val="20"/>
        </w:rPr>
        <w:t xml:space="preserve">2018. </w:t>
      </w:r>
      <w:r w:rsidR="00645A49" w:rsidRPr="009F6DF3">
        <w:rPr>
          <w:rFonts w:ascii="Arial" w:hAnsi="Arial" w:cs="Arial"/>
          <w:sz w:val="20"/>
          <w:szCs w:val="20"/>
        </w:rPr>
        <w:t xml:space="preserve">These costs </w:t>
      </w:r>
      <w:r w:rsidR="00645A49">
        <w:rPr>
          <w:rFonts w:ascii="Arial" w:hAnsi="Arial" w:cs="Arial"/>
          <w:sz w:val="20"/>
          <w:szCs w:val="20"/>
        </w:rPr>
        <w:t>represent physician and clinic support staff expenses that are required to operate the clinics and provide patient consulting services. These expenses declined despite the increase in revenues due to improved operational controls to align labor cost with direct patient consultations</w:t>
      </w:r>
      <w:r w:rsidR="00645A49" w:rsidRPr="009F6DF3">
        <w:rPr>
          <w:rFonts w:ascii="Arial" w:hAnsi="Arial" w:cs="Arial"/>
          <w:sz w:val="20"/>
          <w:szCs w:val="20"/>
        </w:rPr>
        <w:t xml:space="preserve">. The Company employs </w:t>
      </w:r>
      <w:r w:rsidR="00645A49">
        <w:rPr>
          <w:rFonts w:ascii="Arial" w:hAnsi="Arial" w:cs="Arial"/>
          <w:sz w:val="20"/>
          <w:szCs w:val="20"/>
        </w:rPr>
        <w:t>a diverse mix of physicians and practitioners</w:t>
      </w:r>
      <w:r w:rsidR="00645A49" w:rsidRPr="009F6DF3">
        <w:rPr>
          <w:rFonts w:ascii="Arial" w:hAnsi="Arial" w:cs="Arial"/>
          <w:sz w:val="20"/>
          <w:szCs w:val="20"/>
        </w:rPr>
        <w:t xml:space="preserve">. </w:t>
      </w:r>
    </w:p>
    <w:p w14:paraId="528346E0" w14:textId="09472043" w:rsidR="00B150DF" w:rsidRPr="00A86E9F" w:rsidRDefault="00B150DF" w:rsidP="003F6F1A">
      <w:pPr>
        <w:spacing w:after="0"/>
        <w:jc w:val="both"/>
        <w:rPr>
          <w:rFonts w:ascii="Arial" w:hAnsi="Arial" w:cs="Arial"/>
          <w:sz w:val="20"/>
          <w:szCs w:val="20"/>
        </w:rPr>
      </w:pPr>
    </w:p>
    <w:p w14:paraId="1142EA87" w14:textId="77777777" w:rsidR="00B150DF" w:rsidRDefault="00B150DF" w:rsidP="003F6F1A">
      <w:pPr>
        <w:spacing w:after="0"/>
        <w:jc w:val="both"/>
        <w:rPr>
          <w:rFonts w:ascii="Arial" w:hAnsi="Arial" w:cs="Arial"/>
          <w:sz w:val="20"/>
          <w:szCs w:val="20"/>
          <w:u w:val="single"/>
        </w:rPr>
      </w:pPr>
    </w:p>
    <w:p w14:paraId="4F2BE6C7" w14:textId="77777777" w:rsidR="00A86E9F" w:rsidRDefault="00A86E9F" w:rsidP="003F6F1A">
      <w:pPr>
        <w:spacing w:after="0"/>
        <w:jc w:val="both"/>
        <w:rPr>
          <w:rFonts w:ascii="Arial" w:hAnsi="Arial" w:cs="Arial"/>
          <w:sz w:val="20"/>
          <w:szCs w:val="20"/>
          <w:u w:val="single"/>
        </w:rPr>
      </w:pPr>
    </w:p>
    <w:p w14:paraId="624140CD" w14:textId="77777777" w:rsidR="00A86E9F" w:rsidRDefault="00A86E9F" w:rsidP="003F6F1A">
      <w:pPr>
        <w:spacing w:after="0"/>
        <w:jc w:val="both"/>
        <w:rPr>
          <w:rFonts w:ascii="Arial" w:hAnsi="Arial" w:cs="Arial"/>
          <w:sz w:val="20"/>
          <w:szCs w:val="20"/>
          <w:u w:val="single"/>
        </w:rPr>
      </w:pPr>
    </w:p>
    <w:p w14:paraId="7C5FD083" w14:textId="77777777" w:rsidR="00AB647D" w:rsidRDefault="00AB647D" w:rsidP="003F6F1A">
      <w:pPr>
        <w:spacing w:after="0"/>
        <w:jc w:val="both"/>
        <w:rPr>
          <w:rFonts w:ascii="Arial" w:hAnsi="Arial" w:cs="Arial"/>
          <w:sz w:val="20"/>
          <w:szCs w:val="20"/>
          <w:u w:val="single"/>
        </w:rPr>
      </w:pPr>
    </w:p>
    <w:p w14:paraId="67A5EBF0" w14:textId="08AD4EC2" w:rsidR="00B150DF" w:rsidRPr="00A86E9F" w:rsidRDefault="00B150DF" w:rsidP="003F6F1A">
      <w:pPr>
        <w:spacing w:after="0"/>
        <w:jc w:val="both"/>
        <w:rPr>
          <w:rFonts w:ascii="Arial" w:hAnsi="Arial" w:cs="Arial"/>
          <w:sz w:val="20"/>
          <w:szCs w:val="20"/>
          <w:u w:val="single"/>
        </w:rPr>
      </w:pPr>
      <w:r w:rsidRPr="00A86E9F">
        <w:rPr>
          <w:rFonts w:ascii="Arial" w:hAnsi="Arial" w:cs="Arial"/>
          <w:sz w:val="20"/>
          <w:szCs w:val="20"/>
          <w:u w:val="single"/>
        </w:rPr>
        <w:t>Operating expenses</w:t>
      </w:r>
    </w:p>
    <w:p w14:paraId="63593C03" w14:textId="77777777" w:rsidR="00B150DF" w:rsidRPr="00A86E9F" w:rsidRDefault="00B150DF" w:rsidP="003F6F1A">
      <w:pPr>
        <w:spacing w:after="0"/>
        <w:rPr>
          <w:rFonts w:ascii="Arial" w:hAnsi="Arial" w:cs="Arial"/>
          <w:sz w:val="20"/>
          <w:szCs w:val="20"/>
        </w:rPr>
      </w:pPr>
    </w:p>
    <w:p w14:paraId="71603985" w14:textId="77777777" w:rsidR="004E17E1" w:rsidRDefault="00BD1255" w:rsidP="003F6F1A">
      <w:pPr>
        <w:spacing w:after="0"/>
        <w:jc w:val="both"/>
        <w:rPr>
          <w:rFonts w:ascii="Arial" w:hAnsi="Arial" w:cs="Arial"/>
          <w:sz w:val="20"/>
          <w:szCs w:val="20"/>
        </w:rPr>
      </w:pPr>
      <w:r>
        <w:rPr>
          <w:rFonts w:ascii="Arial" w:hAnsi="Arial" w:cs="Arial"/>
          <w:sz w:val="20"/>
          <w:szCs w:val="20"/>
        </w:rPr>
        <w:t>Despite the addition of Sun Valley effective May 1, 2019, o</w:t>
      </w:r>
      <w:r w:rsidR="00B150DF" w:rsidRPr="00A86E9F">
        <w:rPr>
          <w:rFonts w:ascii="Arial" w:hAnsi="Arial" w:cs="Arial"/>
          <w:sz w:val="20"/>
          <w:szCs w:val="20"/>
        </w:rPr>
        <w:t>perating expenses were $</w:t>
      </w:r>
      <w:r w:rsidR="00A86E9F" w:rsidRPr="00A86E9F">
        <w:rPr>
          <w:rFonts w:ascii="Arial" w:hAnsi="Arial" w:cs="Arial"/>
          <w:sz w:val="20"/>
          <w:szCs w:val="20"/>
        </w:rPr>
        <w:t>1,</w:t>
      </w:r>
      <w:r>
        <w:rPr>
          <w:rFonts w:ascii="Arial" w:hAnsi="Arial" w:cs="Arial"/>
          <w:sz w:val="20"/>
          <w:szCs w:val="20"/>
        </w:rPr>
        <w:t>30</w:t>
      </w:r>
      <w:r w:rsidR="00D3689F">
        <w:rPr>
          <w:rFonts w:ascii="Arial" w:hAnsi="Arial" w:cs="Arial"/>
          <w:sz w:val="20"/>
          <w:szCs w:val="20"/>
        </w:rPr>
        <w:t>0</w:t>
      </w:r>
      <w:r w:rsidR="00B150DF" w:rsidRPr="00A86E9F">
        <w:rPr>
          <w:rFonts w:ascii="Arial" w:hAnsi="Arial" w:cs="Arial"/>
          <w:sz w:val="20"/>
          <w:szCs w:val="20"/>
        </w:rPr>
        <w:t>,</w:t>
      </w:r>
      <w:r w:rsidR="00D3689F">
        <w:rPr>
          <w:rFonts w:ascii="Arial" w:hAnsi="Arial" w:cs="Arial"/>
          <w:sz w:val="20"/>
          <w:szCs w:val="20"/>
        </w:rPr>
        <w:t>875</w:t>
      </w:r>
      <w:r w:rsidR="00B150DF" w:rsidRPr="00A86E9F">
        <w:rPr>
          <w:rFonts w:ascii="Arial" w:hAnsi="Arial" w:cs="Arial"/>
          <w:sz w:val="20"/>
          <w:szCs w:val="20"/>
        </w:rPr>
        <w:t xml:space="preserve"> compared to $</w:t>
      </w:r>
      <w:r w:rsidR="00424A47">
        <w:rPr>
          <w:rFonts w:ascii="Arial" w:hAnsi="Arial" w:cs="Arial"/>
          <w:sz w:val="20"/>
          <w:szCs w:val="20"/>
        </w:rPr>
        <w:t>2,431,784</w:t>
      </w:r>
      <w:r w:rsidR="00B150DF" w:rsidRPr="00A86E9F">
        <w:rPr>
          <w:rFonts w:ascii="Arial" w:hAnsi="Arial" w:cs="Arial"/>
          <w:sz w:val="20"/>
          <w:szCs w:val="20"/>
        </w:rPr>
        <w:t xml:space="preserve"> during </w:t>
      </w:r>
      <w:r w:rsidR="00A86E9F" w:rsidRPr="00A86E9F">
        <w:rPr>
          <w:rFonts w:ascii="Arial" w:hAnsi="Arial" w:cs="Arial"/>
          <w:sz w:val="20"/>
          <w:szCs w:val="20"/>
        </w:rPr>
        <w:t>YTD</w:t>
      </w:r>
      <w:r w:rsidR="00B150DF" w:rsidRPr="00A86E9F">
        <w:rPr>
          <w:rFonts w:ascii="Arial" w:hAnsi="Arial" w:cs="Arial"/>
          <w:sz w:val="20"/>
          <w:szCs w:val="20"/>
        </w:rPr>
        <w:t xml:space="preserve"> 2018 </w:t>
      </w:r>
      <w:r w:rsidR="004E17E1">
        <w:rPr>
          <w:rFonts w:ascii="Arial" w:hAnsi="Arial" w:cs="Arial"/>
          <w:sz w:val="20"/>
          <w:szCs w:val="20"/>
        </w:rPr>
        <w:t>due to the following:</w:t>
      </w:r>
    </w:p>
    <w:p w14:paraId="138B9BE1" w14:textId="77777777" w:rsidR="001D7767" w:rsidRDefault="001D7767" w:rsidP="003F6F1A">
      <w:pPr>
        <w:spacing w:after="0"/>
        <w:jc w:val="both"/>
        <w:rPr>
          <w:rFonts w:ascii="Arial" w:hAnsi="Arial" w:cs="Arial"/>
          <w:sz w:val="20"/>
          <w:szCs w:val="20"/>
        </w:rPr>
      </w:pPr>
    </w:p>
    <w:p w14:paraId="6DE7C440" w14:textId="77777777" w:rsidR="00BD1255" w:rsidRDefault="00BD1255" w:rsidP="003F6F1A">
      <w:pPr>
        <w:pStyle w:val="ColorfulList-Accent11"/>
        <w:numPr>
          <w:ilvl w:val="0"/>
          <w:numId w:val="38"/>
        </w:numPr>
        <w:spacing w:line="259" w:lineRule="auto"/>
        <w:jc w:val="both"/>
        <w:rPr>
          <w:rFonts w:ascii="Arial" w:hAnsi="Arial" w:cs="Arial"/>
          <w:sz w:val="20"/>
          <w:szCs w:val="20"/>
        </w:rPr>
      </w:pPr>
      <w:r>
        <w:rPr>
          <w:rFonts w:ascii="Arial" w:hAnsi="Arial" w:cs="Arial"/>
          <w:sz w:val="20"/>
          <w:szCs w:val="20"/>
        </w:rPr>
        <w:t xml:space="preserve">Lower operating costs owing </w:t>
      </w:r>
      <w:r w:rsidRPr="009F6DF3">
        <w:rPr>
          <w:rFonts w:ascii="Arial" w:hAnsi="Arial" w:cs="Arial"/>
          <w:sz w:val="20"/>
          <w:szCs w:val="20"/>
        </w:rPr>
        <w:t xml:space="preserve">to </w:t>
      </w:r>
      <w:r w:rsidRPr="00DA4360">
        <w:rPr>
          <w:rFonts w:ascii="Arial" w:eastAsia="Calibri" w:hAnsi="Arial" w:cs="Arial"/>
          <w:sz w:val="20"/>
          <w:szCs w:val="20"/>
        </w:rPr>
        <w:t>aggressive headcount cuts</w:t>
      </w:r>
      <w:r>
        <w:rPr>
          <w:rFonts w:ascii="Arial" w:hAnsi="Arial" w:cs="Arial"/>
          <w:sz w:val="20"/>
          <w:szCs w:val="20"/>
        </w:rPr>
        <w:t xml:space="preserve"> and</w:t>
      </w:r>
      <w:r w:rsidRPr="00DA4360">
        <w:rPr>
          <w:rFonts w:ascii="Arial" w:eastAsia="Calibri" w:hAnsi="Arial" w:cs="Arial"/>
          <w:sz w:val="20"/>
          <w:szCs w:val="20"/>
        </w:rPr>
        <w:t xml:space="preserve"> facility changes</w:t>
      </w:r>
      <w:r w:rsidRPr="009F6DF3">
        <w:rPr>
          <w:rFonts w:ascii="Arial" w:hAnsi="Arial" w:cs="Arial"/>
          <w:sz w:val="20"/>
          <w:szCs w:val="20"/>
        </w:rPr>
        <w:t>.</w:t>
      </w:r>
    </w:p>
    <w:p w14:paraId="6F60D052" w14:textId="77777777" w:rsidR="004E17E1" w:rsidRDefault="004E17E1" w:rsidP="003F6F1A">
      <w:pPr>
        <w:pStyle w:val="ColorfulList-Accent11"/>
        <w:numPr>
          <w:ilvl w:val="0"/>
          <w:numId w:val="38"/>
        </w:numPr>
        <w:spacing w:line="259" w:lineRule="auto"/>
        <w:jc w:val="both"/>
        <w:rPr>
          <w:rFonts w:ascii="Arial" w:hAnsi="Arial" w:cs="Arial"/>
          <w:sz w:val="20"/>
          <w:szCs w:val="20"/>
        </w:rPr>
      </w:pPr>
      <w:r>
        <w:rPr>
          <w:rFonts w:ascii="Arial" w:hAnsi="Arial" w:cs="Arial"/>
          <w:sz w:val="20"/>
          <w:szCs w:val="20"/>
        </w:rPr>
        <w:t>C</w:t>
      </w:r>
      <w:r w:rsidRPr="004E17E1">
        <w:rPr>
          <w:rFonts w:ascii="Arial" w:hAnsi="Arial" w:cs="Arial"/>
          <w:sz w:val="20"/>
          <w:szCs w:val="20"/>
        </w:rPr>
        <w:t>ompensation expense of $</w:t>
      </w:r>
      <w:r>
        <w:rPr>
          <w:rFonts w:ascii="Arial" w:hAnsi="Arial" w:cs="Arial"/>
          <w:sz w:val="20"/>
          <w:szCs w:val="20"/>
        </w:rPr>
        <w:t>208,846</w:t>
      </w:r>
      <w:r w:rsidRPr="004E17E1">
        <w:rPr>
          <w:rFonts w:ascii="Arial" w:hAnsi="Arial" w:cs="Arial"/>
          <w:sz w:val="20"/>
          <w:szCs w:val="20"/>
        </w:rPr>
        <w:t xml:space="preserve"> in non-cash </w:t>
      </w:r>
      <w:r w:rsidR="00AB647D" w:rsidRPr="004E17E1">
        <w:rPr>
          <w:rFonts w:ascii="Arial" w:hAnsi="Arial" w:cs="Arial"/>
          <w:sz w:val="20"/>
          <w:szCs w:val="20"/>
        </w:rPr>
        <w:t>share-based</w:t>
      </w:r>
      <w:r w:rsidRPr="004E17E1">
        <w:rPr>
          <w:rFonts w:ascii="Arial" w:hAnsi="Arial" w:cs="Arial"/>
          <w:sz w:val="20"/>
          <w:szCs w:val="20"/>
        </w:rPr>
        <w:t xml:space="preserve"> payments to the CEO as compared to compensation expense of $477,180 in non-cash </w:t>
      </w:r>
      <w:r w:rsidR="00AB647D" w:rsidRPr="004E17E1">
        <w:rPr>
          <w:rFonts w:ascii="Arial" w:hAnsi="Arial" w:cs="Arial"/>
          <w:sz w:val="20"/>
          <w:szCs w:val="20"/>
        </w:rPr>
        <w:t>share-based</w:t>
      </w:r>
      <w:r w:rsidRPr="004E17E1">
        <w:rPr>
          <w:rFonts w:ascii="Arial" w:hAnsi="Arial" w:cs="Arial"/>
          <w:sz w:val="20"/>
          <w:szCs w:val="20"/>
        </w:rPr>
        <w:t xml:space="preserve"> payments to the former CEO during Q2 2018</w:t>
      </w:r>
      <w:r>
        <w:rPr>
          <w:rFonts w:ascii="Arial" w:hAnsi="Arial" w:cs="Arial"/>
          <w:sz w:val="20"/>
          <w:szCs w:val="20"/>
        </w:rPr>
        <w:t>.</w:t>
      </w:r>
    </w:p>
    <w:p w14:paraId="7024CA67" w14:textId="77777777" w:rsidR="004E17E1" w:rsidRDefault="004E17E1" w:rsidP="003F6F1A">
      <w:pPr>
        <w:pStyle w:val="ColorfulList-Accent11"/>
        <w:numPr>
          <w:ilvl w:val="0"/>
          <w:numId w:val="38"/>
        </w:numPr>
        <w:spacing w:line="259" w:lineRule="auto"/>
        <w:jc w:val="both"/>
        <w:rPr>
          <w:rFonts w:ascii="Arial" w:hAnsi="Arial" w:cs="Arial"/>
          <w:sz w:val="20"/>
          <w:szCs w:val="20"/>
        </w:rPr>
      </w:pPr>
      <w:r>
        <w:rPr>
          <w:rFonts w:ascii="Arial" w:hAnsi="Arial" w:cs="Arial"/>
          <w:sz w:val="20"/>
          <w:szCs w:val="20"/>
        </w:rPr>
        <w:t>Lower rent expense due to the adoption of IFRS 16 which resulted in a reclassification of rent expense from operating expenses to depreciation expense and interest expense.</w:t>
      </w:r>
    </w:p>
    <w:p w14:paraId="4E75D1EB" w14:textId="77777777" w:rsidR="00B150DF" w:rsidRPr="00A86E9F" w:rsidRDefault="00B150DF" w:rsidP="003F6F1A">
      <w:pPr>
        <w:spacing w:after="0"/>
        <w:jc w:val="both"/>
        <w:rPr>
          <w:rFonts w:ascii="Arial" w:hAnsi="Arial" w:cs="Arial"/>
          <w:sz w:val="20"/>
          <w:szCs w:val="20"/>
        </w:rPr>
      </w:pPr>
    </w:p>
    <w:p w14:paraId="190311FE" w14:textId="77777777" w:rsidR="00B150DF" w:rsidRPr="00A86E9F" w:rsidRDefault="00B150DF" w:rsidP="003F6F1A">
      <w:pPr>
        <w:spacing w:after="0"/>
        <w:jc w:val="both"/>
        <w:rPr>
          <w:rFonts w:ascii="Arial" w:hAnsi="Arial" w:cs="Arial"/>
          <w:sz w:val="20"/>
          <w:szCs w:val="20"/>
          <w:u w:val="single"/>
        </w:rPr>
      </w:pPr>
      <w:r w:rsidRPr="00A86E9F">
        <w:rPr>
          <w:rFonts w:ascii="Arial" w:hAnsi="Arial" w:cs="Arial"/>
          <w:sz w:val="20"/>
          <w:szCs w:val="20"/>
          <w:u w:val="single"/>
        </w:rPr>
        <w:t xml:space="preserve">Legal and professional fees </w:t>
      </w:r>
    </w:p>
    <w:p w14:paraId="25D60D26" w14:textId="77777777" w:rsidR="00B150DF" w:rsidRPr="00A86E9F" w:rsidRDefault="00B150DF" w:rsidP="003F6F1A">
      <w:pPr>
        <w:spacing w:after="0"/>
        <w:jc w:val="both"/>
        <w:rPr>
          <w:rFonts w:ascii="Arial" w:hAnsi="Arial" w:cs="Arial"/>
          <w:sz w:val="20"/>
          <w:szCs w:val="20"/>
        </w:rPr>
      </w:pPr>
    </w:p>
    <w:p w14:paraId="1FC33669" w14:textId="5EDD4CA8" w:rsidR="00B150DF" w:rsidRPr="00A86E9F" w:rsidRDefault="00B150DF" w:rsidP="003F6F1A">
      <w:pPr>
        <w:jc w:val="both"/>
        <w:rPr>
          <w:rFonts w:ascii="Arial" w:hAnsi="Arial" w:cs="Arial"/>
          <w:sz w:val="20"/>
          <w:szCs w:val="20"/>
        </w:rPr>
      </w:pPr>
      <w:r w:rsidRPr="00A86E9F">
        <w:rPr>
          <w:rFonts w:ascii="Arial" w:hAnsi="Arial" w:cs="Arial"/>
          <w:sz w:val="20"/>
          <w:szCs w:val="20"/>
        </w:rPr>
        <w:t>Legal and professional fees were $</w:t>
      </w:r>
      <w:r w:rsidR="00A86E9F" w:rsidRPr="00A86E9F">
        <w:rPr>
          <w:rFonts w:ascii="Arial" w:hAnsi="Arial" w:cs="Arial"/>
          <w:sz w:val="20"/>
          <w:szCs w:val="20"/>
        </w:rPr>
        <w:t>433,679</w:t>
      </w:r>
      <w:r w:rsidRPr="00A86E9F">
        <w:rPr>
          <w:rFonts w:ascii="Arial" w:hAnsi="Arial" w:cs="Arial"/>
          <w:sz w:val="20"/>
          <w:szCs w:val="20"/>
        </w:rPr>
        <w:t>, compared to $</w:t>
      </w:r>
      <w:r w:rsidR="00A86E9F" w:rsidRPr="00A86E9F">
        <w:rPr>
          <w:rFonts w:ascii="Arial" w:hAnsi="Arial" w:cs="Arial"/>
          <w:sz w:val="20"/>
          <w:szCs w:val="20"/>
        </w:rPr>
        <w:t>354,881</w:t>
      </w:r>
      <w:r w:rsidRPr="00A86E9F">
        <w:rPr>
          <w:rFonts w:ascii="Arial" w:hAnsi="Arial" w:cs="Arial"/>
          <w:sz w:val="20"/>
          <w:szCs w:val="20"/>
        </w:rPr>
        <w:t xml:space="preserve"> during </w:t>
      </w:r>
      <w:r w:rsidR="00A86E9F" w:rsidRPr="00A86E9F">
        <w:rPr>
          <w:rFonts w:ascii="Arial" w:hAnsi="Arial" w:cs="Arial"/>
          <w:sz w:val="20"/>
          <w:szCs w:val="20"/>
        </w:rPr>
        <w:t>YTD</w:t>
      </w:r>
      <w:r w:rsidRPr="00A86E9F">
        <w:rPr>
          <w:rFonts w:ascii="Arial" w:hAnsi="Arial" w:cs="Arial"/>
          <w:sz w:val="20"/>
          <w:szCs w:val="20"/>
        </w:rPr>
        <w:t xml:space="preserve"> 2018. The Company expects professional service fees to </w:t>
      </w:r>
      <w:r w:rsidR="00700B1D">
        <w:rPr>
          <w:rFonts w:ascii="Arial" w:hAnsi="Arial" w:cs="Arial"/>
          <w:sz w:val="20"/>
          <w:szCs w:val="20"/>
        </w:rPr>
        <w:t>continue to be incurred as growth events are completed such as the Sun Valley Clinics acquisition and the required Business Acquisition Report (BAR) that was filed, the Company also completed the Sun Valley Health franchise audit, an annual requirement of franchising.</w:t>
      </w:r>
      <w:r w:rsidRPr="00A86E9F">
        <w:rPr>
          <w:rFonts w:ascii="Arial" w:hAnsi="Arial" w:cs="Arial"/>
          <w:sz w:val="20"/>
          <w:szCs w:val="20"/>
        </w:rPr>
        <w:t xml:space="preserve"> </w:t>
      </w:r>
    </w:p>
    <w:p w14:paraId="1F0B1830" w14:textId="77777777" w:rsidR="00B150DF" w:rsidRPr="00A86E9F" w:rsidRDefault="00B150DF" w:rsidP="003F6F1A">
      <w:pPr>
        <w:spacing w:after="0"/>
        <w:jc w:val="both"/>
        <w:rPr>
          <w:rFonts w:ascii="Arial" w:hAnsi="Arial" w:cs="Arial"/>
          <w:sz w:val="20"/>
          <w:szCs w:val="20"/>
          <w:u w:val="single"/>
        </w:rPr>
      </w:pPr>
      <w:r w:rsidRPr="00A86E9F">
        <w:rPr>
          <w:rFonts w:ascii="Arial" w:hAnsi="Arial" w:cs="Arial"/>
          <w:sz w:val="20"/>
          <w:szCs w:val="20"/>
          <w:u w:val="single"/>
        </w:rPr>
        <w:t>Depreciation expense</w:t>
      </w:r>
    </w:p>
    <w:p w14:paraId="07ABAC34" w14:textId="77777777" w:rsidR="00B150DF" w:rsidRPr="00A86E9F" w:rsidRDefault="00B150DF" w:rsidP="003F6F1A">
      <w:pPr>
        <w:spacing w:after="0"/>
        <w:jc w:val="both"/>
        <w:rPr>
          <w:rFonts w:ascii="Arial" w:hAnsi="Arial" w:cs="Arial"/>
          <w:sz w:val="20"/>
          <w:szCs w:val="20"/>
        </w:rPr>
      </w:pPr>
    </w:p>
    <w:p w14:paraId="5FF9F44C" w14:textId="77777777" w:rsidR="00B150DF" w:rsidRPr="00A86E9F" w:rsidRDefault="00B150DF" w:rsidP="003F6F1A">
      <w:pPr>
        <w:spacing w:after="0"/>
        <w:jc w:val="both"/>
        <w:rPr>
          <w:rFonts w:ascii="Arial" w:hAnsi="Arial" w:cs="Arial"/>
          <w:sz w:val="20"/>
          <w:szCs w:val="20"/>
        </w:rPr>
      </w:pPr>
      <w:r w:rsidRPr="00A86E9F">
        <w:rPr>
          <w:rFonts w:ascii="Arial" w:hAnsi="Arial" w:cs="Arial"/>
          <w:sz w:val="20"/>
          <w:szCs w:val="20"/>
        </w:rPr>
        <w:t>Depreciation and amortization expense was $</w:t>
      </w:r>
      <w:r w:rsidR="00BD1255">
        <w:rPr>
          <w:rFonts w:ascii="Arial" w:hAnsi="Arial" w:cs="Arial"/>
          <w:sz w:val="20"/>
          <w:szCs w:val="20"/>
        </w:rPr>
        <w:t>118</w:t>
      </w:r>
      <w:r w:rsidR="00D3689F">
        <w:rPr>
          <w:rFonts w:ascii="Arial" w:hAnsi="Arial" w:cs="Arial"/>
          <w:sz w:val="20"/>
          <w:szCs w:val="20"/>
        </w:rPr>
        <w:t>,411</w:t>
      </w:r>
      <w:r w:rsidRPr="00A86E9F">
        <w:rPr>
          <w:rFonts w:ascii="Arial" w:hAnsi="Arial" w:cs="Arial"/>
          <w:sz w:val="20"/>
          <w:szCs w:val="20"/>
        </w:rPr>
        <w:t>, compared to $</w:t>
      </w:r>
      <w:r w:rsidR="00A86E9F" w:rsidRPr="00A86E9F">
        <w:rPr>
          <w:rFonts w:ascii="Arial" w:hAnsi="Arial" w:cs="Arial"/>
          <w:sz w:val="20"/>
          <w:szCs w:val="20"/>
        </w:rPr>
        <w:t>34,535</w:t>
      </w:r>
      <w:r w:rsidRPr="00A86E9F">
        <w:rPr>
          <w:rFonts w:ascii="Arial" w:hAnsi="Arial" w:cs="Arial"/>
          <w:sz w:val="20"/>
          <w:szCs w:val="20"/>
        </w:rPr>
        <w:t xml:space="preserve"> during </w:t>
      </w:r>
      <w:r w:rsidR="00A86E9F" w:rsidRPr="00A86E9F">
        <w:rPr>
          <w:rFonts w:ascii="Arial" w:hAnsi="Arial" w:cs="Arial"/>
          <w:sz w:val="20"/>
          <w:szCs w:val="20"/>
        </w:rPr>
        <w:t>YTD</w:t>
      </w:r>
      <w:r w:rsidRPr="00A86E9F">
        <w:rPr>
          <w:rFonts w:ascii="Arial" w:hAnsi="Arial" w:cs="Arial"/>
          <w:sz w:val="20"/>
          <w:szCs w:val="20"/>
        </w:rPr>
        <w:t xml:space="preserve"> 2018. The increase relates primarily to the depreciation on the right-of-use asset resulting from the adoption of IFRS 16</w:t>
      </w:r>
      <w:r w:rsidR="00AB647D">
        <w:rPr>
          <w:rFonts w:ascii="Arial" w:hAnsi="Arial" w:cs="Arial"/>
          <w:sz w:val="20"/>
          <w:szCs w:val="20"/>
        </w:rPr>
        <w:t xml:space="preserve"> effective January 1, 2019</w:t>
      </w:r>
      <w:r w:rsidRPr="00A86E9F">
        <w:rPr>
          <w:rFonts w:ascii="Arial" w:hAnsi="Arial" w:cs="Arial"/>
          <w:sz w:val="20"/>
          <w:szCs w:val="20"/>
        </w:rPr>
        <w:t>.</w:t>
      </w:r>
    </w:p>
    <w:p w14:paraId="131DE44C" w14:textId="77777777" w:rsidR="00B150DF" w:rsidRPr="00A86E9F" w:rsidRDefault="00B150DF" w:rsidP="003F6F1A">
      <w:pPr>
        <w:spacing w:after="0"/>
        <w:rPr>
          <w:rFonts w:ascii="Arial" w:hAnsi="Arial" w:cs="Arial"/>
          <w:sz w:val="20"/>
          <w:szCs w:val="20"/>
        </w:rPr>
      </w:pPr>
    </w:p>
    <w:p w14:paraId="7CCC0588" w14:textId="77777777" w:rsidR="00B150DF" w:rsidRPr="00A86E9F" w:rsidRDefault="00B150DF" w:rsidP="003F6F1A">
      <w:pPr>
        <w:spacing w:after="0"/>
        <w:jc w:val="both"/>
        <w:rPr>
          <w:rFonts w:ascii="Arial" w:hAnsi="Arial" w:cs="Arial"/>
          <w:sz w:val="20"/>
          <w:szCs w:val="20"/>
          <w:u w:val="single"/>
        </w:rPr>
      </w:pPr>
      <w:r w:rsidRPr="00A86E9F">
        <w:rPr>
          <w:rFonts w:ascii="Arial" w:hAnsi="Arial" w:cs="Arial"/>
          <w:sz w:val="20"/>
          <w:szCs w:val="20"/>
          <w:u w:val="single"/>
        </w:rPr>
        <w:t>Share-based payments</w:t>
      </w:r>
    </w:p>
    <w:p w14:paraId="39FD2F03" w14:textId="77777777" w:rsidR="00B150DF" w:rsidRPr="00A86E9F" w:rsidRDefault="00B150DF" w:rsidP="003F6F1A">
      <w:pPr>
        <w:spacing w:after="0"/>
        <w:jc w:val="both"/>
        <w:rPr>
          <w:rFonts w:ascii="Arial" w:hAnsi="Arial" w:cs="Arial"/>
          <w:sz w:val="20"/>
          <w:szCs w:val="20"/>
        </w:rPr>
      </w:pPr>
    </w:p>
    <w:p w14:paraId="410162A0" w14:textId="77777777" w:rsidR="00B150DF" w:rsidRPr="00A86E9F" w:rsidRDefault="00B150DF" w:rsidP="003F6F1A">
      <w:pPr>
        <w:spacing w:after="0"/>
        <w:jc w:val="both"/>
        <w:rPr>
          <w:rFonts w:ascii="Arial" w:hAnsi="Arial" w:cs="Arial"/>
          <w:sz w:val="20"/>
          <w:szCs w:val="20"/>
        </w:rPr>
      </w:pPr>
      <w:r w:rsidRPr="00A86E9F">
        <w:rPr>
          <w:rFonts w:ascii="Arial" w:hAnsi="Arial" w:cs="Arial"/>
          <w:sz w:val="20"/>
          <w:szCs w:val="20"/>
        </w:rPr>
        <w:t>Share-based payments expense was $</w:t>
      </w:r>
      <w:r w:rsidR="00A86E9F" w:rsidRPr="00A86E9F">
        <w:rPr>
          <w:rFonts w:ascii="Arial" w:hAnsi="Arial" w:cs="Arial"/>
          <w:sz w:val="20"/>
          <w:szCs w:val="20"/>
        </w:rPr>
        <w:t>472,120</w:t>
      </w:r>
      <w:r w:rsidRPr="00A86E9F">
        <w:rPr>
          <w:rFonts w:ascii="Arial" w:hAnsi="Arial" w:cs="Arial"/>
          <w:sz w:val="20"/>
          <w:szCs w:val="20"/>
        </w:rPr>
        <w:t>, compared to $</w:t>
      </w:r>
      <w:r w:rsidR="00424A47">
        <w:rPr>
          <w:rFonts w:ascii="Arial" w:hAnsi="Arial" w:cs="Arial"/>
          <w:sz w:val="20"/>
          <w:szCs w:val="20"/>
        </w:rPr>
        <w:t>892,417</w:t>
      </w:r>
      <w:r w:rsidRPr="00A86E9F">
        <w:rPr>
          <w:rFonts w:ascii="Arial" w:hAnsi="Arial" w:cs="Arial"/>
          <w:sz w:val="20"/>
          <w:szCs w:val="20"/>
        </w:rPr>
        <w:t xml:space="preserve"> during </w:t>
      </w:r>
      <w:r w:rsidR="00A86E9F" w:rsidRPr="00A86E9F">
        <w:rPr>
          <w:rFonts w:ascii="Arial" w:hAnsi="Arial" w:cs="Arial"/>
          <w:sz w:val="20"/>
          <w:szCs w:val="20"/>
        </w:rPr>
        <w:t>YTD</w:t>
      </w:r>
      <w:r w:rsidRPr="00A86E9F">
        <w:rPr>
          <w:rFonts w:ascii="Arial" w:hAnsi="Arial" w:cs="Arial"/>
          <w:sz w:val="20"/>
          <w:szCs w:val="20"/>
        </w:rPr>
        <w:t xml:space="preserve"> 2018. The share-based payments expense is the fair value of share options recognized as an expense during the </w:t>
      </w:r>
      <w:r w:rsidR="00A86E9F" w:rsidRPr="00A86E9F">
        <w:rPr>
          <w:rFonts w:ascii="Arial" w:hAnsi="Arial" w:cs="Arial"/>
          <w:sz w:val="20"/>
          <w:szCs w:val="20"/>
        </w:rPr>
        <w:t>year</w:t>
      </w:r>
      <w:r w:rsidRPr="00A86E9F">
        <w:rPr>
          <w:rFonts w:ascii="Arial" w:hAnsi="Arial" w:cs="Arial"/>
          <w:sz w:val="20"/>
          <w:szCs w:val="20"/>
        </w:rPr>
        <w:t xml:space="preserve"> based on the fair valued determined by the Black Scholes option pricing model valuation.</w:t>
      </w:r>
    </w:p>
    <w:p w14:paraId="6D317A7A" w14:textId="77777777" w:rsidR="00B150DF" w:rsidRPr="00A86E9F" w:rsidRDefault="00B150DF" w:rsidP="003F6F1A">
      <w:pPr>
        <w:spacing w:after="0"/>
        <w:jc w:val="both"/>
        <w:rPr>
          <w:rFonts w:ascii="Arial" w:hAnsi="Arial" w:cs="Arial"/>
          <w:sz w:val="20"/>
          <w:szCs w:val="20"/>
        </w:rPr>
      </w:pPr>
    </w:p>
    <w:p w14:paraId="1E3478CF" w14:textId="6B101106" w:rsidR="00B150DF" w:rsidRPr="00A86E9F" w:rsidRDefault="00B150DF" w:rsidP="003F6F1A">
      <w:pPr>
        <w:spacing w:after="0"/>
        <w:jc w:val="both"/>
        <w:rPr>
          <w:rFonts w:ascii="Arial" w:hAnsi="Arial" w:cs="Arial"/>
          <w:sz w:val="20"/>
          <w:szCs w:val="20"/>
          <w:u w:val="single"/>
        </w:rPr>
      </w:pPr>
      <w:r w:rsidRPr="00A86E9F">
        <w:rPr>
          <w:rFonts w:ascii="Arial" w:hAnsi="Arial" w:cs="Arial"/>
          <w:sz w:val="20"/>
          <w:szCs w:val="20"/>
          <w:u w:val="single"/>
        </w:rPr>
        <w:t xml:space="preserve">Listing </w:t>
      </w:r>
      <w:r w:rsidR="00513D8E">
        <w:rPr>
          <w:rFonts w:ascii="Arial" w:hAnsi="Arial" w:cs="Arial"/>
          <w:sz w:val="20"/>
          <w:szCs w:val="20"/>
          <w:u w:val="single"/>
        </w:rPr>
        <w:t>f</w:t>
      </w:r>
      <w:r w:rsidRPr="00A86E9F">
        <w:rPr>
          <w:rFonts w:ascii="Arial" w:hAnsi="Arial" w:cs="Arial"/>
          <w:sz w:val="20"/>
          <w:szCs w:val="20"/>
          <w:u w:val="single"/>
        </w:rPr>
        <w:t>ee</w:t>
      </w:r>
    </w:p>
    <w:p w14:paraId="5E0B529F" w14:textId="77777777" w:rsidR="00A86E9F" w:rsidRPr="00A86E9F" w:rsidRDefault="00A86E9F" w:rsidP="003F6F1A">
      <w:pPr>
        <w:spacing w:after="0"/>
        <w:jc w:val="both"/>
        <w:rPr>
          <w:rFonts w:ascii="Arial" w:hAnsi="Arial" w:cs="Arial"/>
          <w:sz w:val="20"/>
          <w:szCs w:val="20"/>
          <w:u w:val="single"/>
        </w:rPr>
      </w:pPr>
    </w:p>
    <w:p w14:paraId="736D8B27" w14:textId="77777777" w:rsidR="00B150DF" w:rsidRPr="00A86E9F" w:rsidRDefault="00B150DF" w:rsidP="003F6F1A">
      <w:pPr>
        <w:spacing w:after="0"/>
        <w:jc w:val="both"/>
        <w:rPr>
          <w:rFonts w:ascii="Arial" w:hAnsi="Arial" w:cs="Arial"/>
          <w:sz w:val="20"/>
          <w:szCs w:val="20"/>
        </w:rPr>
      </w:pPr>
      <w:r w:rsidRPr="00A86E9F">
        <w:rPr>
          <w:rFonts w:ascii="Arial" w:hAnsi="Arial" w:cs="Arial"/>
          <w:sz w:val="20"/>
          <w:szCs w:val="20"/>
        </w:rPr>
        <w:t xml:space="preserve">Listing fee expense was $nil, compared to $1,143,660 during </w:t>
      </w:r>
      <w:r w:rsidR="00AB647D">
        <w:rPr>
          <w:rFonts w:ascii="Arial" w:hAnsi="Arial" w:cs="Arial"/>
          <w:sz w:val="20"/>
          <w:szCs w:val="20"/>
        </w:rPr>
        <w:t>YTD</w:t>
      </w:r>
      <w:r w:rsidRPr="00A86E9F">
        <w:rPr>
          <w:rFonts w:ascii="Arial" w:hAnsi="Arial" w:cs="Arial"/>
          <w:sz w:val="20"/>
          <w:szCs w:val="20"/>
        </w:rPr>
        <w:t xml:space="preserve"> 2018, in connection with the Company’s acquisition with </w:t>
      </w:r>
      <w:proofErr w:type="spellStart"/>
      <w:r w:rsidRPr="00A86E9F">
        <w:rPr>
          <w:rFonts w:ascii="Arial" w:hAnsi="Arial" w:cs="Arial"/>
          <w:sz w:val="20"/>
          <w:szCs w:val="20"/>
        </w:rPr>
        <w:t>Adira</w:t>
      </w:r>
      <w:proofErr w:type="spellEnd"/>
      <w:r w:rsidRPr="00A86E9F">
        <w:rPr>
          <w:rFonts w:ascii="Arial" w:hAnsi="Arial" w:cs="Arial"/>
          <w:sz w:val="20"/>
          <w:szCs w:val="20"/>
        </w:rPr>
        <w:t xml:space="preserve"> Energy Ltd., which did not result in any charges during </w:t>
      </w:r>
      <w:r w:rsidR="00AB647D">
        <w:rPr>
          <w:rFonts w:ascii="Arial" w:hAnsi="Arial" w:cs="Arial"/>
          <w:sz w:val="20"/>
          <w:szCs w:val="20"/>
        </w:rPr>
        <w:t>YTD 2019</w:t>
      </w:r>
      <w:r w:rsidRPr="00A86E9F">
        <w:rPr>
          <w:rFonts w:ascii="Arial" w:hAnsi="Arial" w:cs="Arial"/>
          <w:sz w:val="20"/>
          <w:szCs w:val="20"/>
        </w:rPr>
        <w:t>.</w:t>
      </w:r>
    </w:p>
    <w:p w14:paraId="4C805EDD" w14:textId="77777777" w:rsidR="00B150DF" w:rsidRPr="00A86E9F" w:rsidRDefault="00B150DF" w:rsidP="003F6F1A">
      <w:pPr>
        <w:spacing w:after="0"/>
        <w:jc w:val="both"/>
        <w:rPr>
          <w:rFonts w:ascii="Arial" w:hAnsi="Arial" w:cs="Arial"/>
          <w:sz w:val="20"/>
          <w:szCs w:val="20"/>
        </w:rPr>
      </w:pPr>
    </w:p>
    <w:p w14:paraId="73C41C53" w14:textId="77777777" w:rsidR="00B150DF" w:rsidRPr="00A86E9F" w:rsidRDefault="00B150DF" w:rsidP="003F6F1A">
      <w:pPr>
        <w:spacing w:after="0"/>
        <w:jc w:val="both"/>
        <w:rPr>
          <w:rFonts w:ascii="Arial" w:hAnsi="Arial" w:cs="Arial"/>
          <w:sz w:val="20"/>
          <w:szCs w:val="20"/>
          <w:u w:val="single"/>
        </w:rPr>
      </w:pPr>
      <w:r w:rsidRPr="00A86E9F">
        <w:rPr>
          <w:rFonts w:ascii="Arial" w:hAnsi="Arial" w:cs="Arial"/>
          <w:sz w:val="20"/>
          <w:szCs w:val="20"/>
          <w:u w:val="single"/>
        </w:rPr>
        <w:t>Accretion expense</w:t>
      </w:r>
    </w:p>
    <w:p w14:paraId="457F8667" w14:textId="77777777" w:rsidR="00B150DF" w:rsidRPr="00A86E9F" w:rsidRDefault="00B150DF" w:rsidP="003F6F1A">
      <w:pPr>
        <w:spacing w:after="0"/>
        <w:jc w:val="both"/>
        <w:rPr>
          <w:rFonts w:ascii="Arial" w:hAnsi="Arial" w:cs="Arial"/>
          <w:sz w:val="20"/>
          <w:szCs w:val="20"/>
        </w:rPr>
      </w:pPr>
    </w:p>
    <w:p w14:paraId="4853E6C6" w14:textId="5C0A681E" w:rsidR="00B150DF" w:rsidRPr="00A86E9F" w:rsidRDefault="00B150DF" w:rsidP="003F6F1A">
      <w:pPr>
        <w:spacing w:after="0"/>
        <w:jc w:val="both"/>
        <w:rPr>
          <w:rFonts w:ascii="Arial" w:hAnsi="Arial" w:cs="Arial"/>
          <w:sz w:val="20"/>
          <w:szCs w:val="20"/>
        </w:rPr>
      </w:pPr>
      <w:r w:rsidRPr="00A86E9F">
        <w:rPr>
          <w:rFonts w:ascii="Arial" w:hAnsi="Arial" w:cs="Arial"/>
          <w:sz w:val="20"/>
          <w:szCs w:val="20"/>
        </w:rPr>
        <w:t>Accretion expense was $</w:t>
      </w:r>
      <w:r w:rsidR="00A86E9F" w:rsidRPr="00A86E9F">
        <w:rPr>
          <w:rFonts w:ascii="Arial" w:hAnsi="Arial" w:cs="Arial"/>
          <w:sz w:val="20"/>
          <w:szCs w:val="20"/>
        </w:rPr>
        <w:t>115,599</w:t>
      </w:r>
      <w:r w:rsidR="000A24FE">
        <w:rPr>
          <w:rFonts w:ascii="Arial" w:hAnsi="Arial" w:cs="Arial"/>
          <w:sz w:val="20"/>
          <w:szCs w:val="20"/>
        </w:rPr>
        <w:t>,</w:t>
      </w:r>
      <w:r w:rsidRPr="00A86E9F">
        <w:rPr>
          <w:rFonts w:ascii="Arial" w:hAnsi="Arial" w:cs="Arial"/>
          <w:sz w:val="20"/>
          <w:szCs w:val="20"/>
        </w:rPr>
        <w:t xml:space="preserve"> compared to $</w:t>
      </w:r>
      <w:r w:rsidR="00A86E9F" w:rsidRPr="00A86E9F">
        <w:rPr>
          <w:rFonts w:ascii="Arial" w:hAnsi="Arial" w:cs="Arial"/>
          <w:sz w:val="20"/>
          <w:szCs w:val="20"/>
        </w:rPr>
        <w:t>214,680</w:t>
      </w:r>
      <w:r w:rsidRPr="00A86E9F">
        <w:rPr>
          <w:rFonts w:ascii="Arial" w:hAnsi="Arial" w:cs="Arial"/>
          <w:sz w:val="20"/>
          <w:szCs w:val="20"/>
        </w:rPr>
        <w:t xml:space="preserve"> during </w:t>
      </w:r>
      <w:r w:rsidR="00A86E9F" w:rsidRPr="00A86E9F">
        <w:rPr>
          <w:rFonts w:ascii="Arial" w:hAnsi="Arial" w:cs="Arial"/>
          <w:sz w:val="20"/>
          <w:szCs w:val="20"/>
        </w:rPr>
        <w:t>YTD</w:t>
      </w:r>
      <w:r w:rsidRPr="00A86E9F">
        <w:rPr>
          <w:rFonts w:ascii="Arial" w:hAnsi="Arial" w:cs="Arial"/>
          <w:sz w:val="20"/>
          <w:szCs w:val="20"/>
        </w:rPr>
        <w:t xml:space="preserve"> 2018, in connection with the Company’s convertible </w:t>
      </w:r>
      <w:r w:rsidR="000A24FE">
        <w:rPr>
          <w:rFonts w:ascii="Arial" w:hAnsi="Arial" w:cs="Arial"/>
          <w:sz w:val="20"/>
          <w:szCs w:val="20"/>
        </w:rPr>
        <w:t>debentures</w:t>
      </w:r>
      <w:r w:rsidRPr="00A86E9F">
        <w:rPr>
          <w:rFonts w:ascii="Arial" w:hAnsi="Arial" w:cs="Arial"/>
          <w:sz w:val="20"/>
          <w:szCs w:val="20"/>
        </w:rPr>
        <w:t xml:space="preserve">. The decrease is due to </w:t>
      </w:r>
      <w:r w:rsidR="00A86E9F" w:rsidRPr="00A86E9F">
        <w:rPr>
          <w:rFonts w:ascii="Arial" w:hAnsi="Arial" w:cs="Arial"/>
          <w:sz w:val="20"/>
          <w:szCs w:val="20"/>
        </w:rPr>
        <w:t>conversion</w:t>
      </w:r>
      <w:r w:rsidRPr="00A86E9F">
        <w:rPr>
          <w:rFonts w:ascii="Arial" w:hAnsi="Arial" w:cs="Arial"/>
          <w:sz w:val="20"/>
          <w:szCs w:val="20"/>
        </w:rPr>
        <w:t xml:space="preserve"> of convertible debentures during April </w:t>
      </w:r>
      <w:r w:rsidR="00A86E9F" w:rsidRPr="00A86E9F">
        <w:rPr>
          <w:rFonts w:ascii="Arial" w:hAnsi="Arial" w:cs="Arial"/>
          <w:sz w:val="20"/>
          <w:szCs w:val="20"/>
        </w:rPr>
        <w:t xml:space="preserve">2018 in connection with the Company’s acquisition of </w:t>
      </w:r>
      <w:proofErr w:type="spellStart"/>
      <w:r w:rsidR="00A86E9F" w:rsidRPr="00A86E9F">
        <w:rPr>
          <w:rFonts w:ascii="Arial" w:hAnsi="Arial" w:cs="Arial"/>
          <w:sz w:val="20"/>
          <w:szCs w:val="20"/>
        </w:rPr>
        <w:t>Adira</w:t>
      </w:r>
      <w:proofErr w:type="spellEnd"/>
      <w:r w:rsidR="00A86E9F" w:rsidRPr="00A86E9F">
        <w:rPr>
          <w:rFonts w:ascii="Arial" w:hAnsi="Arial" w:cs="Arial"/>
          <w:sz w:val="20"/>
          <w:szCs w:val="20"/>
        </w:rPr>
        <w:t xml:space="preserve"> Energy Ltd.</w:t>
      </w:r>
      <w:r w:rsidRPr="00A86E9F">
        <w:rPr>
          <w:rFonts w:ascii="Arial" w:hAnsi="Arial" w:cs="Arial"/>
          <w:sz w:val="20"/>
          <w:szCs w:val="20"/>
        </w:rPr>
        <w:t xml:space="preserve">, thereby leading to </w:t>
      </w:r>
      <w:r w:rsidR="00A86E9F" w:rsidRPr="00A86E9F">
        <w:rPr>
          <w:rFonts w:ascii="Arial" w:hAnsi="Arial" w:cs="Arial"/>
          <w:sz w:val="20"/>
          <w:szCs w:val="20"/>
        </w:rPr>
        <w:t>lower</w:t>
      </w:r>
      <w:r w:rsidRPr="00A86E9F">
        <w:rPr>
          <w:rFonts w:ascii="Arial" w:hAnsi="Arial" w:cs="Arial"/>
          <w:sz w:val="20"/>
          <w:szCs w:val="20"/>
        </w:rPr>
        <w:t xml:space="preserve"> accretion in </w:t>
      </w:r>
      <w:r w:rsidR="00A86E9F" w:rsidRPr="00A86E9F">
        <w:rPr>
          <w:rFonts w:ascii="Arial" w:hAnsi="Arial" w:cs="Arial"/>
          <w:sz w:val="20"/>
          <w:szCs w:val="20"/>
        </w:rPr>
        <w:t>YTD</w:t>
      </w:r>
      <w:r w:rsidRPr="00A86E9F">
        <w:rPr>
          <w:rFonts w:ascii="Arial" w:hAnsi="Arial" w:cs="Arial"/>
          <w:sz w:val="20"/>
          <w:szCs w:val="20"/>
        </w:rPr>
        <w:t xml:space="preserve"> 2019.</w:t>
      </w:r>
    </w:p>
    <w:p w14:paraId="55C90D19" w14:textId="77777777" w:rsidR="00B150DF" w:rsidRPr="00A86E9F" w:rsidRDefault="00B150DF" w:rsidP="003F6F1A">
      <w:pPr>
        <w:spacing w:after="0"/>
        <w:jc w:val="both"/>
        <w:rPr>
          <w:rFonts w:ascii="Arial" w:hAnsi="Arial" w:cs="Arial"/>
          <w:sz w:val="20"/>
          <w:szCs w:val="20"/>
        </w:rPr>
      </w:pPr>
    </w:p>
    <w:p w14:paraId="1D0869C0" w14:textId="77777777" w:rsidR="00B150DF" w:rsidRPr="00A86E9F" w:rsidRDefault="00B150DF" w:rsidP="003F6F1A">
      <w:pPr>
        <w:spacing w:after="0"/>
        <w:jc w:val="both"/>
        <w:rPr>
          <w:rFonts w:ascii="Arial" w:hAnsi="Arial" w:cs="Arial"/>
          <w:sz w:val="20"/>
          <w:szCs w:val="20"/>
          <w:u w:val="single"/>
        </w:rPr>
      </w:pPr>
      <w:r w:rsidRPr="00A86E9F">
        <w:rPr>
          <w:rFonts w:ascii="Arial" w:hAnsi="Arial" w:cs="Arial"/>
          <w:sz w:val="20"/>
          <w:szCs w:val="20"/>
          <w:u w:val="single"/>
        </w:rPr>
        <w:t>Interest income</w:t>
      </w:r>
    </w:p>
    <w:p w14:paraId="66CDB347" w14:textId="77777777" w:rsidR="00B150DF" w:rsidRPr="00EC5212" w:rsidRDefault="00B150DF" w:rsidP="003F6F1A">
      <w:pPr>
        <w:spacing w:after="0"/>
        <w:jc w:val="both"/>
        <w:rPr>
          <w:rFonts w:ascii="Arial" w:hAnsi="Arial" w:cs="Arial"/>
          <w:sz w:val="20"/>
          <w:szCs w:val="20"/>
        </w:rPr>
      </w:pPr>
    </w:p>
    <w:p w14:paraId="7C63A466" w14:textId="77777777" w:rsidR="00B150DF" w:rsidRPr="00EC5212" w:rsidRDefault="00B150DF" w:rsidP="003F6F1A">
      <w:pPr>
        <w:spacing w:after="0"/>
        <w:jc w:val="both"/>
        <w:rPr>
          <w:rFonts w:ascii="Arial" w:hAnsi="Arial" w:cs="Arial"/>
          <w:sz w:val="20"/>
          <w:szCs w:val="20"/>
        </w:rPr>
      </w:pPr>
      <w:r w:rsidRPr="00EC5212">
        <w:rPr>
          <w:rFonts w:ascii="Arial" w:hAnsi="Arial" w:cs="Arial"/>
          <w:sz w:val="20"/>
          <w:szCs w:val="20"/>
        </w:rPr>
        <w:t>Interest income increased to $</w:t>
      </w:r>
      <w:r w:rsidR="00A86E9F" w:rsidRPr="00EC5212">
        <w:rPr>
          <w:rFonts w:ascii="Arial" w:hAnsi="Arial" w:cs="Arial"/>
          <w:sz w:val="20"/>
          <w:szCs w:val="20"/>
        </w:rPr>
        <w:t>2,866</w:t>
      </w:r>
      <w:r w:rsidRPr="00EC5212">
        <w:rPr>
          <w:rFonts w:ascii="Arial" w:hAnsi="Arial" w:cs="Arial"/>
          <w:sz w:val="20"/>
          <w:szCs w:val="20"/>
        </w:rPr>
        <w:t xml:space="preserve">, compared to $nil during </w:t>
      </w:r>
      <w:r w:rsidR="00A86E9F" w:rsidRPr="00EC5212">
        <w:rPr>
          <w:rFonts w:ascii="Arial" w:hAnsi="Arial" w:cs="Arial"/>
          <w:sz w:val="20"/>
          <w:szCs w:val="20"/>
        </w:rPr>
        <w:t>YTD</w:t>
      </w:r>
      <w:r w:rsidRPr="00EC5212">
        <w:rPr>
          <w:rFonts w:ascii="Arial" w:hAnsi="Arial" w:cs="Arial"/>
          <w:sz w:val="20"/>
          <w:szCs w:val="20"/>
        </w:rPr>
        <w:t xml:space="preserve"> 2018, owing to the increase in cash.</w:t>
      </w:r>
    </w:p>
    <w:p w14:paraId="15A6D5B1" w14:textId="77777777" w:rsidR="00B150DF" w:rsidRDefault="00B150DF" w:rsidP="003F6F1A">
      <w:pPr>
        <w:spacing w:after="0"/>
        <w:jc w:val="both"/>
        <w:rPr>
          <w:rFonts w:ascii="Arial" w:hAnsi="Arial" w:cs="Arial"/>
          <w:sz w:val="20"/>
          <w:szCs w:val="20"/>
        </w:rPr>
      </w:pPr>
    </w:p>
    <w:p w14:paraId="3C60ABDC" w14:textId="77777777" w:rsidR="004E17E1" w:rsidRDefault="004E17E1" w:rsidP="003F6F1A">
      <w:pPr>
        <w:spacing w:after="0"/>
        <w:jc w:val="both"/>
        <w:rPr>
          <w:rFonts w:ascii="Arial" w:hAnsi="Arial" w:cs="Arial"/>
          <w:sz w:val="20"/>
          <w:szCs w:val="20"/>
        </w:rPr>
      </w:pPr>
    </w:p>
    <w:p w14:paraId="63ADF87A" w14:textId="77777777" w:rsidR="004E17E1" w:rsidRDefault="004E17E1" w:rsidP="003F6F1A">
      <w:pPr>
        <w:spacing w:after="0"/>
        <w:jc w:val="both"/>
        <w:rPr>
          <w:rFonts w:ascii="Arial" w:hAnsi="Arial" w:cs="Arial"/>
          <w:sz w:val="20"/>
          <w:szCs w:val="20"/>
        </w:rPr>
      </w:pPr>
    </w:p>
    <w:p w14:paraId="24224D31" w14:textId="77777777" w:rsidR="004E17E1" w:rsidRDefault="004E17E1" w:rsidP="003F6F1A">
      <w:pPr>
        <w:spacing w:after="0"/>
        <w:jc w:val="both"/>
        <w:rPr>
          <w:rFonts w:ascii="Arial" w:hAnsi="Arial" w:cs="Arial"/>
          <w:sz w:val="20"/>
          <w:szCs w:val="20"/>
        </w:rPr>
      </w:pPr>
    </w:p>
    <w:p w14:paraId="15188C4C" w14:textId="77777777" w:rsidR="004E17E1" w:rsidRDefault="004E17E1" w:rsidP="003F6F1A">
      <w:pPr>
        <w:spacing w:after="0"/>
        <w:jc w:val="both"/>
        <w:rPr>
          <w:rFonts w:ascii="Arial" w:hAnsi="Arial" w:cs="Arial"/>
          <w:sz w:val="20"/>
          <w:szCs w:val="20"/>
        </w:rPr>
      </w:pPr>
    </w:p>
    <w:p w14:paraId="69CAF9E7" w14:textId="77777777" w:rsidR="00B150DF" w:rsidRPr="00EC5212" w:rsidRDefault="00B150DF" w:rsidP="003F6F1A">
      <w:pPr>
        <w:spacing w:after="0"/>
        <w:jc w:val="both"/>
        <w:rPr>
          <w:rFonts w:ascii="Arial" w:hAnsi="Arial" w:cs="Arial"/>
          <w:sz w:val="20"/>
          <w:szCs w:val="20"/>
          <w:u w:val="single"/>
        </w:rPr>
      </w:pPr>
      <w:r w:rsidRPr="00EC5212">
        <w:rPr>
          <w:rFonts w:ascii="Arial" w:hAnsi="Arial" w:cs="Arial"/>
          <w:sz w:val="20"/>
          <w:szCs w:val="20"/>
          <w:u w:val="single"/>
        </w:rPr>
        <w:t>Interest expense</w:t>
      </w:r>
    </w:p>
    <w:p w14:paraId="2AE1F8E6" w14:textId="77777777" w:rsidR="00B150DF" w:rsidRPr="00EC5212" w:rsidRDefault="00B150DF" w:rsidP="003F6F1A">
      <w:pPr>
        <w:spacing w:after="0"/>
        <w:jc w:val="both"/>
        <w:rPr>
          <w:rFonts w:ascii="Arial" w:hAnsi="Arial" w:cs="Arial"/>
          <w:sz w:val="20"/>
          <w:szCs w:val="20"/>
        </w:rPr>
      </w:pPr>
    </w:p>
    <w:p w14:paraId="3A164B33" w14:textId="77777777" w:rsidR="00B150DF" w:rsidRPr="00EC5212" w:rsidRDefault="00B150DF" w:rsidP="003F6F1A">
      <w:pPr>
        <w:spacing w:after="0"/>
        <w:jc w:val="both"/>
        <w:rPr>
          <w:rFonts w:ascii="Arial" w:hAnsi="Arial" w:cs="Arial"/>
          <w:sz w:val="20"/>
          <w:szCs w:val="20"/>
        </w:rPr>
      </w:pPr>
      <w:r w:rsidRPr="00EC5212">
        <w:rPr>
          <w:rFonts w:ascii="Arial" w:hAnsi="Arial" w:cs="Arial"/>
          <w:sz w:val="20"/>
          <w:szCs w:val="20"/>
        </w:rPr>
        <w:t xml:space="preserve">Interest expense </w:t>
      </w:r>
      <w:r w:rsidR="00A86E9F" w:rsidRPr="00EC5212">
        <w:rPr>
          <w:rFonts w:ascii="Arial" w:hAnsi="Arial" w:cs="Arial"/>
          <w:sz w:val="20"/>
          <w:szCs w:val="20"/>
        </w:rPr>
        <w:t>de</w:t>
      </w:r>
      <w:r w:rsidRPr="00EC5212">
        <w:rPr>
          <w:rFonts w:ascii="Arial" w:hAnsi="Arial" w:cs="Arial"/>
          <w:sz w:val="20"/>
          <w:szCs w:val="20"/>
        </w:rPr>
        <w:t>creased to $</w:t>
      </w:r>
      <w:r w:rsidR="00A86E9F" w:rsidRPr="00EC5212">
        <w:rPr>
          <w:rFonts w:ascii="Arial" w:hAnsi="Arial" w:cs="Arial"/>
          <w:sz w:val="20"/>
          <w:szCs w:val="20"/>
        </w:rPr>
        <w:t>7</w:t>
      </w:r>
      <w:r w:rsidR="00D3689F">
        <w:rPr>
          <w:rFonts w:ascii="Arial" w:hAnsi="Arial" w:cs="Arial"/>
          <w:sz w:val="20"/>
          <w:szCs w:val="20"/>
        </w:rPr>
        <w:t>5,659</w:t>
      </w:r>
      <w:r w:rsidRPr="00EC5212">
        <w:rPr>
          <w:rFonts w:ascii="Arial" w:hAnsi="Arial" w:cs="Arial"/>
          <w:sz w:val="20"/>
          <w:szCs w:val="20"/>
        </w:rPr>
        <w:t>, compared to $</w:t>
      </w:r>
      <w:r w:rsidR="00A86E9F" w:rsidRPr="00EC5212">
        <w:rPr>
          <w:rFonts w:ascii="Arial" w:hAnsi="Arial" w:cs="Arial"/>
          <w:sz w:val="20"/>
          <w:szCs w:val="20"/>
        </w:rPr>
        <w:t>84,425</w:t>
      </w:r>
      <w:r w:rsidRPr="00EC5212">
        <w:rPr>
          <w:rFonts w:ascii="Arial" w:hAnsi="Arial" w:cs="Arial"/>
          <w:sz w:val="20"/>
          <w:szCs w:val="20"/>
        </w:rPr>
        <w:t xml:space="preserve"> during Q2 2018, owing </w:t>
      </w:r>
      <w:r w:rsidR="00EC5212" w:rsidRPr="00EC5212">
        <w:rPr>
          <w:rFonts w:ascii="Arial" w:hAnsi="Arial" w:cs="Arial"/>
          <w:sz w:val="20"/>
          <w:szCs w:val="20"/>
        </w:rPr>
        <w:t xml:space="preserve">to the conversion of debt to common shares during April 2018 in connection with the Company’s acquisition of </w:t>
      </w:r>
      <w:proofErr w:type="spellStart"/>
      <w:r w:rsidR="00EC5212" w:rsidRPr="00EC5212">
        <w:rPr>
          <w:rFonts w:ascii="Arial" w:hAnsi="Arial" w:cs="Arial"/>
          <w:sz w:val="20"/>
          <w:szCs w:val="20"/>
        </w:rPr>
        <w:t>Adira</w:t>
      </w:r>
      <w:proofErr w:type="spellEnd"/>
      <w:r w:rsidR="00EC5212" w:rsidRPr="00EC5212">
        <w:rPr>
          <w:rFonts w:ascii="Arial" w:hAnsi="Arial" w:cs="Arial"/>
          <w:sz w:val="20"/>
          <w:szCs w:val="20"/>
        </w:rPr>
        <w:t xml:space="preserve"> Energy Ltd.. This decrease was partially offset by </w:t>
      </w:r>
      <w:r w:rsidRPr="00EC5212">
        <w:rPr>
          <w:rFonts w:ascii="Arial" w:hAnsi="Arial" w:cs="Arial"/>
          <w:sz w:val="20"/>
          <w:szCs w:val="20"/>
        </w:rPr>
        <w:t>increase</w:t>
      </w:r>
      <w:r w:rsidR="00EC5212" w:rsidRPr="00EC5212">
        <w:rPr>
          <w:rFonts w:ascii="Arial" w:hAnsi="Arial" w:cs="Arial"/>
          <w:sz w:val="20"/>
          <w:szCs w:val="20"/>
        </w:rPr>
        <w:t>d</w:t>
      </w:r>
      <w:r w:rsidRPr="00EC5212">
        <w:rPr>
          <w:rFonts w:ascii="Arial" w:hAnsi="Arial" w:cs="Arial"/>
          <w:sz w:val="20"/>
          <w:szCs w:val="20"/>
        </w:rPr>
        <w:t xml:space="preserve"> interest expense on the lease liability resulting from the adoption of IFRS 16</w:t>
      </w:r>
      <w:r w:rsidR="00AB647D">
        <w:rPr>
          <w:rFonts w:ascii="Arial" w:hAnsi="Arial" w:cs="Arial"/>
          <w:sz w:val="20"/>
          <w:szCs w:val="20"/>
        </w:rPr>
        <w:t xml:space="preserve"> effective January 1, 2019</w:t>
      </w:r>
      <w:r w:rsidRPr="00EC5212">
        <w:rPr>
          <w:rFonts w:ascii="Arial" w:hAnsi="Arial" w:cs="Arial"/>
          <w:sz w:val="20"/>
          <w:szCs w:val="20"/>
        </w:rPr>
        <w:t>.</w:t>
      </w:r>
    </w:p>
    <w:p w14:paraId="044FAD7C" w14:textId="77777777" w:rsidR="00B150DF" w:rsidRDefault="00B150DF" w:rsidP="003F6F1A">
      <w:pPr>
        <w:spacing w:after="0"/>
        <w:jc w:val="both"/>
        <w:rPr>
          <w:rFonts w:ascii="Arial" w:hAnsi="Arial" w:cs="Arial"/>
          <w:sz w:val="20"/>
          <w:szCs w:val="20"/>
          <w:highlight w:val="yellow"/>
        </w:rPr>
      </w:pPr>
    </w:p>
    <w:p w14:paraId="7FBF2C3C" w14:textId="77777777" w:rsidR="00BD1255" w:rsidRPr="00BD1255" w:rsidRDefault="00BD1255" w:rsidP="003F6F1A">
      <w:pPr>
        <w:spacing w:after="0"/>
        <w:jc w:val="both"/>
        <w:rPr>
          <w:rFonts w:ascii="Arial" w:hAnsi="Arial" w:cs="Arial"/>
          <w:sz w:val="20"/>
          <w:szCs w:val="20"/>
          <w:u w:val="single"/>
        </w:rPr>
      </w:pPr>
      <w:r w:rsidRPr="00BD1255">
        <w:rPr>
          <w:rFonts w:ascii="Arial" w:hAnsi="Arial" w:cs="Arial"/>
          <w:sz w:val="20"/>
          <w:szCs w:val="20"/>
          <w:u w:val="single"/>
        </w:rPr>
        <w:t>Loss on disposal of property and equipment</w:t>
      </w:r>
    </w:p>
    <w:p w14:paraId="6410F0DB" w14:textId="77777777" w:rsidR="00BD1255" w:rsidRDefault="00BD1255" w:rsidP="003F6F1A">
      <w:pPr>
        <w:spacing w:after="0"/>
        <w:jc w:val="both"/>
        <w:rPr>
          <w:rFonts w:ascii="Arial" w:hAnsi="Arial" w:cs="Arial"/>
          <w:sz w:val="20"/>
          <w:szCs w:val="20"/>
        </w:rPr>
      </w:pPr>
    </w:p>
    <w:p w14:paraId="78F4F385" w14:textId="20BCAA02" w:rsidR="00BD1255" w:rsidRPr="00B150DF" w:rsidRDefault="00BD1255" w:rsidP="003F6F1A">
      <w:pPr>
        <w:spacing w:after="0"/>
        <w:jc w:val="both"/>
        <w:rPr>
          <w:rFonts w:ascii="Arial" w:hAnsi="Arial" w:cs="Arial"/>
          <w:sz w:val="20"/>
          <w:szCs w:val="20"/>
        </w:rPr>
      </w:pPr>
      <w:r>
        <w:rPr>
          <w:rFonts w:ascii="Arial" w:hAnsi="Arial" w:cs="Arial"/>
          <w:sz w:val="20"/>
          <w:szCs w:val="20"/>
        </w:rPr>
        <w:t xml:space="preserve">The Company recorded a loss </w:t>
      </w:r>
      <w:r w:rsidR="00AB647D">
        <w:rPr>
          <w:rFonts w:ascii="Arial" w:hAnsi="Arial" w:cs="Arial"/>
          <w:sz w:val="20"/>
          <w:szCs w:val="20"/>
        </w:rPr>
        <w:t>of $114,516</w:t>
      </w:r>
      <w:r w:rsidR="00F21869" w:rsidRPr="00B150DF">
        <w:rPr>
          <w:rFonts w:ascii="Arial" w:hAnsi="Arial" w:cs="Arial"/>
          <w:sz w:val="20"/>
          <w:szCs w:val="20"/>
        </w:rPr>
        <w:t xml:space="preserve">, compared to $nil during </w:t>
      </w:r>
      <w:r w:rsidR="00F21869">
        <w:rPr>
          <w:rFonts w:ascii="Arial" w:hAnsi="Arial" w:cs="Arial"/>
          <w:sz w:val="20"/>
          <w:szCs w:val="20"/>
        </w:rPr>
        <w:t>YTD</w:t>
      </w:r>
      <w:r w:rsidR="00F21869" w:rsidRPr="00B150DF">
        <w:rPr>
          <w:rFonts w:ascii="Arial" w:hAnsi="Arial" w:cs="Arial"/>
          <w:sz w:val="20"/>
          <w:szCs w:val="20"/>
        </w:rPr>
        <w:t xml:space="preserve"> 2018</w:t>
      </w:r>
      <w:r w:rsidR="00F21869">
        <w:rPr>
          <w:rFonts w:ascii="Arial" w:hAnsi="Arial" w:cs="Arial"/>
          <w:sz w:val="20"/>
          <w:szCs w:val="20"/>
        </w:rPr>
        <w:t xml:space="preserve">, </w:t>
      </w:r>
      <w:r w:rsidR="00AB647D">
        <w:rPr>
          <w:rFonts w:ascii="Arial" w:hAnsi="Arial" w:cs="Arial"/>
          <w:sz w:val="20"/>
          <w:szCs w:val="20"/>
        </w:rPr>
        <w:t xml:space="preserve">related to </w:t>
      </w:r>
      <w:r>
        <w:rPr>
          <w:rFonts w:ascii="Arial" w:hAnsi="Arial" w:cs="Arial"/>
          <w:sz w:val="20"/>
          <w:szCs w:val="20"/>
        </w:rPr>
        <w:t>leasehold improvements for the Chicago clinic when the lease was terminated in May 2019.</w:t>
      </w:r>
    </w:p>
    <w:p w14:paraId="682F4015" w14:textId="77777777" w:rsidR="00BD1255" w:rsidRPr="00B150DF" w:rsidRDefault="00BD1255" w:rsidP="003F6F1A">
      <w:pPr>
        <w:spacing w:after="0"/>
        <w:jc w:val="both"/>
        <w:rPr>
          <w:rFonts w:ascii="Arial" w:hAnsi="Arial" w:cs="Arial"/>
          <w:sz w:val="20"/>
          <w:szCs w:val="20"/>
          <w:highlight w:val="yellow"/>
        </w:rPr>
      </w:pPr>
    </w:p>
    <w:p w14:paraId="77BA4EC0" w14:textId="77777777" w:rsidR="00B150DF" w:rsidRPr="00EC5212" w:rsidRDefault="00B150DF" w:rsidP="003F6F1A">
      <w:pPr>
        <w:spacing w:after="0"/>
        <w:jc w:val="both"/>
        <w:rPr>
          <w:rFonts w:ascii="Arial" w:hAnsi="Arial" w:cs="Arial"/>
          <w:sz w:val="20"/>
          <w:szCs w:val="20"/>
        </w:rPr>
      </w:pPr>
      <w:r w:rsidRPr="00EC5212">
        <w:rPr>
          <w:rFonts w:ascii="Arial" w:hAnsi="Arial" w:cs="Arial"/>
          <w:sz w:val="20"/>
          <w:szCs w:val="20"/>
          <w:u w:val="single"/>
        </w:rPr>
        <w:t>Gain on change in fair value of warrant liability</w:t>
      </w:r>
    </w:p>
    <w:p w14:paraId="416C15E2" w14:textId="77777777" w:rsidR="00B150DF" w:rsidRPr="00EC5212" w:rsidRDefault="00B150DF" w:rsidP="003F6F1A">
      <w:pPr>
        <w:spacing w:after="0"/>
        <w:jc w:val="both"/>
        <w:rPr>
          <w:rFonts w:ascii="Arial" w:hAnsi="Arial" w:cs="Arial"/>
          <w:sz w:val="20"/>
          <w:szCs w:val="20"/>
          <w:u w:val="single"/>
        </w:rPr>
      </w:pPr>
    </w:p>
    <w:p w14:paraId="6A905BEF" w14:textId="77777777" w:rsidR="00B150DF" w:rsidRPr="00EC5212" w:rsidRDefault="00B150DF" w:rsidP="003F6F1A">
      <w:pPr>
        <w:spacing w:after="0"/>
        <w:jc w:val="both"/>
        <w:rPr>
          <w:rFonts w:ascii="Arial" w:hAnsi="Arial" w:cs="Arial"/>
          <w:sz w:val="20"/>
          <w:szCs w:val="20"/>
        </w:rPr>
      </w:pPr>
      <w:r w:rsidRPr="00EC5212">
        <w:rPr>
          <w:rFonts w:ascii="Arial" w:hAnsi="Arial" w:cs="Arial"/>
          <w:sz w:val="20"/>
          <w:szCs w:val="20"/>
        </w:rPr>
        <w:t>The Company recorded a gain on the change in the fair value of the warrant liability of $</w:t>
      </w:r>
      <w:r w:rsidR="00EC5212" w:rsidRPr="00EC5212">
        <w:rPr>
          <w:rFonts w:ascii="Arial" w:hAnsi="Arial" w:cs="Arial"/>
          <w:sz w:val="20"/>
          <w:szCs w:val="20"/>
        </w:rPr>
        <w:t>160,874</w:t>
      </w:r>
      <w:r w:rsidRPr="00EC5212">
        <w:rPr>
          <w:rFonts w:ascii="Arial" w:hAnsi="Arial" w:cs="Arial"/>
          <w:sz w:val="20"/>
          <w:szCs w:val="20"/>
        </w:rPr>
        <w:t xml:space="preserve">, compared to $nil during </w:t>
      </w:r>
      <w:r w:rsidR="00EC5212" w:rsidRPr="00EC5212">
        <w:rPr>
          <w:rFonts w:ascii="Arial" w:hAnsi="Arial" w:cs="Arial"/>
          <w:sz w:val="20"/>
          <w:szCs w:val="20"/>
        </w:rPr>
        <w:t>YTD</w:t>
      </w:r>
      <w:r w:rsidRPr="00EC5212">
        <w:rPr>
          <w:rFonts w:ascii="Arial" w:hAnsi="Arial" w:cs="Arial"/>
          <w:sz w:val="20"/>
          <w:szCs w:val="20"/>
        </w:rPr>
        <w:t xml:space="preserve"> 2018. The share purchase warrants are required to be revalued at every quarter end and the gain resulted from the decrease in the Company’s share price during </w:t>
      </w:r>
      <w:r w:rsidR="00EC5212" w:rsidRPr="00EC5212">
        <w:rPr>
          <w:rFonts w:ascii="Arial" w:hAnsi="Arial" w:cs="Arial"/>
          <w:sz w:val="20"/>
          <w:szCs w:val="20"/>
        </w:rPr>
        <w:t>YTD</w:t>
      </w:r>
      <w:r w:rsidRPr="00EC5212">
        <w:rPr>
          <w:rFonts w:ascii="Arial" w:hAnsi="Arial" w:cs="Arial"/>
          <w:sz w:val="20"/>
          <w:szCs w:val="20"/>
        </w:rPr>
        <w:t xml:space="preserve"> 2019, which is a variable in determining the fair value of the warrant liability per the Black-Scholes valuation model.</w:t>
      </w:r>
    </w:p>
    <w:p w14:paraId="3F23E20D" w14:textId="77777777" w:rsidR="00B150DF" w:rsidRPr="00EC5212" w:rsidRDefault="00B150DF" w:rsidP="003F6F1A">
      <w:pPr>
        <w:spacing w:after="0"/>
        <w:jc w:val="both"/>
        <w:rPr>
          <w:rFonts w:ascii="Arial" w:hAnsi="Arial" w:cs="Arial"/>
          <w:sz w:val="20"/>
          <w:szCs w:val="20"/>
          <w:u w:val="single"/>
        </w:rPr>
      </w:pPr>
    </w:p>
    <w:p w14:paraId="5EA3DAB9" w14:textId="77777777" w:rsidR="00B150DF" w:rsidRPr="00EC5212" w:rsidRDefault="00B150DF" w:rsidP="003F6F1A">
      <w:pPr>
        <w:spacing w:after="0"/>
        <w:jc w:val="both"/>
        <w:rPr>
          <w:rFonts w:ascii="Arial" w:hAnsi="Arial" w:cs="Arial"/>
          <w:sz w:val="20"/>
          <w:szCs w:val="20"/>
          <w:u w:val="single"/>
        </w:rPr>
      </w:pPr>
      <w:r w:rsidRPr="00EC5212">
        <w:rPr>
          <w:rFonts w:ascii="Arial" w:hAnsi="Arial" w:cs="Arial"/>
          <w:sz w:val="20"/>
          <w:szCs w:val="20"/>
          <w:u w:val="single"/>
        </w:rPr>
        <w:t>Gain on change in fair value of conversion option</w:t>
      </w:r>
    </w:p>
    <w:p w14:paraId="4F0AC86B" w14:textId="77777777" w:rsidR="00B150DF" w:rsidRPr="00EC5212" w:rsidRDefault="00B150DF" w:rsidP="003F6F1A">
      <w:pPr>
        <w:spacing w:after="0"/>
        <w:jc w:val="both"/>
        <w:rPr>
          <w:rFonts w:ascii="Arial" w:hAnsi="Arial" w:cs="Arial"/>
          <w:sz w:val="20"/>
          <w:szCs w:val="20"/>
          <w:u w:val="single"/>
        </w:rPr>
      </w:pPr>
    </w:p>
    <w:p w14:paraId="6BB78936" w14:textId="77777777" w:rsidR="00B150DF" w:rsidRPr="00EC5212" w:rsidRDefault="00B150DF" w:rsidP="003F6F1A">
      <w:pPr>
        <w:spacing w:after="0"/>
        <w:jc w:val="both"/>
        <w:rPr>
          <w:rFonts w:ascii="Arial" w:hAnsi="Arial" w:cs="Arial"/>
          <w:sz w:val="20"/>
          <w:szCs w:val="20"/>
          <w:u w:val="single"/>
        </w:rPr>
      </w:pPr>
      <w:r w:rsidRPr="00EC5212">
        <w:rPr>
          <w:rFonts w:ascii="Arial" w:hAnsi="Arial" w:cs="Arial"/>
          <w:sz w:val="20"/>
          <w:szCs w:val="20"/>
        </w:rPr>
        <w:t>The Company recorded a gain on the change in the fair value of the conversion option of $</w:t>
      </w:r>
      <w:r w:rsidR="00EC5212" w:rsidRPr="00EC5212">
        <w:rPr>
          <w:rFonts w:ascii="Arial" w:hAnsi="Arial" w:cs="Arial"/>
          <w:sz w:val="20"/>
          <w:szCs w:val="20"/>
        </w:rPr>
        <w:t>64,426</w:t>
      </w:r>
      <w:r w:rsidRPr="00EC5212">
        <w:rPr>
          <w:rFonts w:ascii="Arial" w:hAnsi="Arial" w:cs="Arial"/>
          <w:sz w:val="20"/>
          <w:szCs w:val="20"/>
        </w:rPr>
        <w:t xml:space="preserve">, compared to $nil during </w:t>
      </w:r>
      <w:r w:rsidR="00EC5212" w:rsidRPr="00EC5212">
        <w:rPr>
          <w:rFonts w:ascii="Arial" w:hAnsi="Arial" w:cs="Arial"/>
          <w:sz w:val="20"/>
          <w:szCs w:val="20"/>
        </w:rPr>
        <w:t xml:space="preserve">YTD </w:t>
      </w:r>
      <w:r w:rsidRPr="00EC5212">
        <w:rPr>
          <w:rFonts w:ascii="Arial" w:hAnsi="Arial" w:cs="Arial"/>
          <w:sz w:val="20"/>
          <w:szCs w:val="20"/>
        </w:rPr>
        <w:t xml:space="preserve">2018. The conversion option is required to be revalued at every quarter end and the gain resulted from the decrease in the Company’s share price during </w:t>
      </w:r>
      <w:r w:rsidR="00EC5212" w:rsidRPr="00EC5212">
        <w:rPr>
          <w:rFonts w:ascii="Arial" w:hAnsi="Arial" w:cs="Arial"/>
          <w:sz w:val="20"/>
          <w:szCs w:val="20"/>
        </w:rPr>
        <w:t>YTD</w:t>
      </w:r>
      <w:r w:rsidRPr="00EC5212">
        <w:rPr>
          <w:rFonts w:ascii="Arial" w:hAnsi="Arial" w:cs="Arial"/>
          <w:sz w:val="20"/>
          <w:szCs w:val="20"/>
        </w:rPr>
        <w:t xml:space="preserve"> 2019, which is a variable in determining the fair value of the conversion option. </w:t>
      </w:r>
    </w:p>
    <w:p w14:paraId="7B17BC5F" w14:textId="77777777" w:rsidR="00B150DF" w:rsidRPr="00EC5212" w:rsidRDefault="00B150DF" w:rsidP="003F6F1A">
      <w:pPr>
        <w:spacing w:after="0"/>
        <w:jc w:val="both"/>
        <w:rPr>
          <w:rFonts w:ascii="Arial" w:hAnsi="Arial" w:cs="Arial"/>
          <w:sz w:val="20"/>
          <w:szCs w:val="20"/>
          <w:u w:val="single"/>
        </w:rPr>
      </w:pPr>
    </w:p>
    <w:p w14:paraId="58A28E1C" w14:textId="77777777" w:rsidR="00B150DF" w:rsidRPr="00EC5212" w:rsidRDefault="00B150DF" w:rsidP="003F6F1A">
      <w:pPr>
        <w:spacing w:after="0"/>
        <w:jc w:val="both"/>
        <w:rPr>
          <w:rFonts w:ascii="Arial" w:hAnsi="Arial" w:cs="Arial"/>
          <w:sz w:val="20"/>
          <w:szCs w:val="20"/>
        </w:rPr>
      </w:pPr>
      <w:r w:rsidRPr="00EC5212">
        <w:rPr>
          <w:rFonts w:ascii="Arial" w:hAnsi="Arial" w:cs="Arial"/>
          <w:sz w:val="20"/>
          <w:szCs w:val="20"/>
          <w:u w:val="single"/>
        </w:rPr>
        <w:t>Other expense</w:t>
      </w:r>
    </w:p>
    <w:p w14:paraId="6F329CEA" w14:textId="77777777" w:rsidR="00B150DF" w:rsidRPr="00EC5212" w:rsidRDefault="00B150DF" w:rsidP="003F6F1A">
      <w:pPr>
        <w:spacing w:after="0"/>
        <w:jc w:val="both"/>
        <w:rPr>
          <w:rFonts w:ascii="Arial" w:hAnsi="Arial" w:cs="Arial"/>
          <w:sz w:val="20"/>
          <w:szCs w:val="20"/>
        </w:rPr>
      </w:pPr>
    </w:p>
    <w:p w14:paraId="03BAA78F" w14:textId="19BAB3D0" w:rsidR="00B150DF" w:rsidRPr="00B150DF" w:rsidRDefault="00B150DF" w:rsidP="003F6F1A">
      <w:pPr>
        <w:spacing w:after="0"/>
        <w:jc w:val="both"/>
        <w:rPr>
          <w:rFonts w:ascii="Arial" w:hAnsi="Arial" w:cs="Arial"/>
          <w:sz w:val="20"/>
          <w:szCs w:val="20"/>
        </w:rPr>
      </w:pPr>
      <w:r w:rsidRPr="00EC5212">
        <w:rPr>
          <w:rFonts w:ascii="Arial" w:hAnsi="Arial" w:cs="Arial"/>
          <w:sz w:val="20"/>
          <w:szCs w:val="20"/>
        </w:rPr>
        <w:t>The Company recorded other expense of $</w:t>
      </w:r>
      <w:r w:rsidR="00EC5212" w:rsidRPr="00EC5212">
        <w:rPr>
          <w:rFonts w:ascii="Arial" w:hAnsi="Arial" w:cs="Arial"/>
          <w:sz w:val="20"/>
          <w:szCs w:val="20"/>
        </w:rPr>
        <w:t>74,0</w:t>
      </w:r>
      <w:r w:rsidR="00BD1255">
        <w:rPr>
          <w:rFonts w:ascii="Arial" w:hAnsi="Arial" w:cs="Arial"/>
          <w:sz w:val="20"/>
          <w:szCs w:val="20"/>
        </w:rPr>
        <w:t>60</w:t>
      </w:r>
      <w:r w:rsidRPr="00EC5212">
        <w:rPr>
          <w:rFonts w:ascii="Arial" w:hAnsi="Arial" w:cs="Arial"/>
          <w:sz w:val="20"/>
          <w:szCs w:val="20"/>
        </w:rPr>
        <w:t xml:space="preserve">, compared to $nil during </w:t>
      </w:r>
      <w:r w:rsidR="00EC5212" w:rsidRPr="00EC5212">
        <w:rPr>
          <w:rFonts w:ascii="Arial" w:hAnsi="Arial" w:cs="Arial"/>
          <w:sz w:val="20"/>
          <w:szCs w:val="20"/>
        </w:rPr>
        <w:t>YTD</w:t>
      </w:r>
      <w:r w:rsidRPr="00EC5212">
        <w:rPr>
          <w:rFonts w:ascii="Arial" w:hAnsi="Arial" w:cs="Arial"/>
          <w:sz w:val="20"/>
          <w:szCs w:val="20"/>
        </w:rPr>
        <w:t xml:space="preserve"> 2018. The amount relates primarily to foreign exchange losses due to the </w:t>
      </w:r>
      <w:r w:rsidR="00436015">
        <w:rPr>
          <w:rFonts w:ascii="Arial" w:hAnsi="Arial" w:cs="Arial"/>
          <w:sz w:val="20"/>
          <w:szCs w:val="20"/>
        </w:rPr>
        <w:t>de</w:t>
      </w:r>
      <w:r w:rsidRPr="00EC5212">
        <w:rPr>
          <w:rFonts w:ascii="Arial" w:hAnsi="Arial" w:cs="Arial"/>
          <w:sz w:val="20"/>
          <w:szCs w:val="20"/>
        </w:rPr>
        <w:t xml:space="preserve">crease in the US dollar relative to the Canadian dollar during </w:t>
      </w:r>
      <w:r w:rsidR="00EC5212" w:rsidRPr="00EC5212">
        <w:rPr>
          <w:rFonts w:ascii="Arial" w:hAnsi="Arial" w:cs="Arial"/>
          <w:sz w:val="20"/>
          <w:szCs w:val="20"/>
        </w:rPr>
        <w:t>YTD</w:t>
      </w:r>
      <w:r w:rsidRPr="00EC5212">
        <w:rPr>
          <w:rFonts w:ascii="Arial" w:hAnsi="Arial" w:cs="Arial"/>
          <w:sz w:val="20"/>
          <w:szCs w:val="20"/>
        </w:rPr>
        <w:t xml:space="preserve"> 2018.</w:t>
      </w:r>
    </w:p>
    <w:p w14:paraId="2ABAD7D1" w14:textId="77777777" w:rsidR="001D7767" w:rsidRDefault="001D7767" w:rsidP="003F6F1A">
      <w:pPr>
        <w:pStyle w:val="NormalWeb"/>
        <w:pBdr>
          <w:bottom w:val="single" w:sz="12" w:space="1" w:color="auto"/>
        </w:pBdr>
        <w:spacing w:before="0" w:beforeAutospacing="0" w:after="0" w:afterAutospacing="0"/>
        <w:rPr>
          <w:rFonts w:ascii="Arial" w:hAnsi="Arial" w:cs="Arial"/>
          <w:b/>
          <w:sz w:val="20"/>
          <w:szCs w:val="20"/>
        </w:rPr>
      </w:pPr>
    </w:p>
    <w:p w14:paraId="5CF62F9C" w14:textId="77777777" w:rsidR="00453FBE" w:rsidRDefault="00623605" w:rsidP="003F6F1A">
      <w:pPr>
        <w:pStyle w:val="NormalWeb"/>
        <w:pBdr>
          <w:bottom w:val="single" w:sz="12" w:space="1" w:color="auto"/>
        </w:pBdr>
        <w:spacing w:before="0" w:beforeAutospacing="0" w:after="0" w:afterAutospacing="0"/>
        <w:rPr>
          <w:rFonts w:ascii="Arial" w:hAnsi="Arial" w:cs="Arial"/>
          <w:b/>
          <w:sz w:val="20"/>
          <w:szCs w:val="20"/>
        </w:rPr>
      </w:pPr>
      <w:r>
        <w:rPr>
          <w:rFonts w:ascii="Arial" w:hAnsi="Arial" w:cs="Arial"/>
          <w:b/>
          <w:sz w:val="20"/>
          <w:szCs w:val="20"/>
        </w:rPr>
        <w:t>LIQUIDITY, CASH FLOWS AND CAPITAL RESOURCES</w:t>
      </w:r>
    </w:p>
    <w:p w14:paraId="6B8D66D6" w14:textId="77777777" w:rsidR="00A353D2" w:rsidRPr="0061123D" w:rsidRDefault="00A353D2" w:rsidP="003F6F1A">
      <w:pPr>
        <w:pStyle w:val="NormalWeb"/>
        <w:spacing w:before="0" w:beforeAutospacing="0" w:after="0" w:afterAutospacing="0"/>
        <w:rPr>
          <w:rFonts w:ascii="Arial" w:hAnsi="Arial" w:cs="Arial"/>
          <w:b/>
          <w:sz w:val="20"/>
          <w:szCs w:val="20"/>
        </w:rPr>
      </w:pPr>
    </w:p>
    <w:p w14:paraId="2AAF008D" w14:textId="77777777" w:rsidR="00623605" w:rsidRPr="00623605" w:rsidRDefault="00623605" w:rsidP="003F6F1A">
      <w:pPr>
        <w:pStyle w:val="Heading7"/>
        <w:tabs>
          <w:tab w:val="left" w:pos="540"/>
        </w:tabs>
        <w:rPr>
          <w:i/>
          <w:color w:val="000000"/>
          <w:sz w:val="20"/>
          <w:u w:val="single"/>
        </w:rPr>
      </w:pPr>
      <w:r w:rsidRPr="00623605">
        <w:rPr>
          <w:i/>
          <w:color w:val="000000"/>
          <w:sz w:val="20"/>
          <w:u w:val="single"/>
        </w:rPr>
        <w:t xml:space="preserve">Liquidity </w:t>
      </w:r>
    </w:p>
    <w:p w14:paraId="16B4EEC7" w14:textId="77777777" w:rsidR="00623605" w:rsidRDefault="00623605" w:rsidP="003F6F1A">
      <w:pPr>
        <w:pStyle w:val="Heading7"/>
        <w:tabs>
          <w:tab w:val="left" w:pos="540"/>
        </w:tabs>
      </w:pPr>
    </w:p>
    <w:p w14:paraId="3638FBB2" w14:textId="77777777" w:rsidR="00623605" w:rsidRDefault="00623605" w:rsidP="003F6F1A">
      <w:pPr>
        <w:spacing w:after="0"/>
        <w:jc w:val="both"/>
        <w:rPr>
          <w:rFonts w:ascii="Arial" w:hAnsi="Arial" w:cs="Arial"/>
          <w:sz w:val="20"/>
          <w:szCs w:val="20"/>
        </w:rPr>
      </w:pPr>
      <w:r w:rsidRPr="00623605">
        <w:rPr>
          <w:rFonts w:ascii="Arial" w:hAnsi="Arial" w:cs="Arial"/>
          <w:sz w:val="20"/>
          <w:szCs w:val="20"/>
        </w:rPr>
        <w:t xml:space="preserve">Liquidity risk is the risk that the Company will encounter difficulties in meeting obligations associated with its financial liabilities and other contractual obligations. The Company’s strategy for managing liquidity is based on achieving positive cash flows from operations to internally fund operating and capital requirements. </w:t>
      </w:r>
    </w:p>
    <w:p w14:paraId="431CA65E" w14:textId="77777777" w:rsidR="00623605" w:rsidRDefault="00623605" w:rsidP="003F6F1A">
      <w:pPr>
        <w:spacing w:after="0"/>
        <w:jc w:val="both"/>
        <w:rPr>
          <w:rFonts w:ascii="Arial" w:hAnsi="Arial" w:cs="Arial"/>
          <w:sz w:val="20"/>
          <w:szCs w:val="20"/>
        </w:rPr>
      </w:pPr>
    </w:p>
    <w:p w14:paraId="3D2741A9" w14:textId="77777777" w:rsidR="00DA05F7" w:rsidRDefault="00623605" w:rsidP="003F6F1A">
      <w:pPr>
        <w:spacing w:after="0"/>
        <w:jc w:val="both"/>
        <w:rPr>
          <w:rFonts w:ascii="Arial" w:hAnsi="Arial" w:cs="Arial"/>
          <w:sz w:val="20"/>
          <w:szCs w:val="20"/>
        </w:rPr>
      </w:pPr>
      <w:r w:rsidRPr="00623605">
        <w:rPr>
          <w:rFonts w:ascii="Arial" w:hAnsi="Arial" w:cs="Arial"/>
          <w:sz w:val="20"/>
          <w:szCs w:val="20"/>
        </w:rPr>
        <w:t xml:space="preserve">Factors that may affect the Company’s liquidity are continuously monitored. These factors include the </w:t>
      </w:r>
      <w:r w:rsidR="007D3CB8">
        <w:rPr>
          <w:rFonts w:ascii="Arial" w:hAnsi="Arial" w:cs="Arial"/>
          <w:sz w:val="20"/>
          <w:szCs w:val="20"/>
        </w:rPr>
        <w:t>number of patient visits</w:t>
      </w:r>
      <w:r w:rsidRPr="00623605">
        <w:rPr>
          <w:rFonts w:ascii="Arial" w:hAnsi="Arial" w:cs="Arial"/>
          <w:sz w:val="20"/>
          <w:szCs w:val="20"/>
        </w:rPr>
        <w:t xml:space="preserve">, </w:t>
      </w:r>
      <w:r w:rsidR="007D3CB8">
        <w:rPr>
          <w:rFonts w:ascii="Arial" w:hAnsi="Arial" w:cs="Arial"/>
          <w:sz w:val="20"/>
          <w:szCs w:val="20"/>
        </w:rPr>
        <w:t>average patient spend per visit</w:t>
      </w:r>
      <w:r w:rsidRPr="00623605">
        <w:rPr>
          <w:rFonts w:ascii="Arial" w:hAnsi="Arial" w:cs="Arial"/>
          <w:sz w:val="20"/>
          <w:szCs w:val="20"/>
        </w:rPr>
        <w:t>, operating costs, capital costs, income tax refunds,</w:t>
      </w:r>
      <w:r w:rsidR="007D3CB8">
        <w:rPr>
          <w:rFonts w:ascii="Arial" w:hAnsi="Arial" w:cs="Arial"/>
          <w:sz w:val="20"/>
          <w:szCs w:val="20"/>
        </w:rPr>
        <w:t xml:space="preserve"> </w:t>
      </w:r>
      <w:r w:rsidRPr="00623605">
        <w:rPr>
          <w:rFonts w:ascii="Arial" w:hAnsi="Arial" w:cs="Arial"/>
          <w:sz w:val="20"/>
          <w:szCs w:val="20"/>
        </w:rPr>
        <w:t>foreign currency fluctuations</w:t>
      </w:r>
      <w:r w:rsidR="007D3CB8">
        <w:rPr>
          <w:rFonts w:ascii="Arial" w:hAnsi="Arial" w:cs="Arial"/>
          <w:sz w:val="20"/>
          <w:szCs w:val="20"/>
        </w:rPr>
        <w:t xml:space="preserve">, </w:t>
      </w:r>
      <w:r w:rsidR="007D3CB8" w:rsidRPr="00C90A0A">
        <w:rPr>
          <w:rFonts w:ascii="Arial" w:hAnsi="Arial" w:cs="Arial"/>
          <w:sz w:val="20"/>
          <w:szCs w:val="20"/>
        </w:rPr>
        <w:t>seasonality, market immaturity and a highly fluid environment related to state and federal law passage and regulations</w:t>
      </w:r>
      <w:r w:rsidRPr="00623605">
        <w:rPr>
          <w:rFonts w:ascii="Arial" w:hAnsi="Arial" w:cs="Arial"/>
          <w:sz w:val="20"/>
          <w:szCs w:val="20"/>
        </w:rPr>
        <w:t xml:space="preserve">. </w:t>
      </w:r>
    </w:p>
    <w:p w14:paraId="260EBE3F" w14:textId="77777777" w:rsidR="00DA05F7" w:rsidRDefault="00DA05F7" w:rsidP="003F6F1A">
      <w:pPr>
        <w:spacing w:after="0"/>
        <w:jc w:val="both"/>
        <w:rPr>
          <w:rFonts w:ascii="Arial" w:hAnsi="Arial" w:cs="Arial"/>
          <w:sz w:val="20"/>
          <w:szCs w:val="20"/>
        </w:rPr>
      </w:pPr>
    </w:p>
    <w:p w14:paraId="1EA5462A" w14:textId="77777777" w:rsidR="00BD1255" w:rsidRDefault="00BD1255" w:rsidP="003F6F1A">
      <w:pPr>
        <w:spacing w:after="0"/>
        <w:jc w:val="both"/>
        <w:rPr>
          <w:rFonts w:ascii="Arial" w:hAnsi="Arial" w:cs="Arial"/>
          <w:sz w:val="20"/>
          <w:szCs w:val="20"/>
        </w:rPr>
      </w:pPr>
    </w:p>
    <w:p w14:paraId="4581737A" w14:textId="77777777" w:rsidR="00AB647D" w:rsidRDefault="00AB647D" w:rsidP="003F6F1A">
      <w:pPr>
        <w:spacing w:after="0"/>
        <w:jc w:val="both"/>
        <w:rPr>
          <w:rFonts w:ascii="Arial" w:hAnsi="Arial" w:cs="Arial"/>
          <w:sz w:val="20"/>
          <w:szCs w:val="20"/>
        </w:rPr>
      </w:pPr>
    </w:p>
    <w:p w14:paraId="1237EE55" w14:textId="77777777" w:rsidR="00BD1255" w:rsidRDefault="00BD1255" w:rsidP="003F6F1A">
      <w:pPr>
        <w:spacing w:after="0"/>
        <w:jc w:val="both"/>
        <w:rPr>
          <w:rFonts w:ascii="Arial" w:hAnsi="Arial" w:cs="Arial"/>
          <w:sz w:val="20"/>
          <w:szCs w:val="20"/>
        </w:rPr>
      </w:pPr>
    </w:p>
    <w:p w14:paraId="666F6D85" w14:textId="77777777" w:rsidR="001D7767" w:rsidRDefault="001D7767" w:rsidP="003F6F1A">
      <w:pPr>
        <w:spacing w:after="0"/>
        <w:jc w:val="both"/>
        <w:rPr>
          <w:rFonts w:ascii="Arial" w:hAnsi="Arial" w:cs="Arial"/>
          <w:sz w:val="20"/>
          <w:szCs w:val="20"/>
        </w:rPr>
      </w:pPr>
    </w:p>
    <w:p w14:paraId="5BC96F64" w14:textId="57FEDE06" w:rsidR="007D3CB8" w:rsidRDefault="00D242CC" w:rsidP="003F6F1A">
      <w:pPr>
        <w:spacing w:after="0"/>
        <w:jc w:val="both"/>
        <w:rPr>
          <w:rFonts w:ascii="Arial" w:hAnsi="Arial" w:cs="Arial"/>
          <w:sz w:val="20"/>
          <w:szCs w:val="20"/>
        </w:rPr>
      </w:pPr>
      <w:r>
        <w:rPr>
          <w:rFonts w:ascii="Arial" w:hAnsi="Arial" w:cs="Arial"/>
          <w:sz w:val="20"/>
          <w:szCs w:val="20"/>
        </w:rPr>
        <w:lastRenderedPageBreak/>
        <w:br/>
      </w:r>
      <w:r w:rsidR="00623605" w:rsidRPr="00623605">
        <w:rPr>
          <w:rFonts w:ascii="Arial" w:hAnsi="Arial" w:cs="Arial"/>
          <w:sz w:val="20"/>
          <w:szCs w:val="20"/>
        </w:rPr>
        <w:t xml:space="preserve">In the event that the Company is adversely affected by any of these factors and, as a result, the operating cash flows are not sufficient to meet the Company’s working capital requirements there is no guarantee that the Company would be able to raise additional capital on acceptable terms to fund a potential cash shortfall. Consequently, the Company is subject to liquidity risk. </w:t>
      </w:r>
    </w:p>
    <w:p w14:paraId="59C334A1" w14:textId="77777777" w:rsidR="004E17E1" w:rsidRDefault="004E17E1" w:rsidP="003F6F1A">
      <w:pPr>
        <w:spacing w:after="0"/>
        <w:jc w:val="both"/>
        <w:rPr>
          <w:rFonts w:ascii="Arial" w:hAnsi="Arial" w:cs="Arial"/>
          <w:sz w:val="20"/>
          <w:szCs w:val="20"/>
        </w:rPr>
      </w:pPr>
    </w:p>
    <w:p w14:paraId="30C6F482" w14:textId="77777777" w:rsidR="007D3CB8" w:rsidRPr="00C90A0A" w:rsidRDefault="007D3CB8" w:rsidP="003F6F1A">
      <w:pPr>
        <w:spacing w:after="0"/>
        <w:jc w:val="both"/>
        <w:rPr>
          <w:rFonts w:ascii="Arial" w:hAnsi="Arial" w:cs="Arial"/>
          <w:sz w:val="20"/>
          <w:szCs w:val="20"/>
        </w:rPr>
      </w:pPr>
      <w:r w:rsidRPr="00C90A0A">
        <w:rPr>
          <w:rFonts w:ascii="Arial" w:hAnsi="Arial" w:cs="Arial"/>
          <w:sz w:val="20"/>
          <w:szCs w:val="20"/>
        </w:rPr>
        <w:t xml:space="preserve">The </w:t>
      </w:r>
      <w:r>
        <w:rPr>
          <w:rFonts w:ascii="Arial" w:hAnsi="Arial" w:cs="Arial"/>
          <w:sz w:val="20"/>
          <w:szCs w:val="20"/>
        </w:rPr>
        <w:t>C</w:t>
      </w:r>
      <w:r w:rsidRPr="00C90A0A">
        <w:rPr>
          <w:rFonts w:ascii="Arial" w:hAnsi="Arial" w:cs="Arial"/>
          <w:sz w:val="20"/>
          <w:szCs w:val="20"/>
        </w:rPr>
        <w:t xml:space="preserve">ompany will need to procure additional financing in order to fund its ongoing operation. The </w:t>
      </w:r>
      <w:r>
        <w:rPr>
          <w:rFonts w:ascii="Arial" w:hAnsi="Arial" w:cs="Arial"/>
          <w:sz w:val="20"/>
          <w:szCs w:val="20"/>
        </w:rPr>
        <w:t>C</w:t>
      </w:r>
      <w:r w:rsidRPr="00C90A0A">
        <w:rPr>
          <w:rFonts w:ascii="Arial" w:hAnsi="Arial" w:cs="Arial"/>
          <w:sz w:val="20"/>
          <w:szCs w:val="20"/>
        </w:rPr>
        <w:t xml:space="preserve">ompany intends to obtain such financing through equity financing, and there can be no assurance that the </w:t>
      </w:r>
      <w:r>
        <w:rPr>
          <w:rFonts w:ascii="Arial" w:hAnsi="Arial" w:cs="Arial"/>
          <w:sz w:val="20"/>
          <w:szCs w:val="20"/>
        </w:rPr>
        <w:t>C</w:t>
      </w:r>
      <w:r w:rsidRPr="00C90A0A">
        <w:rPr>
          <w:rFonts w:ascii="Arial" w:hAnsi="Arial" w:cs="Arial"/>
          <w:sz w:val="20"/>
          <w:szCs w:val="20"/>
        </w:rPr>
        <w:t xml:space="preserve">ompany can raise the required capital it needs to build and expand as expected, nor that the capital markets will fund the business of the </w:t>
      </w:r>
      <w:r>
        <w:rPr>
          <w:rFonts w:ascii="Arial" w:hAnsi="Arial" w:cs="Arial"/>
          <w:sz w:val="20"/>
          <w:szCs w:val="20"/>
        </w:rPr>
        <w:t>C</w:t>
      </w:r>
      <w:r w:rsidRPr="00C90A0A">
        <w:rPr>
          <w:rFonts w:ascii="Arial" w:hAnsi="Arial" w:cs="Arial"/>
          <w:sz w:val="20"/>
          <w:szCs w:val="20"/>
        </w:rPr>
        <w:t xml:space="preserve">ompany. Without this additional financing, the </w:t>
      </w:r>
      <w:r>
        <w:rPr>
          <w:rFonts w:ascii="Arial" w:hAnsi="Arial" w:cs="Arial"/>
          <w:sz w:val="20"/>
          <w:szCs w:val="20"/>
        </w:rPr>
        <w:t>C</w:t>
      </w:r>
      <w:r w:rsidRPr="00C90A0A">
        <w:rPr>
          <w:rFonts w:ascii="Arial" w:hAnsi="Arial" w:cs="Arial"/>
          <w:sz w:val="20"/>
          <w:szCs w:val="20"/>
        </w:rPr>
        <w:t xml:space="preserve">ompany may be unable to achieve positive cash flow and earnings as quickly as anticipated, these uncertainties cast a significant doubt about the </w:t>
      </w:r>
      <w:r w:rsidR="001C7200">
        <w:rPr>
          <w:rFonts w:ascii="Arial" w:hAnsi="Arial" w:cs="Arial"/>
          <w:sz w:val="20"/>
          <w:szCs w:val="20"/>
        </w:rPr>
        <w:t>C</w:t>
      </w:r>
      <w:r w:rsidR="001C7200" w:rsidRPr="00C90A0A">
        <w:rPr>
          <w:rFonts w:ascii="Arial" w:hAnsi="Arial" w:cs="Arial"/>
          <w:sz w:val="20"/>
          <w:szCs w:val="20"/>
        </w:rPr>
        <w:t xml:space="preserve">ompany’s </w:t>
      </w:r>
      <w:r w:rsidRPr="00C90A0A">
        <w:rPr>
          <w:rFonts w:ascii="Arial" w:hAnsi="Arial" w:cs="Arial"/>
          <w:sz w:val="20"/>
          <w:szCs w:val="20"/>
        </w:rPr>
        <w:t xml:space="preserve">ability to continue as a going concern. </w:t>
      </w:r>
    </w:p>
    <w:p w14:paraId="5B9EE7E8" w14:textId="77777777" w:rsidR="007D3CB8" w:rsidRDefault="007D3CB8" w:rsidP="003F6F1A">
      <w:pPr>
        <w:spacing w:after="0"/>
        <w:jc w:val="both"/>
        <w:rPr>
          <w:rFonts w:ascii="Arial" w:hAnsi="Arial" w:cs="Arial"/>
          <w:sz w:val="20"/>
          <w:szCs w:val="20"/>
        </w:rPr>
      </w:pPr>
    </w:p>
    <w:p w14:paraId="7A339076" w14:textId="77777777" w:rsidR="001A7E6B" w:rsidRPr="00EC5212" w:rsidRDefault="00623605" w:rsidP="003F6F1A">
      <w:pPr>
        <w:spacing w:after="0"/>
        <w:jc w:val="both"/>
        <w:rPr>
          <w:rFonts w:ascii="Arial" w:hAnsi="Arial" w:cs="Arial"/>
          <w:sz w:val="20"/>
          <w:szCs w:val="20"/>
        </w:rPr>
      </w:pPr>
      <w:r w:rsidRPr="00EC5212">
        <w:rPr>
          <w:rFonts w:ascii="Arial" w:hAnsi="Arial" w:cs="Arial"/>
          <w:sz w:val="20"/>
          <w:szCs w:val="20"/>
        </w:rPr>
        <w:t xml:space="preserve">At </w:t>
      </w:r>
      <w:r w:rsidR="00EC5212" w:rsidRPr="00EC5212">
        <w:rPr>
          <w:rFonts w:ascii="Arial" w:hAnsi="Arial" w:cs="Arial"/>
          <w:sz w:val="20"/>
          <w:szCs w:val="20"/>
        </w:rPr>
        <w:t>June 30</w:t>
      </w:r>
      <w:r w:rsidR="003C5740" w:rsidRPr="00EC5212">
        <w:rPr>
          <w:rFonts w:ascii="Arial" w:hAnsi="Arial" w:cs="Arial"/>
          <w:sz w:val="20"/>
          <w:szCs w:val="20"/>
        </w:rPr>
        <w:t xml:space="preserve">, </w:t>
      </w:r>
      <w:r w:rsidRPr="00EC5212">
        <w:rPr>
          <w:rFonts w:ascii="Arial" w:hAnsi="Arial" w:cs="Arial"/>
          <w:sz w:val="20"/>
          <w:szCs w:val="20"/>
        </w:rPr>
        <w:t>201</w:t>
      </w:r>
      <w:r w:rsidR="003C5740" w:rsidRPr="00EC5212">
        <w:rPr>
          <w:rFonts w:ascii="Arial" w:hAnsi="Arial" w:cs="Arial"/>
          <w:sz w:val="20"/>
          <w:szCs w:val="20"/>
        </w:rPr>
        <w:t>9</w:t>
      </w:r>
      <w:r w:rsidRPr="00EC5212">
        <w:rPr>
          <w:rFonts w:ascii="Arial" w:hAnsi="Arial" w:cs="Arial"/>
          <w:sz w:val="20"/>
          <w:szCs w:val="20"/>
        </w:rPr>
        <w:t xml:space="preserve">, the Company </w:t>
      </w:r>
      <w:r w:rsidR="007D3CB8" w:rsidRPr="00EC5212">
        <w:rPr>
          <w:rFonts w:ascii="Arial" w:hAnsi="Arial" w:cs="Arial"/>
          <w:sz w:val="20"/>
          <w:szCs w:val="20"/>
        </w:rPr>
        <w:t>had a working capital deficit</w:t>
      </w:r>
      <w:r w:rsidRPr="00EC5212">
        <w:rPr>
          <w:rFonts w:ascii="Arial" w:hAnsi="Arial" w:cs="Arial"/>
          <w:sz w:val="20"/>
          <w:szCs w:val="20"/>
        </w:rPr>
        <w:t xml:space="preserve"> of $</w:t>
      </w:r>
      <w:r w:rsidR="00D3689F">
        <w:rPr>
          <w:rFonts w:ascii="Arial" w:hAnsi="Arial" w:cs="Arial"/>
          <w:sz w:val="20"/>
          <w:szCs w:val="20"/>
        </w:rPr>
        <w:t>2,936,926</w:t>
      </w:r>
      <w:r w:rsidR="007D3CB8" w:rsidRPr="00EC5212">
        <w:rPr>
          <w:rFonts w:ascii="Arial" w:hAnsi="Arial" w:cs="Arial"/>
          <w:sz w:val="20"/>
          <w:szCs w:val="20"/>
        </w:rPr>
        <w:t>, as follows:</w:t>
      </w:r>
    </w:p>
    <w:p w14:paraId="2739EF43" w14:textId="77777777" w:rsidR="00FC3890" w:rsidRPr="00EC5212" w:rsidRDefault="00FC3890" w:rsidP="003F6F1A">
      <w:pPr>
        <w:spacing w:after="0"/>
        <w:jc w:val="both"/>
        <w:rPr>
          <w:rFonts w:ascii="Arial" w:hAnsi="Arial" w:cs="Arial"/>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5093"/>
        <w:gridCol w:w="328"/>
        <w:gridCol w:w="1832"/>
        <w:gridCol w:w="328"/>
        <w:gridCol w:w="1767"/>
      </w:tblGrid>
      <w:tr w:rsidR="003E0848" w:rsidRPr="00DA4360" w14:paraId="21020747" w14:textId="77777777" w:rsidTr="004A1755">
        <w:tc>
          <w:tcPr>
            <w:tcW w:w="5093" w:type="dxa"/>
            <w:tcBorders>
              <w:top w:val="single" w:sz="4" w:space="0" w:color="auto"/>
              <w:bottom w:val="single" w:sz="12" w:space="0" w:color="auto"/>
            </w:tcBorders>
            <w:shd w:val="clear" w:color="auto" w:fill="auto"/>
          </w:tcPr>
          <w:p w14:paraId="749CA27F" w14:textId="77777777" w:rsidR="00FC3890" w:rsidRPr="00DA4360" w:rsidRDefault="00FC3890" w:rsidP="003F6F1A">
            <w:pPr>
              <w:spacing w:after="0" w:line="240" w:lineRule="auto"/>
              <w:jc w:val="both"/>
              <w:rPr>
                <w:rFonts w:ascii="Arial" w:hAnsi="Arial" w:cs="Arial"/>
                <w:sz w:val="20"/>
                <w:szCs w:val="20"/>
                <w:lang w:val="en-CA"/>
              </w:rPr>
            </w:pPr>
            <w:r w:rsidRPr="00DA4360">
              <w:rPr>
                <w:rFonts w:ascii="Arial" w:hAnsi="Arial" w:cs="Arial"/>
                <w:i/>
                <w:sz w:val="20"/>
                <w:szCs w:val="20"/>
                <w:lang w:val="en-CA"/>
              </w:rPr>
              <w:t>As at</w:t>
            </w:r>
          </w:p>
        </w:tc>
        <w:tc>
          <w:tcPr>
            <w:tcW w:w="2160" w:type="dxa"/>
            <w:gridSpan w:val="2"/>
            <w:tcBorders>
              <w:top w:val="single" w:sz="4" w:space="0" w:color="auto"/>
              <w:bottom w:val="single" w:sz="12" w:space="0" w:color="auto"/>
            </w:tcBorders>
            <w:shd w:val="clear" w:color="auto" w:fill="auto"/>
            <w:vAlign w:val="bottom"/>
          </w:tcPr>
          <w:p w14:paraId="3812D514" w14:textId="77777777" w:rsidR="00FC3890" w:rsidRPr="00DA4360" w:rsidRDefault="00EC5212" w:rsidP="003F6F1A">
            <w:pPr>
              <w:spacing w:after="0" w:line="240" w:lineRule="auto"/>
              <w:jc w:val="right"/>
              <w:rPr>
                <w:rFonts w:ascii="Arial" w:hAnsi="Arial" w:cs="Arial"/>
                <w:sz w:val="20"/>
                <w:szCs w:val="20"/>
                <w:lang w:val="en-CA"/>
              </w:rPr>
            </w:pPr>
            <w:r w:rsidRPr="00DA4360">
              <w:rPr>
                <w:rFonts w:ascii="Arial" w:hAnsi="Arial" w:cs="Arial"/>
                <w:b/>
                <w:sz w:val="20"/>
                <w:szCs w:val="20"/>
                <w:lang w:val="en-CA"/>
              </w:rPr>
              <w:t>June 30, 2019</w:t>
            </w:r>
          </w:p>
        </w:tc>
        <w:tc>
          <w:tcPr>
            <w:tcW w:w="2095" w:type="dxa"/>
            <w:gridSpan w:val="2"/>
            <w:tcBorders>
              <w:top w:val="single" w:sz="4" w:space="0" w:color="auto"/>
              <w:bottom w:val="single" w:sz="12" w:space="0" w:color="auto"/>
            </w:tcBorders>
            <w:shd w:val="clear" w:color="auto" w:fill="auto"/>
            <w:vAlign w:val="bottom"/>
          </w:tcPr>
          <w:p w14:paraId="45852C51" w14:textId="77777777" w:rsidR="00FC3890" w:rsidRPr="00DA4360" w:rsidRDefault="003C5740" w:rsidP="003F6F1A">
            <w:pPr>
              <w:spacing w:after="0" w:line="240" w:lineRule="auto"/>
              <w:jc w:val="right"/>
              <w:rPr>
                <w:rFonts w:ascii="Arial" w:hAnsi="Arial" w:cs="Arial"/>
                <w:sz w:val="20"/>
                <w:szCs w:val="20"/>
                <w:lang w:val="en-CA"/>
              </w:rPr>
            </w:pPr>
            <w:r w:rsidRPr="00DA4360">
              <w:rPr>
                <w:rFonts w:ascii="Arial" w:hAnsi="Arial" w:cs="Arial"/>
                <w:sz w:val="20"/>
                <w:szCs w:val="20"/>
                <w:lang w:val="en-CA"/>
              </w:rPr>
              <w:t>December 31, 2018</w:t>
            </w:r>
          </w:p>
        </w:tc>
      </w:tr>
      <w:tr w:rsidR="003E0848" w:rsidRPr="00DA4360" w14:paraId="1807FCC6" w14:textId="77777777" w:rsidTr="004A1755">
        <w:tc>
          <w:tcPr>
            <w:tcW w:w="5093" w:type="dxa"/>
            <w:tcBorders>
              <w:top w:val="single" w:sz="12" w:space="0" w:color="auto"/>
              <w:bottom w:val="nil"/>
            </w:tcBorders>
            <w:shd w:val="clear" w:color="auto" w:fill="auto"/>
          </w:tcPr>
          <w:p w14:paraId="65DDFF30" w14:textId="77777777" w:rsidR="00FC3890" w:rsidRPr="00DA4360" w:rsidRDefault="00FC3890" w:rsidP="003F6F1A">
            <w:pPr>
              <w:spacing w:after="0" w:line="240" w:lineRule="auto"/>
              <w:jc w:val="both"/>
              <w:rPr>
                <w:rFonts w:ascii="Arial" w:hAnsi="Arial" w:cs="Arial"/>
                <w:sz w:val="20"/>
                <w:szCs w:val="20"/>
                <w:lang w:val="en-CA"/>
              </w:rPr>
            </w:pPr>
          </w:p>
        </w:tc>
        <w:tc>
          <w:tcPr>
            <w:tcW w:w="328" w:type="dxa"/>
            <w:tcBorders>
              <w:top w:val="single" w:sz="12" w:space="0" w:color="auto"/>
              <w:bottom w:val="nil"/>
            </w:tcBorders>
            <w:shd w:val="clear" w:color="auto" w:fill="auto"/>
          </w:tcPr>
          <w:p w14:paraId="1093D0D2" w14:textId="77777777" w:rsidR="00FC3890" w:rsidRPr="00DA4360" w:rsidRDefault="00FC3890" w:rsidP="003F6F1A">
            <w:pPr>
              <w:spacing w:after="0" w:line="240" w:lineRule="auto"/>
              <w:jc w:val="both"/>
              <w:rPr>
                <w:rFonts w:ascii="Arial" w:hAnsi="Arial" w:cs="Arial"/>
                <w:sz w:val="20"/>
                <w:szCs w:val="20"/>
                <w:lang w:val="en-CA"/>
              </w:rPr>
            </w:pPr>
          </w:p>
        </w:tc>
        <w:tc>
          <w:tcPr>
            <w:tcW w:w="1832" w:type="dxa"/>
            <w:tcBorders>
              <w:top w:val="single" w:sz="12" w:space="0" w:color="auto"/>
              <w:bottom w:val="nil"/>
            </w:tcBorders>
            <w:shd w:val="clear" w:color="auto" w:fill="auto"/>
            <w:vAlign w:val="bottom"/>
          </w:tcPr>
          <w:p w14:paraId="11BECFD9" w14:textId="77777777" w:rsidR="00FC3890" w:rsidRPr="00DA4360" w:rsidRDefault="00FC3890" w:rsidP="003F6F1A">
            <w:pPr>
              <w:spacing w:after="0" w:line="240" w:lineRule="auto"/>
              <w:jc w:val="right"/>
              <w:rPr>
                <w:rFonts w:ascii="Arial" w:hAnsi="Arial" w:cs="Arial"/>
                <w:sz w:val="20"/>
                <w:szCs w:val="20"/>
                <w:lang w:val="en-CA"/>
              </w:rPr>
            </w:pPr>
          </w:p>
        </w:tc>
        <w:tc>
          <w:tcPr>
            <w:tcW w:w="328" w:type="dxa"/>
            <w:tcBorders>
              <w:top w:val="single" w:sz="12" w:space="0" w:color="auto"/>
              <w:bottom w:val="nil"/>
            </w:tcBorders>
            <w:shd w:val="clear" w:color="auto" w:fill="auto"/>
          </w:tcPr>
          <w:p w14:paraId="60387D37" w14:textId="77777777" w:rsidR="00FC3890" w:rsidRPr="00DA4360" w:rsidRDefault="00FC3890" w:rsidP="003F6F1A">
            <w:pPr>
              <w:spacing w:after="0" w:line="240" w:lineRule="auto"/>
              <w:jc w:val="both"/>
              <w:rPr>
                <w:rFonts w:ascii="Arial" w:hAnsi="Arial" w:cs="Arial"/>
                <w:sz w:val="20"/>
                <w:szCs w:val="20"/>
                <w:lang w:val="en-CA"/>
              </w:rPr>
            </w:pPr>
          </w:p>
        </w:tc>
        <w:tc>
          <w:tcPr>
            <w:tcW w:w="1767" w:type="dxa"/>
            <w:tcBorders>
              <w:top w:val="single" w:sz="12" w:space="0" w:color="auto"/>
              <w:bottom w:val="nil"/>
            </w:tcBorders>
            <w:shd w:val="clear" w:color="auto" w:fill="auto"/>
            <w:vAlign w:val="bottom"/>
          </w:tcPr>
          <w:p w14:paraId="72288876" w14:textId="77777777" w:rsidR="00FC3890" w:rsidRPr="00DA4360" w:rsidRDefault="00FC3890" w:rsidP="003F6F1A">
            <w:pPr>
              <w:spacing w:after="0" w:line="240" w:lineRule="auto"/>
              <w:jc w:val="right"/>
              <w:rPr>
                <w:rFonts w:ascii="Arial" w:hAnsi="Arial" w:cs="Arial"/>
                <w:sz w:val="20"/>
                <w:szCs w:val="20"/>
                <w:lang w:val="en-CA"/>
              </w:rPr>
            </w:pPr>
          </w:p>
        </w:tc>
      </w:tr>
      <w:tr w:rsidR="003E0848" w:rsidRPr="00DA4360" w14:paraId="2A4272CA" w14:textId="77777777" w:rsidTr="004A1755">
        <w:tc>
          <w:tcPr>
            <w:tcW w:w="5093" w:type="dxa"/>
            <w:tcBorders>
              <w:top w:val="nil"/>
              <w:bottom w:val="nil"/>
            </w:tcBorders>
            <w:shd w:val="clear" w:color="auto" w:fill="auto"/>
          </w:tcPr>
          <w:p w14:paraId="0578EC9C" w14:textId="77777777" w:rsidR="003052EF" w:rsidRPr="00DA4360" w:rsidRDefault="003052EF" w:rsidP="003F6F1A">
            <w:pPr>
              <w:spacing w:after="0" w:line="240" w:lineRule="auto"/>
              <w:jc w:val="both"/>
              <w:rPr>
                <w:rFonts w:ascii="Arial" w:hAnsi="Arial" w:cs="Arial"/>
                <w:sz w:val="20"/>
                <w:szCs w:val="20"/>
                <w:lang w:val="en-CA"/>
              </w:rPr>
            </w:pPr>
            <w:r w:rsidRPr="00DA4360">
              <w:rPr>
                <w:rFonts w:ascii="Arial" w:hAnsi="Arial" w:cs="Arial"/>
                <w:sz w:val="20"/>
                <w:szCs w:val="20"/>
                <w:lang w:val="en-CA"/>
              </w:rPr>
              <w:t xml:space="preserve">Cash </w:t>
            </w:r>
          </w:p>
        </w:tc>
        <w:tc>
          <w:tcPr>
            <w:tcW w:w="328" w:type="dxa"/>
            <w:tcBorders>
              <w:top w:val="nil"/>
              <w:bottom w:val="nil"/>
            </w:tcBorders>
            <w:shd w:val="clear" w:color="auto" w:fill="auto"/>
          </w:tcPr>
          <w:p w14:paraId="0B19C463" w14:textId="77777777" w:rsidR="003052EF" w:rsidRPr="00DA4360" w:rsidRDefault="003052EF" w:rsidP="003F6F1A">
            <w:pPr>
              <w:spacing w:after="0" w:line="240" w:lineRule="auto"/>
              <w:jc w:val="both"/>
              <w:rPr>
                <w:rFonts w:ascii="Arial" w:hAnsi="Arial" w:cs="Arial"/>
                <w:b/>
                <w:sz w:val="20"/>
                <w:szCs w:val="20"/>
                <w:lang w:val="en-CA"/>
              </w:rPr>
            </w:pPr>
            <w:r w:rsidRPr="00DA4360">
              <w:rPr>
                <w:rFonts w:ascii="Arial" w:hAnsi="Arial" w:cs="Arial"/>
                <w:b/>
                <w:sz w:val="20"/>
                <w:szCs w:val="20"/>
                <w:lang w:val="en-CA"/>
              </w:rPr>
              <w:t>$</w:t>
            </w:r>
          </w:p>
        </w:tc>
        <w:tc>
          <w:tcPr>
            <w:tcW w:w="1832" w:type="dxa"/>
            <w:tcBorders>
              <w:top w:val="nil"/>
              <w:bottom w:val="nil"/>
            </w:tcBorders>
            <w:shd w:val="clear" w:color="auto" w:fill="auto"/>
            <w:vAlign w:val="bottom"/>
          </w:tcPr>
          <w:p w14:paraId="768FC7C7" w14:textId="77777777" w:rsidR="003052EF" w:rsidRPr="00DA4360" w:rsidRDefault="00BD1255" w:rsidP="003F6F1A">
            <w:pPr>
              <w:spacing w:after="0" w:line="240" w:lineRule="auto"/>
              <w:jc w:val="right"/>
              <w:rPr>
                <w:rFonts w:ascii="Arial" w:hAnsi="Arial" w:cs="Arial"/>
                <w:b/>
                <w:sz w:val="20"/>
                <w:szCs w:val="20"/>
                <w:lang w:val="en-CA"/>
              </w:rPr>
            </w:pPr>
            <w:r w:rsidRPr="00DA4360">
              <w:rPr>
                <w:rFonts w:ascii="Arial" w:hAnsi="Arial" w:cs="Arial"/>
                <w:b/>
                <w:bCs/>
                <w:sz w:val="20"/>
                <w:szCs w:val="20"/>
                <w:lang w:val="en-CA"/>
              </w:rPr>
              <w:t>817,168</w:t>
            </w:r>
            <w:r w:rsidR="003052EF" w:rsidRPr="00DA4360">
              <w:rPr>
                <w:rFonts w:ascii="Arial" w:hAnsi="Arial" w:cs="Arial"/>
                <w:b/>
                <w:bCs/>
                <w:sz w:val="20"/>
                <w:szCs w:val="20"/>
                <w:lang w:val="en-CA"/>
              </w:rPr>
              <w:t xml:space="preserve"> </w:t>
            </w:r>
          </w:p>
        </w:tc>
        <w:tc>
          <w:tcPr>
            <w:tcW w:w="328" w:type="dxa"/>
            <w:tcBorders>
              <w:top w:val="nil"/>
              <w:bottom w:val="nil"/>
            </w:tcBorders>
            <w:shd w:val="clear" w:color="auto" w:fill="auto"/>
          </w:tcPr>
          <w:p w14:paraId="04F017E1" w14:textId="77777777" w:rsidR="003052EF" w:rsidRPr="00DA4360" w:rsidRDefault="003052EF" w:rsidP="003F6F1A">
            <w:pPr>
              <w:spacing w:after="0" w:line="240" w:lineRule="auto"/>
              <w:jc w:val="both"/>
              <w:rPr>
                <w:rFonts w:ascii="Arial" w:hAnsi="Arial" w:cs="Arial"/>
                <w:sz w:val="20"/>
                <w:szCs w:val="20"/>
                <w:lang w:val="en-CA"/>
              </w:rPr>
            </w:pPr>
            <w:r w:rsidRPr="00DA4360">
              <w:rPr>
                <w:rFonts w:ascii="Arial" w:hAnsi="Arial" w:cs="Arial"/>
                <w:sz w:val="20"/>
                <w:szCs w:val="20"/>
                <w:lang w:val="en-CA"/>
              </w:rPr>
              <w:t>$</w:t>
            </w:r>
          </w:p>
        </w:tc>
        <w:tc>
          <w:tcPr>
            <w:tcW w:w="1767" w:type="dxa"/>
            <w:tcBorders>
              <w:top w:val="nil"/>
              <w:bottom w:val="nil"/>
            </w:tcBorders>
            <w:shd w:val="clear" w:color="auto" w:fill="auto"/>
            <w:vAlign w:val="bottom"/>
          </w:tcPr>
          <w:p w14:paraId="09D0CC83" w14:textId="77777777" w:rsidR="003052EF" w:rsidRPr="00DA4360" w:rsidRDefault="003052EF" w:rsidP="003F6F1A">
            <w:pPr>
              <w:spacing w:after="0" w:line="240" w:lineRule="auto"/>
              <w:jc w:val="right"/>
              <w:rPr>
                <w:rFonts w:ascii="Arial" w:hAnsi="Arial" w:cs="Arial"/>
                <w:sz w:val="20"/>
                <w:szCs w:val="20"/>
                <w:lang w:val="en-CA"/>
              </w:rPr>
            </w:pPr>
            <w:r w:rsidRPr="00DA4360">
              <w:rPr>
                <w:rFonts w:ascii="Arial" w:hAnsi="Arial" w:cs="Arial"/>
                <w:sz w:val="20"/>
                <w:szCs w:val="20"/>
                <w:lang w:val="en-CA"/>
              </w:rPr>
              <w:t>157,668</w:t>
            </w:r>
          </w:p>
        </w:tc>
      </w:tr>
      <w:tr w:rsidR="003E0848" w:rsidRPr="00DA4360" w14:paraId="20E02676" w14:textId="77777777" w:rsidTr="004A1755">
        <w:tc>
          <w:tcPr>
            <w:tcW w:w="5093" w:type="dxa"/>
            <w:tcBorders>
              <w:top w:val="nil"/>
              <w:bottom w:val="nil"/>
            </w:tcBorders>
            <w:shd w:val="clear" w:color="auto" w:fill="auto"/>
          </w:tcPr>
          <w:p w14:paraId="523A87DF" w14:textId="77777777" w:rsidR="003052EF" w:rsidRPr="00DA4360" w:rsidRDefault="003052EF" w:rsidP="003F6F1A">
            <w:pPr>
              <w:spacing w:after="0" w:line="240" w:lineRule="auto"/>
              <w:jc w:val="both"/>
              <w:rPr>
                <w:rFonts w:ascii="Arial" w:hAnsi="Arial" w:cs="Arial"/>
                <w:sz w:val="20"/>
                <w:szCs w:val="20"/>
                <w:lang w:val="en-CA"/>
              </w:rPr>
            </w:pPr>
            <w:r w:rsidRPr="00DA4360">
              <w:rPr>
                <w:rFonts w:ascii="Arial" w:hAnsi="Arial" w:cs="Arial"/>
                <w:sz w:val="20"/>
                <w:szCs w:val="20"/>
                <w:lang w:val="en-CA"/>
              </w:rPr>
              <w:t>Accounts receivable</w:t>
            </w:r>
          </w:p>
        </w:tc>
        <w:tc>
          <w:tcPr>
            <w:tcW w:w="328" w:type="dxa"/>
            <w:tcBorders>
              <w:top w:val="nil"/>
              <w:bottom w:val="nil"/>
            </w:tcBorders>
            <w:shd w:val="clear" w:color="auto" w:fill="auto"/>
          </w:tcPr>
          <w:p w14:paraId="2A7B63B5" w14:textId="77777777" w:rsidR="003052EF" w:rsidRPr="00DA4360" w:rsidRDefault="003052EF" w:rsidP="003F6F1A">
            <w:pPr>
              <w:spacing w:after="0" w:line="240" w:lineRule="auto"/>
              <w:jc w:val="both"/>
              <w:rPr>
                <w:rFonts w:ascii="Arial" w:hAnsi="Arial" w:cs="Arial"/>
                <w:b/>
                <w:sz w:val="20"/>
                <w:szCs w:val="20"/>
                <w:lang w:val="en-CA"/>
              </w:rPr>
            </w:pPr>
          </w:p>
        </w:tc>
        <w:tc>
          <w:tcPr>
            <w:tcW w:w="1832" w:type="dxa"/>
            <w:tcBorders>
              <w:top w:val="nil"/>
              <w:bottom w:val="nil"/>
            </w:tcBorders>
            <w:shd w:val="clear" w:color="auto" w:fill="auto"/>
            <w:vAlign w:val="bottom"/>
          </w:tcPr>
          <w:p w14:paraId="5AACED98" w14:textId="77777777" w:rsidR="003052EF" w:rsidRPr="00DA4360" w:rsidRDefault="003052EF" w:rsidP="003F6F1A">
            <w:pPr>
              <w:spacing w:after="0" w:line="240" w:lineRule="auto"/>
              <w:jc w:val="right"/>
              <w:rPr>
                <w:rFonts w:ascii="Arial" w:hAnsi="Arial" w:cs="Arial"/>
                <w:b/>
                <w:sz w:val="20"/>
                <w:szCs w:val="20"/>
                <w:lang w:val="en-CA"/>
              </w:rPr>
            </w:pPr>
            <w:r w:rsidRPr="00DA4360">
              <w:rPr>
                <w:rFonts w:ascii="Arial" w:hAnsi="Arial" w:cs="Arial"/>
                <w:b/>
                <w:bCs/>
                <w:sz w:val="20"/>
                <w:szCs w:val="20"/>
                <w:lang w:val="en-CA"/>
              </w:rPr>
              <w:t xml:space="preserve"> 53,939 </w:t>
            </w:r>
          </w:p>
        </w:tc>
        <w:tc>
          <w:tcPr>
            <w:tcW w:w="328" w:type="dxa"/>
            <w:tcBorders>
              <w:top w:val="nil"/>
              <w:bottom w:val="nil"/>
            </w:tcBorders>
            <w:shd w:val="clear" w:color="auto" w:fill="auto"/>
          </w:tcPr>
          <w:p w14:paraId="3723CE11" w14:textId="77777777" w:rsidR="003052EF" w:rsidRPr="00DA4360" w:rsidRDefault="003052EF" w:rsidP="003F6F1A">
            <w:pPr>
              <w:spacing w:after="0" w:line="240" w:lineRule="auto"/>
              <w:jc w:val="both"/>
              <w:rPr>
                <w:rFonts w:ascii="Arial" w:hAnsi="Arial" w:cs="Arial"/>
                <w:sz w:val="20"/>
                <w:szCs w:val="20"/>
                <w:lang w:val="en-CA"/>
              </w:rPr>
            </w:pPr>
          </w:p>
        </w:tc>
        <w:tc>
          <w:tcPr>
            <w:tcW w:w="1767" w:type="dxa"/>
            <w:tcBorders>
              <w:top w:val="nil"/>
              <w:bottom w:val="nil"/>
            </w:tcBorders>
            <w:shd w:val="clear" w:color="auto" w:fill="auto"/>
            <w:vAlign w:val="bottom"/>
          </w:tcPr>
          <w:p w14:paraId="73A52097" w14:textId="77777777" w:rsidR="003052EF" w:rsidRPr="00DA4360" w:rsidRDefault="003052EF" w:rsidP="003F6F1A">
            <w:pPr>
              <w:spacing w:after="0" w:line="240" w:lineRule="auto"/>
              <w:jc w:val="right"/>
              <w:rPr>
                <w:rFonts w:ascii="Arial" w:hAnsi="Arial" w:cs="Arial"/>
                <w:sz w:val="20"/>
                <w:szCs w:val="20"/>
                <w:lang w:val="en-CA"/>
              </w:rPr>
            </w:pPr>
            <w:r w:rsidRPr="00DA4360">
              <w:rPr>
                <w:rFonts w:ascii="Arial" w:hAnsi="Arial" w:cs="Arial"/>
                <w:sz w:val="20"/>
                <w:szCs w:val="20"/>
                <w:lang w:val="en-CA"/>
              </w:rPr>
              <w:t>-</w:t>
            </w:r>
          </w:p>
        </w:tc>
      </w:tr>
      <w:tr w:rsidR="003E0848" w:rsidRPr="00DA4360" w14:paraId="299A1BE1" w14:textId="77777777" w:rsidTr="004A1755">
        <w:tc>
          <w:tcPr>
            <w:tcW w:w="5093" w:type="dxa"/>
            <w:tcBorders>
              <w:top w:val="nil"/>
              <w:bottom w:val="single" w:sz="4" w:space="0" w:color="auto"/>
            </w:tcBorders>
            <w:shd w:val="clear" w:color="auto" w:fill="auto"/>
          </w:tcPr>
          <w:p w14:paraId="52303C08" w14:textId="77777777" w:rsidR="003052EF" w:rsidRPr="00DA4360" w:rsidRDefault="003052EF" w:rsidP="003F6F1A">
            <w:pPr>
              <w:spacing w:after="0" w:line="240" w:lineRule="auto"/>
              <w:jc w:val="both"/>
              <w:rPr>
                <w:rFonts w:ascii="Arial" w:hAnsi="Arial" w:cs="Arial"/>
                <w:sz w:val="20"/>
                <w:szCs w:val="20"/>
                <w:lang w:val="en-CA"/>
              </w:rPr>
            </w:pPr>
            <w:r w:rsidRPr="00DA4360">
              <w:rPr>
                <w:rFonts w:ascii="Arial" w:hAnsi="Arial" w:cs="Arial"/>
                <w:sz w:val="20"/>
                <w:szCs w:val="20"/>
                <w:lang w:val="en-CA"/>
              </w:rPr>
              <w:t>Prepaid expenses</w:t>
            </w:r>
          </w:p>
        </w:tc>
        <w:tc>
          <w:tcPr>
            <w:tcW w:w="328" w:type="dxa"/>
            <w:tcBorders>
              <w:top w:val="nil"/>
              <w:bottom w:val="single" w:sz="4" w:space="0" w:color="auto"/>
            </w:tcBorders>
            <w:shd w:val="clear" w:color="auto" w:fill="auto"/>
          </w:tcPr>
          <w:p w14:paraId="1F7BDD78" w14:textId="77777777" w:rsidR="003052EF" w:rsidRPr="00DA4360" w:rsidRDefault="003052EF" w:rsidP="003F6F1A">
            <w:pPr>
              <w:spacing w:after="0" w:line="240" w:lineRule="auto"/>
              <w:jc w:val="both"/>
              <w:rPr>
                <w:rFonts w:ascii="Arial" w:hAnsi="Arial" w:cs="Arial"/>
                <w:b/>
                <w:sz w:val="20"/>
                <w:szCs w:val="20"/>
                <w:lang w:val="en-CA"/>
              </w:rPr>
            </w:pPr>
          </w:p>
        </w:tc>
        <w:tc>
          <w:tcPr>
            <w:tcW w:w="1832" w:type="dxa"/>
            <w:tcBorders>
              <w:top w:val="nil"/>
              <w:bottom w:val="single" w:sz="4" w:space="0" w:color="auto"/>
            </w:tcBorders>
            <w:shd w:val="clear" w:color="auto" w:fill="auto"/>
            <w:vAlign w:val="bottom"/>
          </w:tcPr>
          <w:p w14:paraId="6DEC00E9" w14:textId="77777777" w:rsidR="003052EF" w:rsidRPr="00DA4360" w:rsidRDefault="003052EF" w:rsidP="003F6F1A">
            <w:pPr>
              <w:spacing w:after="0" w:line="240" w:lineRule="auto"/>
              <w:jc w:val="right"/>
              <w:rPr>
                <w:rFonts w:ascii="Arial" w:hAnsi="Arial" w:cs="Arial"/>
                <w:b/>
                <w:sz w:val="20"/>
                <w:szCs w:val="20"/>
                <w:lang w:val="en-CA"/>
              </w:rPr>
            </w:pPr>
            <w:r w:rsidRPr="00DA4360">
              <w:rPr>
                <w:rFonts w:ascii="Arial" w:hAnsi="Arial" w:cs="Arial"/>
                <w:b/>
                <w:bCs/>
                <w:sz w:val="20"/>
                <w:szCs w:val="20"/>
                <w:lang w:val="en-CA"/>
              </w:rPr>
              <w:t xml:space="preserve"> 1</w:t>
            </w:r>
            <w:r w:rsidR="00D3689F" w:rsidRPr="00DA4360">
              <w:rPr>
                <w:rFonts w:ascii="Arial" w:hAnsi="Arial" w:cs="Arial"/>
                <w:b/>
                <w:bCs/>
                <w:sz w:val="20"/>
                <w:szCs w:val="20"/>
                <w:lang w:val="en-CA"/>
              </w:rPr>
              <w:t>08,786</w:t>
            </w:r>
            <w:r w:rsidRPr="00DA4360">
              <w:rPr>
                <w:rFonts w:ascii="Arial" w:hAnsi="Arial" w:cs="Arial"/>
                <w:b/>
                <w:bCs/>
                <w:sz w:val="20"/>
                <w:szCs w:val="20"/>
                <w:lang w:val="en-CA"/>
              </w:rPr>
              <w:t xml:space="preserve"> </w:t>
            </w:r>
          </w:p>
        </w:tc>
        <w:tc>
          <w:tcPr>
            <w:tcW w:w="328" w:type="dxa"/>
            <w:tcBorders>
              <w:top w:val="nil"/>
              <w:bottom w:val="single" w:sz="4" w:space="0" w:color="auto"/>
            </w:tcBorders>
            <w:shd w:val="clear" w:color="auto" w:fill="auto"/>
          </w:tcPr>
          <w:p w14:paraId="11EBCCF4" w14:textId="77777777" w:rsidR="003052EF" w:rsidRPr="00DA4360" w:rsidRDefault="003052EF" w:rsidP="003F6F1A">
            <w:pPr>
              <w:spacing w:after="0" w:line="240" w:lineRule="auto"/>
              <w:jc w:val="both"/>
              <w:rPr>
                <w:rFonts w:ascii="Arial" w:hAnsi="Arial" w:cs="Arial"/>
                <w:sz w:val="20"/>
                <w:szCs w:val="20"/>
                <w:lang w:val="en-CA"/>
              </w:rPr>
            </w:pPr>
          </w:p>
        </w:tc>
        <w:tc>
          <w:tcPr>
            <w:tcW w:w="1767" w:type="dxa"/>
            <w:tcBorders>
              <w:top w:val="nil"/>
              <w:bottom w:val="single" w:sz="4" w:space="0" w:color="auto"/>
            </w:tcBorders>
            <w:shd w:val="clear" w:color="auto" w:fill="auto"/>
            <w:vAlign w:val="bottom"/>
          </w:tcPr>
          <w:p w14:paraId="1E226C1B" w14:textId="77777777" w:rsidR="003052EF" w:rsidRPr="00DA4360" w:rsidRDefault="003052EF" w:rsidP="003F6F1A">
            <w:pPr>
              <w:spacing w:after="0" w:line="240" w:lineRule="auto"/>
              <w:jc w:val="right"/>
              <w:rPr>
                <w:rFonts w:ascii="Arial" w:hAnsi="Arial" w:cs="Arial"/>
                <w:sz w:val="20"/>
                <w:szCs w:val="20"/>
                <w:lang w:val="en-CA"/>
              </w:rPr>
            </w:pPr>
            <w:r w:rsidRPr="00DA4360">
              <w:rPr>
                <w:rFonts w:ascii="Arial" w:hAnsi="Arial" w:cs="Arial"/>
                <w:sz w:val="20"/>
                <w:szCs w:val="20"/>
                <w:lang w:val="en-CA"/>
              </w:rPr>
              <w:t>29,475</w:t>
            </w:r>
          </w:p>
        </w:tc>
      </w:tr>
      <w:tr w:rsidR="003E0848" w:rsidRPr="00DA4360" w14:paraId="237DCF75" w14:textId="77777777" w:rsidTr="004A1755">
        <w:tc>
          <w:tcPr>
            <w:tcW w:w="5093" w:type="dxa"/>
            <w:tcBorders>
              <w:top w:val="single" w:sz="4" w:space="0" w:color="auto"/>
            </w:tcBorders>
            <w:shd w:val="clear" w:color="auto" w:fill="auto"/>
          </w:tcPr>
          <w:p w14:paraId="182C58F0" w14:textId="77777777" w:rsidR="003052EF" w:rsidRPr="00DA4360" w:rsidRDefault="003052EF" w:rsidP="003F6F1A">
            <w:pPr>
              <w:spacing w:after="0" w:line="240" w:lineRule="auto"/>
              <w:jc w:val="both"/>
              <w:rPr>
                <w:rFonts w:ascii="Arial" w:hAnsi="Arial" w:cs="Arial"/>
                <w:sz w:val="20"/>
                <w:szCs w:val="20"/>
                <w:lang w:val="en-CA"/>
              </w:rPr>
            </w:pPr>
            <w:r w:rsidRPr="00DA4360">
              <w:rPr>
                <w:rFonts w:ascii="Arial" w:hAnsi="Arial" w:cs="Arial"/>
                <w:sz w:val="20"/>
                <w:szCs w:val="20"/>
                <w:lang w:val="en-CA"/>
              </w:rPr>
              <w:t>Total Current Assets</w:t>
            </w:r>
          </w:p>
        </w:tc>
        <w:tc>
          <w:tcPr>
            <w:tcW w:w="328" w:type="dxa"/>
            <w:tcBorders>
              <w:top w:val="single" w:sz="4" w:space="0" w:color="auto"/>
            </w:tcBorders>
            <w:shd w:val="clear" w:color="auto" w:fill="auto"/>
          </w:tcPr>
          <w:p w14:paraId="785CACA0" w14:textId="77777777" w:rsidR="003052EF" w:rsidRPr="00DA4360" w:rsidRDefault="003052EF" w:rsidP="003F6F1A">
            <w:pPr>
              <w:spacing w:after="0" w:line="240" w:lineRule="auto"/>
              <w:jc w:val="both"/>
              <w:rPr>
                <w:rFonts w:ascii="Arial" w:hAnsi="Arial" w:cs="Arial"/>
                <w:b/>
                <w:sz w:val="20"/>
                <w:szCs w:val="20"/>
                <w:lang w:val="en-CA"/>
              </w:rPr>
            </w:pPr>
          </w:p>
        </w:tc>
        <w:tc>
          <w:tcPr>
            <w:tcW w:w="1832" w:type="dxa"/>
            <w:tcBorders>
              <w:top w:val="single" w:sz="4" w:space="0" w:color="auto"/>
            </w:tcBorders>
            <w:shd w:val="clear" w:color="auto" w:fill="auto"/>
            <w:vAlign w:val="bottom"/>
          </w:tcPr>
          <w:p w14:paraId="1657743B" w14:textId="77777777" w:rsidR="003052EF" w:rsidRPr="00DA4360" w:rsidRDefault="003052EF" w:rsidP="003F6F1A">
            <w:pPr>
              <w:spacing w:after="0" w:line="240" w:lineRule="auto"/>
              <w:jc w:val="right"/>
              <w:rPr>
                <w:rFonts w:ascii="Arial" w:hAnsi="Arial" w:cs="Arial"/>
                <w:b/>
                <w:sz w:val="20"/>
                <w:szCs w:val="20"/>
                <w:lang w:val="en-CA"/>
              </w:rPr>
            </w:pPr>
            <w:r w:rsidRPr="00DA4360">
              <w:rPr>
                <w:rFonts w:ascii="Arial" w:hAnsi="Arial" w:cs="Arial"/>
                <w:b/>
                <w:bCs/>
                <w:sz w:val="20"/>
                <w:szCs w:val="20"/>
                <w:lang w:val="en-CA"/>
              </w:rPr>
              <w:t xml:space="preserve"> </w:t>
            </w:r>
            <w:r w:rsidR="00BD1255" w:rsidRPr="00DA4360">
              <w:rPr>
                <w:rFonts w:ascii="Arial" w:hAnsi="Arial" w:cs="Arial"/>
                <w:b/>
                <w:bCs/>
                <w:sz w:val="20"/>
                <w:szCs w:val="20"/>
                <w:lang w:val="en-CA"/>
              </w:rPr>
              <w:t>9</w:t>
            </w:r>
            <w:r w:rsidR="00D3689F" w:rsidRPr="00DA4360">
              <w:rPr>
                <w:rFonts w:ascii="Arial" w:hAnsi="Arial" w:cs="Arial"/>
                <w:b/>
                <w:bCs/>
                <w:sz w:val="20"/>
                <w:szCs w:val="20"/>
                <w:lang w:val="en-CA"/>
              </w:rPr>
              <w:t>79,893</w:t>
            </w:r>
            <w:r w:rsidRPr="00DA4360">
              <w:rPr>
                <w:rFonts w:ascii="Arial" w:hAnsi="Arial" w:cs="Arial"/>
                <w:b/>
                <w:bCs/>
                <w:sz w:val="20"/>
                <w:szCs w:val="20"/>
                <w:lang w:val="en-CA"/>
              </w:rPr>
              <w:t xml:space="preserve"> </w:t>
            </w:r>
          </w:p>
        </w:tc>
        <w:tc>
          <w:tcPr>
            <w:tcW w:w="328" w:type="dxa"/>
            <w:tcBorders>
              <w:top w:val="single" w:sz="4" w:space="0" w:color="auto"/>
            </w:tcBorders>
            <w:shd w:val="clear" w:color="auto" w:fill="auto"/>
          </w:tcPr>
          <w:p w14:paraId="3412C9E2" w14:textId="77777777" w:rsidR="003052EF" w:rsidRPr="00DA4360" w:rsidRDefault="003052EF" w:rsidP="003F6F1A">
            <w:pPr>
              <w:spacing w:after="0" w:line="240" w:lineRule="auto"/>
              <w:jc w:val="both"/>
              <w:rPr>
                <w:rFonts w:ascii="Arial" w:hAnsi="Arial" w:cs="Arial"/>
                <w:sz w:val="20"/>
                <w:szCs w:val="20"/>
                <w:lang w:val="en-CA"/>
              </w:rPr>
            </w:pPr>
          </w:p>
        </w:tc>
        <w:tc>
          <w:tcPr>
            <w:tcW w:w="1767" w:type="dxa"/>
            <w:tcBorders>
              <w:top w:val="single" w:sz="4" w:space="0" w:color="auto"/>
            </w:tcBorders>
            <w:shd w:val="clear" w:color="auto" w:fill="auto"/>
            <w:vAlign w:val="bottom"/>
          </w:tcPr>
          <w:p w14:paraId="4FD7C3C2" w14:textId="77777777" w:rsidR="003052EF" w:rsidRPr="00DA4360" w:rsidRDefault="003052EF" w:rsidP="003F6F1A">
            <w:pPr>
              <w:spacing w:after="0" w:line="240" w:lineRule="auto"/>
              <w:jc w:val="right"/>
              <w:rPr>
                <w:rFonts w:ascii="Arial" w:hAnsi="Arial" w:cs="Arial"/>
                <w:sz w:val="20"/>
                <w:szCs w:val="20"/>
                <w:lang w:val="en-CA"/>
              </w:rPr>
            </w:pPr>
            <w:r w:rsidRPr="00DA4360">
              <w:rPr>
                <w:rFonts w:ascii="Arial" w:hAnsi="Arial" w:cs="Arial"/>
                <w:sz w:val="20"/>
                <w:szCs w:val="20"/>
                <w:lang w:val="en-CA"/>
              </w:rPr>
              <w:t>187,143</w:t>
            </w:r>
          </w:p>
        </w:tc>
      </w:tr>
      <w:tr w:rsidR="003E0848" w:rsidRPr="00DA4360" w14:paraId="3A03842E" w14:textId="77777777" w:rsidTr="004A1755">
        <w:tc>
          <w:tcPr>
            <w:tcW w:w="5093" w:type="dxa"/>
            <w:tcBorders>
              <w:bottom w:val="nil"/>
            </w:tcBorders>
            <w:shd w:val="clear" w:color="auto" w:fill="auto"/>
          </w:tcPr>
          <w:p w14:paraId="2C8C7726" w14:textId="77777777" w:rsidR="003C5740" w:rsidRPr="00DA4360" w:rsidRDefault="003C5740" w:rsidP="003F6F1A">
            <w:pPr>
              <w:spacing w:after="0" w:line="240" w:lineRule="auto"/>
              <w:jc w:val="both"/>
              <w:rPr>
                <w:rFonts w:ascii="Arial" w:hAnsi="Arial" w:cs="Arial"/>
                <w:sz w:val="20"/>
                <w:szCs w:val="20"/>
                <w:lang w:val="en-CA"/>
              </w:rPr>
            </w:pPr>
          </w:p>
        </w:tc>
        <w:tc>
          <w:tcPr>
            <w:tcW w:w="328" w:type="dxa"/>
            <w:tcBorders>
              <w:bottom w:val="nil"/>
            </w:tcBorders>
            <w:shd w:val="clear" w:color="auto" w:fill="auto"/>
          </w:tcPr>
          <w:p w14:paraId="23C3B6C3" w14:textId="77777777" w:rsidR="003C5740" w:rsidRPr="00DA4360" w:rsidRDefault="003C5740" w:rsidP="003F6F1A">
            <w:pPr>
              <w:spacing w:after="0" w:line="240" w:lineRule="auto"/>
              <w:jc w:val="both"/>
              <w:rPr>
                <w:rFonts w:ascii="Arial" w:hAnsi="Arial" w:cs="Arial"/>
                <w:b/>
                <w:sz w:val="20"/>
                <w:szCs w:val="20"/>
                <w:lang w:val="en-CA"/>
              </w:rPr>
            </w:pPr>
          </w:p>
        </w:tc>
        <w:tc>
          <w:tcPr>
            <w:tcW w:w="1832" w:type="dxa"/>
            <w:tcBorders>
              <w:bottom w:val="nil"/>
            </w:tcBorders>
            <w:shd w:val="clear" w:color="auto" w:fill="auto"/>
            <w:vAlign w:val="bottom"/>
          </w:tcPr>
          <w:p w14:paraId="26471508" w14:textId="77777777" w:rsidR="003C5740" w:rsidRPr="00DA4360" w:rsidRDefault="003C5740" w:rsidP="003F6F1A">
            <w:pPr>
              <w:spacing w:after="0" w:line="240" w:lineRule="auto"/>
              <w:jc w:val="right"/>
              <w:rPr>
                <w:rFonts w:ascii="Arial" w:hAnsi="Arial" w:cs="Arial"/>
                <w:b/>
                <w:sz w:val="20"/>
                <w:szCs w:val="20"/>
                <w:lang w:val="en-CA"/>
              </w:rPr>
            </w:pPr>
          </w:p>
        </w:tc>
        <w:tc>
          <w:tcPr>
            <w:tcW w:w="328" w:type="dxa"/>
            <w:tcBorders>
              <w:bottom w:val="nil"/>
            </w:tcBorders>
            <w:shd w:val="clear" w:color="auto" w:fill="auto"/>
          </w:tcPr>
          <w:p w14:paraId="0FFEA49B" w14:textId="77777777" w:rsidR="003C5740" w:rsidRPr="00DA4360" w:rsidRDefault="003C5740" w:rsidP="003F6F1A">
            <w:pPr>
              <w:spacing w:after="0" w:line="240" w:lineRule="auto"/>
              <w:jc w:val="both"/>
              <w:rPr>
                <w:rFonts w:ascii="Arial" w:hAnsi="Arial" w:cs="Arial"/>
                <w:sz w:val="20"/>
                <w:szCs w:val="20"/>
                <w:lang w:val="en-CA"/>
              </w:rPr>
            </w:pPr>
          </w:p>
        </w:tc>
        <w:tc>
          <w:tcPr>
            <w:tcW w:w="1767" w:type="dxa"/>
            <w:tcBorders>
              <w:bottom w:val="nil"/>
            </w:tcBorders>
            <w:shd w:val="clear" w:color="auto" w:fill="auto"/>
            <w:vAlign w:val="bottom"/>
          </w:tcPr>
          <w:p w14:paraId="36FD99D6" w14:textId="77777777" w:rsidR="003C5740" w:rsidRPr="00DA4360" w:rsidRDefault="003C5740" w:rsidP="003F6F1A">
            <w:pPr>
              <w:spacing w:after="0" w:line="240" w:lineRule="auto"/>
              <w:jc w:val="right"/>
              <w:rPr>
                <w:rFonts w:ascii="Arial" w:hAnsi="Arial" w:cs="Arial"/>
                <w:sz w:val="20"/>
                <w:szCs w:val="20"/>
                <w:lang w:val="en-CA"/>
              </w:rPr>
            </w:pPr>
          </w:p>
        </w:tc>
      </w:tr>
      <w:tr w:rsidR="003E0848" w:rsidRPr="00DA4360" w14:paraId="4BF0AE5C" w14:textId="77777777" w:rsidTr="004A1755">
        <w:tc>
          <w:tcPr>
            <w:tcW w:w="5093" w:type="dxa"/>
            <w:tcBorders>
              <w:top w:val="nil"/>
              <w:bottom w:val="nil"/>
            </w:tcBorders>
            <w:shd w:val="clear" w:color="auto" w:fill="auto"/>
          </w:tcPr>
          <w:p w14:paraId="33F29F98" w14:textId="77777777" w:rsidR="003052EF" w:rsidRPr="00DA4360" w:rsidRDefault="003052EF" w:rsidP="003F6F1A">
            <w:pPr>
              <w:spacing w:after="0" w:line="240" w:lineRule="auto"/>
              <w:jc w:val="both"/>
              <w:rPr>
                <w:rFonts w:ascii="Arial" w:hAnsi="Arial" w:cs="Arial"/>
                <w:sz w:val="20"/>
                <w:szCs w:val="20"/>
                <w:lang w:val="en-CA"/>
              </w:rPr>
            </w:pPr>
            <w:r w:rsidRPr="00DA4360">
              <w:rPr>
                <w:rFonts w:ascii="Arial" w:hAnsi="Arial" w:cs="Arial"/>
                <w:sz w:val="20"/>
                <w:szCs w:val="20"/>
                <w:lang w:val="en-CA"/>
              </w:rPr>
              <w:t>Accounts payable and accrued liabilities</w:t>
            </w:r>
          </w:p>
        </w:tc>
        <w:tc>
          <w:tcPr>
            <w:tcW w:w="328" w:type="dxa"/>
            <w:tcBorders>
              <w:top w:val="nil"/>
              <w:bottom w:val="nil"/>
            </w:tcBorders>
            <w:shd w:val="clear" w:color="auto" w:fill="auto"/>
          </w:tcPr>
          <w:p w14:paraId="7DE15D9C" w14:textId="77777777" w:rsidR="003052EF" w:rsidRPr="00DA4360" w:rsidRDefault="003052EF" w:rsidP="003F6F1A">
            <w:pPr>
              <w:spacing w:after="0" w:line="240" w:lineRule="auto"/>
              <w:jc w:val="both"/>
              <w:rPr>
                <w:rFonts w:ascii="Arial" w:hAnsi="Arial" w:cs="Arial"/>
                <w:b/>
                <w:sz w:val="20"/>
                <w:szCs w:val="20"/>
                <w:lang w:val="en-CA"/>
              </w:rPr>
            </w:pPr>
          </w:p>
        </w:tc>
        <w:tc>
          <w:tcPr>
            <w:tcW w:w="1832" w:type="dxa"/>
            <w:tcBorders>
              <w:top w:val="nil"/>
              <w:bottom w:val="nil"/>
            </w:tcBorders>
            <w:shd w:val="clear" w:color="auto" w:fill="auto"/>
            <w:vAlign w:val="bottom"/>
          </w:tcPr>
          <w:p w14:paraId="49D1303E" w14:textId="77777777" w:rsidR="003052EF" w:rsidRPr="00DA4360" w:rsidRDefault="003052EF" w:rsidP="003F6F1A">
            <w:pPr>
              <w:spacing w:after="0" w:line="240" w:lineRule="auto"/>
              <w:jc w:val="right"/>
              <w:rPr>
                <w:rFonts w:ascii="Arial" w:hAnsi="Arial" w:cs="Arial"/>
                <w:b/>
                <w:sz w:val="20"/>
                <w:szCs w:val="20"/>
                <w:lang w:val="en-CA"/>
              </w:rPr>
            </w:pPr>
            <w:r w:rsidRPr="00DA4360">
              <w:rPr>
                <w:rFonts w:ascii="Arial" w:hAnsi="Arial" w:cs="Arial"/>
                <w:b/>
                <w:bCs/>
                <w:sz w:val="20"/>
                <w:szCs w:val="20"/>
                <w:lang w:val="en-CA"/>
              </w:rPr>
              <w:t xml:space="preserve"> 1,330,819 </w:t>
            </w:r>
          </w:p>
        </w:tc>
        <w:tc>
          <w:tcPr>
            <w:tcW w:w="328" w:type="dxa"/>
            <w:tcBorders>
              <w:top w:val="nil"/>
              <w:bottom w:val="nil"/>
            </w:tcBorders>
            <w:shd w:val="clear" w:color="auto" w:fill="auto"/>
          </w:tcPr>
          <w:p w14:paraId="79349D0D" w14:textId="77777777" w:rsidR="003052EF" w:rsidRPr="00DA4360" w:rsidRDefault="003052EF" w:rsidP="003F6F1A">
            <w:pPr>
              <w:spacing w:after="0" w:line="240" w:lineRule="auto"/>
              <w:jc w:val="both"/>
              <w:rPr>
                <w:rFonts w:ascii="Arial" w:hAnsi="Arial" w:cs="Arial"/>
                <w:sz w:val="20"/>
                <w:szCs w:val="20"/>
                <w:lang w:val="en-CA"/>
              </w:rPr>
            </w:pPr>
          </w:p>
        </w:tc>
        <w:tc>
          <w:tcPr>
            <w:tcW w:w="1767" w:type="dxa"/>
            <w:tcBorders>
              <w:top w:val="nil"/>
              <w:bottom w:val="nil"/>
            </w:tcBorders>
            <w:shd w:val="clear" w:color="auto" w:fill="auto"/>
            <w:vAlign w:val="bottom"/>
          </w:tcPr>
          <w:p w14:paraId="7279F674" w14:textId="77777777" w:rsidR="003052EF" w:rsidRPr="00DA4360" w:rsidRDefault="003052EF" w:rsidP="003F6F1A">
            <w:pPr>
              <w:spacing w:after="0" w:line="240" w:lineRule="auto"/>
              <w:jc w:val="right"/>
              <w:rPr>
                <w:rFonts w:ascii="Arial" w:hAnsi="Arial" w:cs="Arial"/>
                <w:bCs/>
                <w:sz w:val="20"/>
                <w:szCs w:val="20"/>
                <w:lang w:val="en-CA"/>
              </w:rPr>
            </w:pPr>
            <w:r w:rsidRPr="00DA4360">
              <w:rPr>
                <w:rFonts w:ascii="Arial" w:hAnsi="Arial" w:cs="Arial"/>
                <w:bCs/>
                <w:sz w:val="20"/>
                <w:szCs w:val="20"/>
                <w:lang w:val="en-CA"/>
              </w:rPr>
              <w:t>1,554,892</w:t>
            </w:r>
          </w:p>
        </w:tc>
      </w:tr>
      <w:tr w:rsidR="003E0848" w:rsidRPr="00DA4360" w14:paraId="2BE00F15" w14:textId="77777777" w:rsidTr="004A1755">
        <w:tc>
          <w:tcPr>
            <w:tcW w:w="5093" w:type="dxa"/>
            <w:tcBorders>
              <w:top w:val="nil"/>
              <w:bottom w:val="nil"/>
            </w:tcBorders>
            <w:shd w:val="clear" w:color="auto" w:fill="auto"/>
          </w:tcPr>
          <w:p w14:paraId="6B5DE0C0" w14:textId="77777777" w:rsidR="003052EF" w:rsidRPr="00DA4360" w:rsidRDefault="003052EF" w:rsidP="003F6F1A">
            <w:pPr>
              <w:spacing w:after="0" w:line="240" w:lineRule="auto"/>
              <w:jc w:val="both"/>
              <w:rPr>
                <w:rFonts w:ascii="Arial" w:hAnsi="Arial" w:cs="Arial"/>
                <w:sz w:val="20"/>
                <w:szCs w:val="20"/>
                <w:lang w:val="en-CA"/>
              </w:rPr>
            </w:pPr>
            <w:r w:rsidRPr="00DA4360">
              <w:rPr>
                <w:rFonts w:ascii="Arial" w:hAnsi="Arial" w:cs="Arial"/>
                <w:sz w:val="20"/>
                <w:szCs w:val="20"/>
                <w:lang w:val="en-CA"/>
              </w:rPr>
              <w:t>Share subscriptions</w:t>
            </w:r>
          </w:p>
        </w:tc>
        <w:tc>
          <w:tcPr>
            <w:tcW w:w="328" w:type="dxa"/>
            <w:tcBorders>
              <w:top w:val="nil"/>
              <w:bottom w:val="nil"/>
            </w:tcBorders>
            <w:shd w:val="clear" w:color="auto" w:fill="auto"/>
          </w:tcPr>
          <w:p w14:paraId="0B842415" w14:textId="77777777" w:rsidR="003052EF" w:rsidRPr="00DA4360" w:rsidRDefault="003052EF" w:rsidP="003F6F1A">
            <w:pPr>
              <w:spacing w:after="0" w:line="240" w:lineRule="auto"/>
              <w:jc w:val="both"/>
              <w:rPr>
                <w:rFonts w:ascii="Arial" w:hAnsi="Arial" w:cs="Arial"/>
                <w:b/>
                <w:sz w:val="20"/>
                <w:szCs w:val="20"/>
                <w:lang w:val="en-CA"/>
              </w:rPr>
            </w:pPr>
          </w:p>
        </w:tc>
        <w:tc>
          <w:tcPr>
            <w:tcW w:w="1832" w:type="dxa"/>
            <w:tcBorders>
              <w:top w:val="nil"/>
              <w:bottom w:val="nil"/>
            </w:tcBorders>
            <w:shd w:val="clear" w:color="auto" w:fill="auto"/>
            <w:vAlign w:val="bottom"/>
          </w:tcPr>
          <w:p w14:paraId="6768F6B2" w14:textId="77777777" w:rsidR="003052EF" w:rsidRPr="00DA4360" w:rsidRDefault="003052EF" w:rsidP="003F6F1A">
            <w:pPr>
              <w:spacing w:after="0" w:line="240" w:lineRule="auto"/>
              <w:jc w:val="right"/>
              <w:rPr>
                <w:rFonts w:ascii="Arial" w:hAnsi="Arial" w:cs="Arial"/>
                <w:b/>
                <w:sz w:val="20"/>
                <w:szCs w:val="20"/>
                <w:lang w:val="en-CA"/>
              </w:rPr>
            </w:pPr>
            <w:r w:rsidRPr="00DA4360">
              <w:rPr>
                <w:rFonts w:ascii="Arial" w:hAnsi="Arial" w:cs="Arial"/>
                <w:b/>
                <w:bCs/>
                <w:sz w:val="20"/>
                <w:szCs w:val="20"/>
                <w:lang w:val="en-CA"/>
              </w:rPr>
              <w:t xml:space="preserve"> -   </w:t>
            </w:r>
          </w:p>
        </w:tc>
        <w:tc>
          <w:tcPr>
            <w:tcW w:w="328" w:type="dxa"/>
            <w:tcBorders>
              <w:top w:val="nil"/>
              <w:bottom w:val="nil"/>
            </w:tcBorders>
            <w:shd w:val="clear" w:color="auto" w:fill="auto"/>
          </w:tcPr>
          <w:p w14:paraId="40CCE5ED" w14:textId="77777777" w:rsidR="003052EF" w:rsidRPr="00DA4360" w:rsidRDefault="003052EF" w:rsidP="003F6F1A">
            <w:pPr>
              <w:spacing w:after="0" w:line="240" w:lineRule="auto"/>
              <w:jc w:val="both"/>
              <w:rPr>
                <w:rFonts w:ascii="Arial" w:hAnsi="Arial" w:cs="Arial"/>
                <w:sz w:val="20"/>
                <w:szCs w:val="20"/>
                <w:lang w:val="en-CA"/>
              </w:rPr>
            </w:pPr>
          </w:p>
        </w:tc>
        <w:tc>
          <w:tcPr>
            <w:tcW w:w="1767" w:type="dxa"/>
            <w:tcBorders>
              <w:top w:val="nil"/>
              <w:bottom w:val="nil"/>
            </w:tcBorders>
            <w:shd w:val="clear" w:color="auto" w:fill="auto"/>
            <w:vAlign w:val="bottom"/>
          </w:tcPr>
          <w:p w14:paraId="0F9D9815" w14:textId="77777777" w:rsidR="003052EF" w:rsidRPr="00DA4360" w:rsidRDefault="003052EF" w:rsidP="003F6F1A">
            <w:pPr>
              <w:spacing w:after="0" w:line="240" w:lineRule="auto"/>
              <w:jc w:val="right"/>
              <w:rPr>
                <w:rFonts w:ascii="Arial" w:hAnsi="Arial" w:cs="Arial"/>
                <w:bCs/>
                <w:sz w:val="20"/>
                <w:szCs w:val="20"/>
                <w:lang w:val="en-CA"/>
              </w:rPr>
            </w:pPr>
            <w:r w:rsidRPr="00DA4360">
              <w:rPr>
                <w:rFonts w:ascii="Arial" w:hAnsi="Arial" w:cs="Arial"/>
                <w:bCs/>
                <w:sz w:val="20"/>
                <w:szCs w:val="20"/>
                <w:lang w:val="en-CA"/>
              </w:rPr>
              <w:t>61,167</w:t>
            </w:r>
          </w:p>
        </w:tc>
      </w:tr>
      <w:tr w:rsidR="003E0848" w:rsidRPr="00DA4360" w14:paraId="6E715FB6" w14:textId="77777777" w:rsidTr="004A1755">
        <w:tc>
          <w:tcPr>
            <w:tcW w:w="5093" w:type="dxa"/>
            <w:tcBorders>
              <w:top w:val="nil"/>
              <w:bottom w:val="nil"/>
            </w:tcBorders>
            <w:shd w:val="clear" w:color="auto" w:fill="auto"/>
          </w:tcPr>
          <w:p w14:paraId="4DAF6DF9" w14:textId="77777777" w:rsidR="003052EF" w:rsidRPr="00DA4360" w:rsidRDefault="003052EF" w:rsidP="003F6F1A">
            <w:pPr>
              <w:spacing w:after="0" w:line="240" w:lineRule="auto"/>
              <w:jc w:val="both"/>
              <w:rPr>
                <w:rFonts w:ascii="Arial" w:hAnsi="Arial" w:cs="Arial"/>
                <w:sz w:val="20"/>
                <w:szCs w:val="20"/>
                <w:lang w:val="en-CA"/>
              </w:rPr>
            </w:pPr>
            <w:r w:rsidRPr="00DA4360">
              <w:rPr>
                <w:rFonts w:ascii="Arial" w:hAnsi="Arial" w:cs="Arial"/>
                <w:sz w:val="20"/>
                <w:szCs w:val="20"/>
                <w:lang w:val="en-CA"/>
              </w:rPr>
              <w:t>Notes payable</w:t>
            </w:r>
          </w:p>
        </w:tc>
        <w:tc>
          <w:tcPr>
            <w:tcW w:w="328" w:type="dxa"/>
            <w:tcBorders>
              <w:top w:val="nil"/>
              <w:bottom w:val="nil"/>
            </w:tcBorders>
            <w:shd w:val="clear" w:color="auto" w:fill="auto"/>
          </w:tcPr>
          <w:p w14:paraId="5E1ABF06" w14:textId="77777777" w:rsidR="003052EF" w:rsidRPr="00DA4360" w:rsidRDefault="003052EF" w:rsidP="003F6F1A">
            <w:pPr>
              <w:spacing w:after="0" w:line="240" w:lineRule="auto"/>
              <w:jc w:val="both"/>
              <w:rPr>
                <w:rFonts w:ascii="Arial" w:hAnsi="Arial" w:cs="Arial"/>
                <w:b/>
                <w:sz w:val="20"/>
                <w:szCs w:val="20"/>
                <w:lang w:val="en-CA"/>
              </w:rPr>
            </w:pPr>
          </w:p>
        </w:tc>
        <w:tc>
          <w:tcPr>
            <w:tcW w:w="1832" w:type="dxa"/>
            <w:tcBorders>
              <w:top w:val="nil"/>
              <w:bottom w:val="nil"/>
            </w:tcBorders>
            <w:shd w:val="clear" w:color="auto" w:fill="auto"/>
            <w:vAlign w:val="bottom"/>
          </w:tcPr>
          <w:p w14:paraId="431F33A7" w14:textId="77777777" w:rsidR="003052EF" w:rsidRPr="00DA4360" w:rsidRDefault="003052EF" w:rsidP="003F6F1A">
            <w:pPr>
              <w:spacing w:after="0" w:line="240" w:lineRule="auto"/>
              <w:jc w:val="right"/>
              <w:rPr>
                <w:rFonts w:ascii="Arial" w:hAnsi="Arial" w:cs="Arial"/>
                <w:b/>
                <w:sz w:val="20"/>
                <w:szCs w:val="20"/>
                <w:lang w:val="en-CA"/>
              </w:rPr>
            </w:pPr>
            <w:r w:rsidRPr="00DA4360">
              <w:rPr>
                <w:rFonts w:ascii="Arial" w:hAnsi="Arial" w:cs="Arial"/>
                <w:b/>
                <w:bCs/>
                <w:sz w:val="20"/>
                <w:szCs w:val="20"/>
                <w:lang w:val="en-CA"/>
              </w:rPr>
              <w:t xml:space="preserve"> 749,103 </w:t>
            </w:r>
          </w:p>
        </w:tc>
        <w:tc>
          <w:tcPr>
            <w:tcW w:w="328" w:type="dxa"/>
            <w:tcBorders>
              <w:top w:val="nil"/>
              <w:bottom w:val="nil"/>
            </w:tcBorders>
            <w:shd w:val="clear" w:color="auto" w:fill="auto"/>
          </w:tcPr>
          <w:p w14:paraId="1F0D6BC8" w14:textId="77777777" w:rsidR="003052EF" w:rsidRPr="00DA4360" w:rsidRDefault="003052EF" w:rsidP="003F6F1A">
            <w:pPr>
              <w:spacing w:after="0" w:line="240" w:lineRule="auto"/>
              <w:jc w:val="both"/>
              <w:rPr>
                <w:rFonts w:ascii="Arial" w:hAnsi="Arial" w:cs="Arial"/>
                <w:sz w:val="20"/>
                <w:szCs w:val="20"/>
                <w:lang w:val="en-CA"/>
              </w:rPr>
            </w:pPr>
          </w:p>
        </w:tc>
        <w:tc>
          <w:tcPr>
            <w:tcW w:w="1767" w:type="dxa"/>
            <w:tcBorders>
              <w:top w:val="nil"/>
              <w:bottom w:val="nil"/>
            </w:tcBorders>
            <w:shd w:val="clear" w:color="auto" w:fill="auto"/>
            <w:vAlign w:val="bottom"/>
          </w:tcPr>
          <w:p w14:paraId="60EC9086" w14:textId="77777777" w:rsidR="003052EF" w:rsidRPr="00DA4360" w:rsidRDefault="003052EF" w:rsidP="003F6F1A">
            <w:pPr>
              <w:spacing w:after="0" w:line="240" w:lineRule="auto"/>
              <w:jc w:val="right"/>
              <w:rPr>
                <w:rFonts w:ascii="Arial" w:hAnsi="Arial" w:cs="Arial"/>
                <w:bCs/>
                <w:sz w:val="20"/>
                <w:szCs w:val="20"/>
                <w:lang w:val="en-CA"/>
              </w:rPr>
            </w:pPr>
            <w:r w:rsidRPr="00DA4360">
              <w:rPr>
                <w:rFonts w:ascii="Arial" w:hAnsi="Arial" w:cs="Arial"/>
                <w:bCs/>
                <w:sz w:val="20"/>
                <w:szCs w:val="20"/>
                <w:lang w:val="en-CA"/>
              </w:rPr>
              <w:t>610,444</w:t>
            </w:r>
          </w:p>
        </w:tc>
      </w:tr>
      <w:tr w:rsidR="003E0848" w:rsidRPr="00DA4360" w14:paraId="72536EE5" w14:textId="77777777" w:rsidTr="004A1755">
        <w:tc>
          <w:tcPr>
            <w:tcW w:w="5093" w:type="dxa"/>
            <w:tcBorders>
              <w:top w:val="nil"/>
              <w:bottom w:val="nil"/>
            </w:tcBorders>
            <w:shd w:val="clear" w:color="auto" w:fill="auto"/>
          </w:tcPr>
          <w:p w14:paraId="0E71ACB3" w14:textId="77777777" w:rsidR="003052EF" w:rsidRPr="00DA4360" w:rsidRDefault="003052EF" w:rsidP="003F6F1A">
            <w:pPr>
              <w:spacing w:after="0" w:line="240" w:lineRule="auto"/>
              <w:jc w:val="both"/>
              <w:rPr>
                <w:rFonts w:ascii="Arial" w:hAnsi="Arial" w:cs="Arial"/>
                <w:sz w:val="20"/>
                <w:szCs w:val="20"/>
                <w:lang w:val="en-CA"/>
              </w:rPr>
            </w:pPr>
            <w:r w:rsidRPr="00DA4360">
              <w:rPr>
                <w:rFonts w:ascii="Arial" w:hAnsi="Arial" w:cs="Arial"/>
                <w:sz w:val="20"/>
                <w:szCs w:val="20"/>
                <w:lang w:val="en-CA"/>
              </w:rPr>
              <w:t>Due to related parties</w:t>
            </w:r>
          </w:p>
        </w:tc>
        <w:tc>
          <w:tcPr>
            <w:tcW w:w="328" w:type="dxa"/>
            <w:tcBorders>
              <w:top w:val="nil"/>
              <w:bottom w:val="nil"/>
            </w:tcBorders>
            <w:shd w:val="clear" w:color="auto" w:fill="auto"/>
          </w:tcPr>
          <w:p w14:paraId="39FB11F0" w14:textId="77777777" w:rsidR="003052EF" w:rsidRPr="00DA4360" w:rsidRDefault="003052EF" w:rsidP="003F6F1A">
            <w:pPr>
              <w:spacing w:after="0" w:line="240" w:lineRule="auto"/>
              <w:jc w:val="both"/>
              <w:rPr>
                <w:rFonts w:ascii="Arial" w:hAnsi="Arial" w:cs="Arial"/>
                <w:b/>
                <w:sz w:val="20"/>
                <w:szCs w:val="20"/>
                <w:lang w:val="en-CA"/>
              </w:rPr>
            </w:pPr>
          </w:p>
        </w:tc>
        <w:tc>
          <w:tcPr>
            <w:tcW w:w="1832" w:type="dxa"/>
            <w:tcBorders>
              <w:top w:val="nil"/>
              <w:bottom w:val="nil"/>
            </w:tcBorders>
            <w:shd w:val="clear" w:color="auto" w:fill="auto"/>
            <w:vAlign w:val="bottom"/>
          </w:tcPr>
          <w:p w14:paraId="6FEC05E4" w14:textId="77777777" w:rsidR="003052EF" w:rsidRPr="00DA4360" w:rsidRDefault="003052EF" w:rsidP="003F6F1A">
            <w:pPr>
              <w:spacing w:after="0" w:line="240" w:lineRule="auto"/>
              <w:jc w:val="right"/>
              <w:rPr>
                <w:rFonts w:ascii="Arial" w:hAnsi="Arial" w:cs="Arial"/>
                <w:b/>
                <w:sz w:val="20"/>
                <w:szCs w:val="20"/>
                <w:lang w:val="en-CA"/>
              </w:rPr>
            </w:pPr>
            <w:r w:rsidRPr="00DA4360">
              <w:rPr>
                <w:rFonts w:ascii="Arial" w:hAnsi="Arial" w:cs="Arial"/>
                <w:b/>
                <w:bCs/>
                <w:sz w:val="20"/>
                <w:szCs w:val="20"/>
                <w:lang w:val="en-CA"/>
              </w:rPr>
              <w:t xml:space="preserve"> 12,575 </w:t>
            </w:r>
          </w:p>
        </w:tc>
        <w:tc>
          <w:tcPr>
            <w:tcW w:w="328" w:type="dxa"/>
            <w:tcBorders>
              <w:top w:val="nil"/>
              <w:bottom w:val="nil"/>
            </w:tcBorders>
            <w:shd w:val="clear" w:color="auto" w:fill="auto"/>
          </w:tcPr>
          <w:p w14:paraId="4CAAF6A3" w14:textId="77777777" w:rsidR="003052EF" w:rsidRPr="00DA4360" w:rsidRDefault="003052EF" w:rsidP="003F6F1A">
            <w:pPr>
              <w:spacing w:after="0" w:line="240" w:lineRule="auto"/>
              <w:jc w:val="both"/>
              <w:rPr>
                <w:rFonts w:ascii="Arial" w:hAnsi="Arial" w:cs="Arial"/>
                <w:sz w:val="20"/>
                <w:szCs w:val="20"/>
                <w:lang w:val="en-CA"/>
              </w:rPr>
            </w:pPr>
          </w:p>
        </w:tc>
        <w:tc>
          <w:tcPr>
            <w:tcW w:w="1767" w:type="dxa"/>
            <w:tcBorders>
              <w:top w:val="nil"/>
              <w:bottom w:val="nil"/>
            </w:tcBorders>
            <w:shd w:val="clear" w:color="auto" w:fill="auto"/>
            <w:vAlign w:val="bottom"/>
          </w:tcPr>
          <w:p w14:paraId="55C499F7" w14:textId="77777777" w:rsidR="003052EF" w:rsidRPr="00DA4360" w:rsidRDefault="003052EF" w:rsidP="003F6F1A">
            <w:pPr>
              <w:spacing w:after="0" w:line="240" w:lineRule="auto"/>
              <w:jc w:val="right"/>
              <w:rPr>
                <w:rFonts w:ascii="Arial" w:hAnsi="Arial" w:cs="Arial"/>
                <w:bCs/>
                <w:sz w:val="20"/>
                <w:szCs w:val="20"/>
                <w:lang w:val="en-CA"/>
              </w:rPr>
            </w:pPr>
            <w:r w:rsidRPr="00DA4360">
              <w:rPr>
                <w:rFonts w:ascii="Arial" w:hAnsi="Arial" w:cs="Arial"/>
                <w:bCs/>
                <w:sz w:val="20"/>
                <w:szCs w:val="20"/>
                <w:lang w:val="en-CA"/>
              </w:rPr>
              <w:t>12,575</w:t>
            </w:r>
          </w:p>
        </w:tc>
      </w:tr>
      <w:tr w:rsidR="003E0848" w:rsidRPr="00DA4360" w14:paraId="7891E873" w14:textId="77777777" w:rsidTr="004A1755">
        <w:tc>
          <w:tcPr>
            <w:tcW w:w="5093" w:type="dxa"/>
            <w:tcBorders>
              <w:top w:val="nil"/>
              <w:bottom w:val="nil"/>
            </w:tcBorders>
            <w:shd w:val="clear" w:color="auto" w:fill="auto"/>
          </w:tcPr>
          <w:p w14:paraId="05D2430D" w14:textId="77777777" w:rsidR="003052EF" w:rsidRPr="00DA4360" w:rsidRDefault="003052EF" w:rsidP="003F6F1A">
            <w:pPr>
              <w:spacing w:after="0" w:line="240" w:lineRule="auto"/>
              <w:jc w:val="both"/>
              <w:rPr>
                <w:rFonts w:ascii="Arial" w:hAnsi="Arial" w:cs="Arial"/>
                <w:sz w:val="20"/>
                <w:szCs w:val="20"/>
                <w:lang w:val="en-CA"/>
              </w:rPr>
            </w:pPr>
            <w:r w:rsidRPr="00DA4360">
              <w:rPr>
                <w:rFonts w:ascii="Arial" w:hAnsi="Arial" w:cs="Arial"/>
                <w:sz w:val="20"/>
                <w:szCs w:val="20"/>
                <w:lang w:val="en-CA"/>
              </w:rPr>
              <w:t>Convertible debentures payable</w:t>
            </w:r>
          </w:p>
        </w:tc>
        <w:tc>
          <w:tcPr>
            <w:tcW w:w="328" w:type="dxa"/>
            <w:tcBorders>
              <w:top w:val="nil"/>
              <w:bottom w:val="nil"/>
            </w:tcBorders>
            <w:shd w:val="clear" w:color="auto" w:fill="auto"/>
          </w:tcPr>
          <w:p w14:paraId="6E6306F0" w14:textId="77777777" w:rsidR="003052EF" w:rsidRPr="00DA4360" w:rsidRDefault="003052EF" w:rsidP="003F6F1A">
            <w:pPr>
              <w:spacing w:after="0" w:line="240" w:lineRule="auto"/>
              <w:jc w:val="both"/>
              <w:rPr>
                <w:rFonts w:ascii="Arial" w:hAnsi="Arial" w:cs="Arial"/>
                <w:b/>
                <w:sz w:val="20"/>
                <w:szCs w:val="20"/>
                <w:lang w:val="en-CA"/>
              </w:rPr>
            </w:pPr>
          </w:p>
        </w:tc>
        <w:tc>
          <w:tcPr>
            <w:tcW w:w="1832" w:type="dxa"/>
            <w:tcBorders>
              <w:top w:val="nil"/>
              <w:bottom w:val="nil"/>
            </w:tcBorders>
            <w:shd w:val="clear" w:color="auto" w:fill="auto"/>
            <w:vAlign w:val="bottom"/>
          </w:tcPr>
          <w:p w14:paraId="680E0E62" w14:textId="77777777" w:rsidR="003052EF" w:rsidRPr="00DA4360" w:rsidRDefault="003052EF" w:rsidP="003F6F1A">
            <w:pPr>
              <w:spacing w:after="0" w:line="240" w:lineRule="auto"/>
              <w:jc w:val="right"/>
              <w:rPr>
                <w:rFonts w:ascii="Arial" w:hAnsi="Arial" w:cs="Arial"/>
                <w:b/>
                <w:sz w:val="20"/>
                <w:szCs w:val="20"/>
                <w:lang w:val="en-CA"/>
              </w:rPr>
            </w:pPr>
            <w:r w:rsidRPr="00DA4360">
              <w:rPr>
                <w:rFonts w:ascii="Arial" w:hAnsi="Arial" w:cs="Arial"/>
                <w:b/>
                <w:bCs/>
                <w:sz w:val="20"/>
                <w:szCs w:val="20"/>
                <w:lang w:val="en-CA"/>
              </w:rPr>
              <w:t xml:space="preserve"> 881,098 </w:t>
            </w:r>
          </w:p>
        </w:tc>
        <w:tc>
          <w:tcPr>
            <w:tcW w:w="328" w:type="dxa"/>
            <w:tcBorders>
              <w:top w:val="nil"/>
              <w:bottom w:val="nil"/>
            </w:tcBorders>
            <w:shd w:val="clear" w:color="auto" w:fill="auto"/>
          </w:tcPr>
          <w:p w14:paraId="7E4AC6B3" w14:textId="77777777" w:rsidR="003052EF" w:rsidRPr="00DA4360" w:rsidRDefault="003052EF" w:rsidP="003F6F1A">
            <w:pPr>
              <w:spacing w:after="0" w:line="240" w:lineRule="auto"/>
              <w:jc w:val="both"/>
              <w:rPr>
                <w:rFonts w:ascii="Arial" w:hAnsi="Arial" w:cs="Arial"/>
                <w:sz w:val="20"/>
                <w:szCs w:val="20"/>
                <w:lang w:val="en-CA"/>
              </w:rPr>
            </w:pPr>
          </w:p>
        </w:tc>
        <w:tc>
          <w:tcPr>
            <w:tcW w:w="1767" w:type="dxa"/>
            <w:tcBorders>
              <w:top w:val="nil"/>
              <w:bottom w:val="nil"/>
            </w:tcBorders>
            <w:shd w:val="clear" w:color="auto" w:fill="auto"/>
            <w:vAlign w:val="bottom"/>
          </w:tcPr>
          <w:p w14:paraId="15B5BFF5" w14:textId="77777777" w:rsidR="003052EF" w:rsidRPr="00DA4360" w:rsidRDefault="003052EF" w:rsidP="003F6F1A">
            <w:pPr>
              <w:spacing w:after="0" w:line="240" w:lineRule="auto"/>
              <w:jc w:val="right"/>
              <w:rPr>
                <w:rFonts w:ascii="Arial" w:hAnsi="Arial" w:cs="Arial"/>
                <w:bCs/>
                <w:sz w:val="20"/>
                <w:szCs w:val="20"/>
                <w:lang w:val="en-CA"/>
              </w:rPr>
            </w:pPr>
            <w:r w:rsidRPr="00DA4360">
              <w:rPr>
                <w:rFonts w:ascii="Arial" w:hAnsi="Arial" w:cs="Arial"/>
                <w:bCs/>
                <w:sz w:val="20"/>
                <w:szCs w:val="20"/>
                <w:lang w:val="en-CA"/>
              </w:rPr>
              <w:t>274,466</w:t>
            </w:r>
          </w:p>
        </w:tc>
      </w:tr>
      <w:tr w:rsidR="003E0848" w:rsidRPr="00DA4360" w14:paraId="2CE7C362" w14:textId="77777777" w:rsidTr="004A1755">
        <w:tc>
          <w:tcPr>
            <w:tcW w:w="5093" w:type="dxa"/>
            <w:tcBorders>
              <w:top w:val="nil"/>
              <w:bottom w:val="nil"/>
            </w:tcBorders>
            <w:shd w:val="clear" w:color="auto" w:fill="auto"/>
          </w:tcPr>
          <w:p w14:paraId="108F8ACD" w14:textId="77777777" w:rsidR="003052EF" w:rsidRPr="00DA4360" w:rsidRDefault="003052EF" w:rsidP="003F6F1A">
            <w:pPr>
              <w:spacing w:after="0" w:line="240" w:lineRule="auto"/>
              <w:jc w:val="both"/>
              <w:rPr>
                <w:rFonts w:ascii="Arial" w:hAnsi="Arial" w:cs="Arial"/>
                <w:sz w:val="20"/>
                <w:szCs w:val="20"/>
                <w:lang w:val="en-CA"/>
              </w:rPr>
            </w:pPr>
            <w:r w:rsidRPr="00DA4360">
              <w:rPr>
                <w:rFonts w:ascii="Arial" w:hAnsi="Arial" w:cs="Arial"/>
                <w:sz w:val="20"/>
                <w:szCs w:val="20"/>
                <w:lang w:val="en-CA"/>
              </w:rPr>
              <w:t>Secured loan payable</w:t>
            </w:r>
          </w:p>
        </w:tc>
        <w:tc>
          <w:tcPr>
            <w:tcW w:w="328" w:type="dxa"/>
            <w:tcBorders>
              <w:top w:val="nil"/>
              <w:bottom w:val="nil"/>
            </w:tcBorders>
            <w:shd w:val="clear" w:color="auto" w:fill="auto"/>
          </w:tcPr>
          <w:p w14:paraId="6DCC9A3C" w14:textId="77777777" w:rsidR="003052EF" w:rsidRPr="00DA4360" w:rsidRDefault="003052EF" w:rsidP="003F6F1A">
            <w:pPr>
              <w:spacing w:after="0" w:line="240" w:lineRule="auto"/>
              <w:jc w:val="both"/>
              <w:rPr>
                <w:rFonts w:ascii="Arial" w:hAnsi="Arial" w:cs="Arial"/>
                <w:b/>
                <w:sz w:val="20"/>
                <w:szCs w:val="20"/>
                <w:lang w:val="en-CA"/>
              </w:rPr>
            </w:pPr>
          </w:p>
        </w:tc>
        <w:tc>
          <w:tcPr>
            <w:tcW w:w="1832" w:type="dxa"/>
            <w:tcBorders>
              <w:top w:val="nil"/>
              <w:bottom w:val="nil"/>
            </w:tcBorders>
            <w:shd w:val="clear" w:color="auto" w:fill="auto"/>
            <w:vAlign w:val="bottom"/>
          </w:tcPr>
          <w:p w14:paraId="5D45DFBD" w14:textId="77777777" w:rsidR="003052EF" w:rsidRPr="00DA4360" w:rsidRDefault="003052EF" w:rsidP="003F6F1A">
            <w:pPr>
              <w:spacing w:after="0" w:line="240" w:lineRule="auto"/>
              <w:jc w:val="right"/>
              <w:rPr>
                <w:rFonts w:ascii="Arial" w:hAnsi="Arial" w:cs="Arial"/>
                <w:b/>
                <w:sz w:val="20"/>
                <w:szCs w:val="20"/>
                <w:lang w:val="en-CA"/>
              </w:rPr>
            </w:pPr>
            <w:r w:rsidRPr="00DA4360">
              <w:rPr>
                <w:rFonts w:ascii="Arial" w:hAnsi="Arial" w:cs="Arial"/>
                <w:b/>
                <w:bCs/>
                <w:sz w:val="20"/>
                <w:szCs w:val="20"/>
                <w:lang w:val="en-CA"/>
              </w:rPr>
              <w:t xml:space="preserve"> 739,073 </w:t>
            </w:r>
          </w:p>
        </w:tc>
        <w:tc>
          <w:tcPr>
            <w:tcW w:w="328" w:type="dxa"/>
            <w:tcBorders>
              <w:top w:val="nil"/>
              <w:bottom w:val="nil"/>
            </w:tcBorders>
            <w:shd w:val="clear" w:color="auto" w:fill="auto"/>
          </w:tcPr>
          <w:p w14:paraId="5CA53DE2" w14:textId="77777777" w:rsidR="003052EF" w:rsidRPr="00DA4360" w:rsidRDefault="003052EF" w:rsidP="003F6F1A">
            <w:pPr>
              <w:spacing w:after="0" w:line="240" w:lineRule="auto"/>
              <w:jc w:val="both"/>
              <w:rPr>
                <w:rFonts w:ascii="Arial" w:hAnsi="Arial" w:cs="Arial"/>
                <w:sz w:val="20"/>
                <w:szCs w:val="20"/>
                <w:lang w:val="en-CA"/>
              </w:rPr>
            </w:pPr>
          </w:p>
        </w:tc>
        <w:tc>
          <w:tcPr>
            <w:tcW w:w="1767" w:type="dxa"/>
            <w:tcBorders>
              <w:top w:val="nil"/>
              <w:bottom w:val="nil"/>
            </w:tcBorders>
            <w:shd w:val="clear" w:color="auto" w:fill="auto"/>
            <w:vAlign w:val="bottom"/>
          </w:tcPr>
          <w:p w14:paraId="4A43FA57" w14:textId="77777777" w:rsidR="003052EF" w:rsidRPr="00DA4360" w:rsidRDefault="003052EF" w:rsidP="003F6F1A">
            <w:pPr>
              <w:spacing w:after="0" w:line="240" w:lineRule="auto"/>
              <w:jc w:val="right"/>
              <w:rPr>
                <w:rFonts w:ascii="Arial" w:hAnsi="Arial" w:cs="Arial"/>
                <w:bCs/>
                <w:sz w:val="20"/>
                <w:szCs w:val="20"/>
                <w:lang w:val="en-CA"/>
              </w:rPr>
            </w:pPr>
            <w:r w:rsidRPr="00DA4360">
              <w:rPr>
                <w:rFonts w:ascii="Arial" w:hAnsi="Arial" w:cs="Arial"/>
                <w:bCs/>
                <w:sz w:val="20"/>
                <w:szCs w:val="20"/>
                <w:lang w:val="en-CA"/>
              </w:rPr>
              <w:t>717,460</w:t>
            </w:r>
          </w:p>
        </w:tc>
      </w:tr>
      <w:tr w:rsidR="003E0848" w:rsidRPr="00DA4360" w14:paraId="5B2DFD1B" w14:textId="77777777" w:rsidTr="004A1755">
        <w:tc>
          <w:tcPr>
            <w:tcW w:w="5093" w:type="dxa"/>
            <w:tcBorders>
              <w:top w:val="nil"/>
              <w:bottom w:val="nil"/>
            </w:tcBorders>
            <w:shd w:val="clear" w:color="auto" w:fill="auto"/>
          </w:tcPr>
          <w:p w14:paraId="523F5008" w14:textId="77777777" w:rsidR="003052EF" w:rsidRPr="00DA4360" w:rsidRDefault="003052EF" w:rsidP="003F6F1A">
            <w:pPr>
              <w:spacing w:after="0" w:line="240" w:lineRule="auto"/>
              <w:jc w:val="both"/>
              <w:rPr>
                <w:rFonts w:ascii="Arial" w:hAnsi="Arial" w:cs="Arial"/>
                <w:sz w:val="20"/>
                <w:szCs w:val="20"/>
                <w:lang w:val="en-CA"/>
              </w:rPr>
            </w:pPr>
            <w:r w:rsidRPr="00DA4360">
              <w:rPr>
                <w:rFonts w:ascii="Arial" w:hAnsi="Arial" w:cs="Arial"/>
                <w:sz w:val="20"/>
                <w:szCs w:val="20"/>
                <w:lang w:val="en-CA"/>
              </w:rPr>
              <w:t>Current portion of lease liability</w:t>
            </w:r>
          </w:p>
        </w:tc>
        <w:tc>
          <w:tcPr>
            <w:tcW w:w="328" w:type="dxa"/>
            <w:tcBorders>
              <w:top w:val="nil"/>
              <w:bottom w:val="nil"/>
            </w:tcBorders>
            <w:shd w:val="clear" w:color="auto" w:fill="auto"/>
          </w:tcPr>
          <w:p w14:paraId="61EE1D0B" w14:textId="77777777" w:rsidR="003052EF" w:rsidRPr="00DA4360" w:rsidRDefault="003052EF" w:rsidP="003F6F1A">
            <w:pPr>
              <w:spacing w:after="0" w:line="240" w:lineRule="auto"/>
              <w:jc w:val="both"/>
              <w:rPr>
                <w:rFonts w:ascii="Arial" w:hAnsi="Arial" w:cs="Arial"/>
                <w:b/>
                <w:sz w:val="20"/>
                <w:szCs w:val="20"/>
                <w:lang w:val="en-CA"/>
              </w:rPr>
            </w:pPr>
          </w:p>
        </w:tc>
        <w:tc>
          <w:tcPr>
            <w:tcW w:w="1832" w:type="dxa"/>
            <w:tcBorders>
              <w:top w:val="nil"/>
              <w:bottom w:val="nil"/>
            </w:tcBorders>
            <w:shd w:val="clear" w:color="auto" w:fill="auto"/>
            <w:vAlign w:val="bottom"/>
          </w:tcPr>
          <w:p w14:paraId="06DD1C8C" w14:textId="77777777" w:rsidR="003052EF" w:rsidRPr="00DA4360" w:rsidRDefault="005C15D5" w:rsidP="003F6F1A">
            <w:pPr>
              <w:spacing w:after="0" w:line="240" w:lineRule="auto"/>
              <w:jc w:val="right"/>
              <w:rPr>
                <w:rFonts w:ascii="Arial" w:hAnsi="Arial" w:cs="Arial"/>
                <w:b/>
                <w:sz w:val="20"/>
                <w:szCs w:val="20"/>
                <w:lang w:val="en-CA"/>
              </w:rPr>
            </w:pPr>
            <w:r w:rsidRPr="00DA4360">
              <w:rPr>
                <w:rFonts w:ascii="Arial" w:hAnsi="Arial" w:cs="Arial"/>
                <w:b/>
                <w:bCs/>
                <w:sz w:val="20"/>
                <w:szCs w:val="20"/>
                <w:lang w:val="en-CA"/>
              </w:rPr>
              <w:t>204,151</w:t>
            </w:r>
            <w:r w:rsidR="003052EF" w:rsidRPr="00DA4360">
              <w:rPr>
                <w:rFonts w:ascii="Arial" w:hAnsi="Arial" w:cs="Arial"/>
                <w:b/>
                <w:bCs/>
                <w:sz w:val="20"/>
                <w:szCs w:val="20"/>
                <w:lang w:val="en-CA"/>
              </w:rPr>
              <w:t xml:space="preserve"> </w:t>
            </w:r>
          </w:p>
        </w:tc>
        <w:tc>
          <w:tcPr>
            <w:tcW w:w="328" w:type="dxa"/>
            <w:tcBorders>
              <w:top w:val="nil"/>
              <w:bottom w:val="nil"/>
            </w:tcBorders>
            <w:shd w:val="clear" w:color="auto" w:fill="auto"/>
          </w:tcPr>
          <w:p w14:paraId="6B9CC966" w14:textId="77777777" w:rsidR="003052EF" w:rsidRPr="00DA4360" w:rsidRDefault="003052EF" w:rsidP="003F6F1A">
            <w:pPr>
              <w:spacing w:after="0" w:line="240" w:lineRule="auto"/>
              <w:jc w:val="both"/>
              <w:rPr>
                <w:rFonts w:ascii="Arial" w:hAnsi="Arial" w:cs="Arial"/>
                <w:sz w:val="20"/>
                <w:szCs w:val="20"/>
                <w:lang w:val="en-CA"/>
              </w:rPr>
            </w:pPr>
          </w:p>
        </w:tc>
        <w:tc>
          <w:tcPr>
            <w:tcW w:w="1767" w:type="dxa"/>
            <w:tcBorders>
              <w:top w:val="nil"/>
              <w:bottom w:val="nil"/>
            </w:tcBorders>
            <w:shd w:val="clear" w:color="auto" w:fill="auto"/>
            <w:vAlign w:val="bottom"/>
          </w:tcPr>
          <w:p w14:paraId="78E74423" w14:textId="77777777" w:rsidR="003052EF" w:rsidRPr="00DA4360" w:rsidRDefault="003052EF" w:rsidP="003F6F1A">
            <w:pPr>
              <w:spacing w:after="0" w:line="240" w:lineRule="auto"/>
              <w:jc w:val="right"/>
              <w:rPr>
                <w:rFonts w:ascii="Arial" w:hAnsi="Arial" w:cs="Arial"/>
                <w:sz w:val="20"/>
                <w:szCs w:val="20"/>
                <w:lang w:val="en-CA"/>
              </w:rPr>
            </w:pPr>
            <w:r w:rsidRPr="00DA4360">
              <w:rPr>
                <w:rFonts w:ascii="Arial" w:hAnsi="Arial" w:cs="Arial"/>
                <w:sz w:val="20"/>
                <w:szCs w:val="20"/>
                <w:lang w:val="en-CA"/>
              </w:rPr>
              <w:t>-</w:t>
            </w:r>
          </w:p>
        </w:tc>
      </w:tr>
      <w:tr w:rsidR="003E0848" w:rsidRPr="00DA4360" w14:paraId="0C320930" w14:textId="77777777" w:rsidTr="004A1755">
        <w:tc>
          <w:tcPr>
            <w:tcW w:w="5093" w:type="dxa"/>
            <w:tcBorders>
              <w:top w:val="single" w:sz="4" w:space="0" w:color="auto"/>
              <w:bottom w:val="single" w:sz="4" w:space="0" w:color="auto"/>
            </w:tcBorders>
            <w:shd w:val="clear" w:color="auto" w:fill="auto"/>
          </w:tcPr>
          <w:p w14:paraId="0E53E188" w14:textId="77777777" w:rsidR="003052EF" w:rsidRPr="00DA4360" w:rsidRDefault="003052EF" w:rsidP="003F6F1A">
            <w:pPr>
              <w:spacing w:after="0" w:line="240" w:lineRule="auto"/>
              <w:jc w:val="both"/>
              <w:rPr>
                <w:rFonts w:ascii="Arial" w:hAnsi="Arial" w:cs="Arial"/>
                <w:sz w:val="20"/>
                <w:szCs w:val="20"/>
                <w:lang w:val="en-CA"/>
              </w:rPr>
            </w:pPr>
            <w:r w:rsidRPr="00DA4360">
              <w:rPr>
                <w:rFonts w:ascii="Arial" w:hAnsi="Arial" w:cs="Arial"/>
                <w:sz w:val="20"/>
                <w:szCs w:val="20"/>
                <w:lang w:val="en-CA"/>
              </w:rPr>
              <w:t>Total Current Liabilities</w:t>
            </w:r>
          </w:p>
        </w:tc>
        <w:tc>
          <w:tcPr>
            <w:tcW w:w="328" w:type="dxa"/>
            <w:tcBorders>
              <w:top w:val="single" w:sz="4" w:space="0" w:color="auto"/>
              <w:bottom w:val="single" w:sz="4" w:space="0" w:color="auto"/>
            </w:tcBorders>
            <w:shd w:val="clear" w:color="auto" w:fill="auto"/>
          </w:tcPr>
          <w:p w14:paraId="42FFE763" w14:textId="77777777" w:rsidR="003052EF" w:rsidRPr="00DA4360" w:rsidRDefault="003052EF" w:rsidP="003F6F1A">
            <w:pPr>
              <w:spacing w:after="0" w:line="240" w:lineRule="auto"/>
              <w:jc w:val="both"/>
              <w:rPr>
                <w:rFonts w:ascii="Arial" w:hAnsi="Arial" w:cs="Arial"/>
                <w:b/>
                <w:sz w:val="20"/>
                <w:szCs w:val="20"/>
                <w:lang w:val="en-CA"/>
              </w:rPr>
            </w:pPr>
          </w:p>
        </w:tc>
        <w:tc>
          <w:tcPr>
            <w:tcW w:w="1832" w:type="dxa"/>
            <w:tcBorders>
              <w:top w:val="single" w:sz="4" w:space="0" w:color="auto"/>
              <w:bottom w:val="single" w:sz="4" w:space="0" w:color="auto"/>
            </w:tcBorders>
            <w:shd w:val="clear" w:color="auto" w:fill="auto"/>
            <w:vAlign w:val="bottom"/>
          </w:tcPr>
          <w:p w14:paraId="6E5C97A8" w14:textId="77777777" w:rsidR="003052EF" w:rsidRPr="00DA4360" w:rsidRDefault="003052EF" w:rsidP="003F6F1A">
            <w:pPr>
              <w:spacing w:after="0" w:line="240" w:lineRule="auto"/>
              <w:jc w:val="right"/>
              <w:rPr>
                <w:rFonts w:ascii="Arial" w:hAnsi="Arial" w:cs="Arial"/>
                <w:b/>
                <w:sz w:val="20"/>
                <w:szCs w:val="20"/>
                <w:lang w:val="en-CA"/>
              </w:rPr>
            </w:pPr>
            <w:r w:rsidRPr="00DA4360">
              <w:rPr>
                <w:rFonts w:ascii="Arial" w:hAnsi="Arial" w:cs="Arial"/>
                <w:b/>
                <w:bCs/>
                <w:sz w:val="20"/>
                <w:szCs w:val="20"/>
                <w:lang w:val="en-CA"/>
              </w:rPr>
              <w:t xml:space="preserve"> </w:t>
            </w:r>
            <w:r w:rsidR="00BD1255" w:rsidRPr="00DA4360">
              <w:rPr>
                <w:rFonts w:ascii="Arial" w:hAnsi="Arial" w:cs="Arial"/>
                <w:b/>
                <w:bCs/>
                <w:sz w:val="20"/>
                <w:szCs w:val="20"/>
                <w:lang w:val="en-CA"/>
              </w:rPr>
              <w:t>3,</w:t>
            </w:r>
            <w:r w:rsidR="005C15D5" w:rsidRPr="00DA4360">
              <w:rPr>
                <w:rFonts w:ascii="Arial" w:hAnsi="Arial" w:cs="Arial"/>
                <w:b/>
                <w:bCs/>
                <w:sz w:val="20"/>
                <w:szCs w:val="20"/>
                <w:lang w:val="en-CA"/>
              </w:rPr>
              <w:t>916,819</w:t>
            </w:r>
            <w:r w:rsidRPr="00DA4360">
              <w:rPr>
                <w:rFonts w:ascii="Arial" w:hAnsi="Arial" w:cs="Arial"/>
                <w:b/>
                <w:bCs/>
                <w:sz w:val="20"/>
                <w:szCs w:val="20"/>
                <w:lang w:val="en-CA"/>
              </w:rPr>
              <w:t xml:space="preserve"> </w:t>
            </w:r>
          </w:p>
        </w:tc>
        <w:tc>
          <w:tcPr>
            <w:tcW w:w="328" w:type="dxa"/>
            <w:tcBorders>
              <w:top w:val="single" w:sz="4" w:space="0" w:color="auto"/>
              <w:bottom w:val="single" w:sz="4" w:space="0" w:color="auto"/>
            </w:tcBorders>
            <w:shd w:val="clear" w:color="auto" w:fill="auto"/>
          </w:tcPr>
          <w:p w14:paraId="7132E7F0" w14:textId="77777777" w:rsidR="003052EF" w:rsidRPr="00DA4360" w:rsidRDefault="003052EF" w:rsidP="003F6F1A">
            <w:pPr>
              <w:spacing w:after="0" w:line="240" w:lineRule="auto"/>
              <w:jc w:val="both"/>
              <w:rPr>
                <w:rFonts w:ascii="Arial" w:hAnsi="Arial" w:cs="Arial"/>
                <w:sz w:val="20"/>
                <w:szCs w:val="20"/>
                <w:lang w:val="en-CA"/>
              </w:rPr>
            </w:pPr>
          </w:p>
        </w:tc>
        <w:tc>
          <w:tcPr>
            <w:tcW w:w="1767" w:type="dxa"/>
            <w:tcBorders>
              <w:top w:val="single" w:sz="4" w:space="0" w:color="auto"/>
              <w:bottom w:val="single" w:sz="4" w:space="0" w:color="auto"/>
            </w:tcBorders>
            <w:shd w:val="clear" w:color="auto" w:fill="auto"/>
            <w:vAlign w:val="bottom"/>
          </w:tcPr>
          <w:p w14:paraId="48F8CF35" w14:textId="77777777" w:rsidR="003052EF" w:rsidRPr="00DA4360" w:rsidRDefault="003052EF" w:rsidP="003F6F1A">
            <w:pPr>
              <w:spacing w:after="0" w:line="240" w:lineRule="auto"/>
              <w:jc w:val="right"/>
              <w:rPr>
                <w:rFonts w:ascii="Arial" w:hAnsi="Arial" w:cs="Arial"/>
                <w:bCs/>
                <w:sz w:val="20"/>
                <w:szCs w:val="20"/>
                <w:lang w:val="en-CA"/>
              </w:rPr>
            </w:pPr>
            <w:r w:rsidRPr="00DA4360">
              <w:rPr>
                <w:rFonts w:ascii="Arial" w:hAnsi="Arial" w:cs="Arial"/>
                <w:bCs/>
                <w:sz w:val="20"/>
                <w:szCs w:val="20"/>
                <w:lang w:val="en-CA"/>
              </w:rPr>
              <w:t>3,</w:t>
            </w:r>
            <w:r w:rsidR="00BD1255" w:rsidRPr="00DA4360">
              <w:rPr>
                <w:rFonts w:ascii="Arial" w:hAnsi="Arial" w:cs="Arial"/>
                <w:bCs/>
                <w:sz w:val="20"/>
                <w:szCs w:val="20"/>
                <w:lang w:val="en-CA"/>
              </w:rPr>
              <w:t>231,004</w:t>
            </w:r>
          </w:p>
        </w:tc>
      </w:tr>
      <w:tr w:rsidR="003E0848" w:rsidRPr="00DA4360" w14:paraId="48EBBFA7" w14:textId="77777777" w:rsidTr="004A1755">
        <w:tc>
          <w:tcPr>
            <w:tcW w:w="5093" w:type="dxa"/>
            <w:tcBorders>
              <w:top w:val="single" w:sz="4" w:space="0" w:color="auto"/>
            </w:tcBorders>
            <w:shd w:val="clear" w:color="auto" w:fill="auto"/>
          </w:tcPr>
          <w:p w14:paraId="76971D3F" w14:textId="77777777" w:rsidR="003C5740" w:rsidRPr="00DA4360" w:rsidRDefault="003C5740" w:rsidP="003F6F1A">
            <w:pPr>
              <w:spacing w:after="0" w:line="240" w:lineRule="auto"/>
              <w:jc w:val="both"/>
              <w:rPr>
                <w:rFonts w:ascii="Arial" w:hAnsi="Arial" w:cs="Arial"/>
                <w:sz w:val="20"/>
                <w:szCs w:val="20"/>
                <w:lang w:val="en-CA"/>
              </w:rPr>
            </w:pPr>
          </w:p>
        </w:tc>
        <w:tc>
          <w:tcPr>
            <w:tcW w:w="328" w:type="dxa"/>
            <w:tcBorders>
              <w:top w:val="single" w:sz="4" w:space="0" w:color="auto"/>
            </w:tcBorders>
            <w:shd w:val="clear" w:color="auto" w:fill="auto"/>
          </w:tcPr>
          <w:p w14:paraId="1E49FD8A" w14:textId="77777777" w:rsidR="003C5740" w:rsidRPr="00DA4360" w:rsidRDefault="003C5740" w:rsidP="003F6F1A">
            <w:pPr>
              <w:spacing w:after="0" w:line="240" w:lineRule="auto"/>
              <w:jc w:val="both"/>
              <w:rPr>
                <w:rFonts w:ascii="Arial" w:hAnsi="Arial" w:cs="Arial"/>
                <w:b/>
                <w:sz w:val="20"/>
                <w:szCs w:val="20"/>
                <w:lang w:val="en-CA"/>
              </w:rPr>
            </w:pPr>
          </w:p>
        </w:tc>
        <w:tc>
          <w:tcPr>
            <w:tcW w:w="1832" w:type="dxa"/>
            <w:tcBorders>
              <w:top w:val="single" w:sz="4" w:space="0" w:color="auto"/>
            </w:tcBorders>
            <w:shd w:val="clear" w:color="auto" w:fill="auto"/>
            <w:vAlign w:val="bottom"/>
          </w:tcPr>
          <w:p w14:paraId="17905028" w14:textId="77777777" w:rsidR="003C5740" w:rsidRPr="00DA4360" w:rsidRDefault="003C5740" w:rsidP="003F6F1A">
            <w:pPr>
              <w:spacing w:after="0" w:line="240" w:lineRule="auto"/>
              <w:jc w:val="right"/>
              <w:rPr>
                <w:rFonts w:ascii="Arial" w:hAnsi="Arial" w:cs="Arial"/>
                <w:b/>
                <w:sz w:val="20"/>
                <w:szCs w:val="20"/>
                <w:lang w:val="en-CA"/>
              </w:rPr>
            </w:pPr>
          </w:p>
        </w:tc>
        <w:tc>
          <w:tcPr>
            <w:tcW w:w="328" w:type="dxa"/>
            <w:tcBorders>
              <w:top w:val="single" w:sz="4" w:space="0" w:color="auto"/>
            </w:tcBorders>
            <w:shd w:val="clear" w:color="auto" w:fill="auto"/>
          </w:tcPr>
          <w:p w14:paraId="165FCAC7" w14:textId="77777777" w:rsidR="003C5740" w:rsidRPr="00DA4360" w:rsidRDefault="003C5740" w:rsidP="003F6F1A">
            <w:pPr>
              <w:spacing w:after="0" w:line="240" w:lineRule="auto"/>
              <w:jc w:val="both"/>
              <w:rPr>
                <w:rFonts w:ascii="Arial" w:hAnsi="Arial" w:cs="Arial"/>
                <w:sz w:val="20"/>
                <w:szCs w:val="20"/>
                <w:lang w:val="en-CA"/>
              </w:rPr>
            </w:pPr>
          </w:p>
        </w:tc>
        <w:tc>
          <w:tcPr>
            <w:tcW w:w="1767" w:type="dxa"/>
            <w:tcBorders>
              <w:top w:val="single" w:sz="4" w:space="0" w:color="auto"/>
            </w:tcBorders>
            <w:shd w:val="clear" w:color="auto" w:fill="auto"/>
            <w:vAlign w:val="bottom"/>
          </w:tcPr>
          <w:p w14:paraId="73F2E944" w14:textId="77777777" w:rsidR="003C5740" w:rsidRPr="00DA4360" w:rsidRDefault="003C5740" w:rsidP="003F6F1A">
            <w:pPr>
              <w:spacing w:after="0" w:line="240" w:lineRule="auto"/>
              <w:jc w:val="right"/>
              <w:rPr>
                <w:rFonts w:ascii="Arial" w:hAnsi="Arial" w:cs="Arial"/>
                <w:sz w:val="20"/>
                <w:szCs w:val="20"/>
                <w:lang w:val="en-CA"/>
              </w:rPr>
            </w:pPr>
          </w:p>
        </w:tc>
      </w:tr>
      <w:tr w:rsidR="003E0848" w:rsidRPr="00DA4360" w14:paraId="2FE903D8" w14:textId="77777777" w:rsidTr="004A1755">
        <w:tc>
          <w:tcPr>
            <w:tcW w:w="5093" w:type="dxa"/>
            <w:shd w:val="clear" w:color="auto" w:fill="auto"/>
          </w:tcPr>
          <w:p w14:paraId="17243D84" w14:textId="77777777" w:rsidR="003C5740" w:rsidRPr="00DA4360" w:rsidRDefault="003C5740" w:rsidP="003F6F1A">
            <w:pPr>
              <w:spacing w:after="0" w:line="240" w:lineRule="auto"/>
              <w:jc w:val="both"/>
              <w:rPr>
                <w:rFonts w:ascii="Arial" w:hAnsi="Arial" w:cs="Arial"/>
                <w:sz w:val="20"/>
                <w:szCs w:val="20"/>
                <w:lang w:val="en-CA"/>
              </w:rPr>
            </w:pPr>
            <w:r w:rsidRPr="00DA4360">
              <w:rPr>
                <w:rFonts w:ascii="Arial" w:hAnsi="Arial" w:cs="Arial"/>
                <w:sz w:val="20"/>
                <w:szCs w:val="20"/>
                <w:lang w:val="en-CA"/>
              </w:rPr>
              <w:t>Working Capital</w:t>
            </w:r>
          </w:p>
        </w:tc>
        <w:tc>
          <w:tcPr>
            <w:tcW w:w="328" w:type="dxa"/>
            <w:shd w:val="clear" w:color="auto" w:fill="auto"/>
          </w:tcPr>
          <w:p w14:paraId="6458AE3E" w14:textId="77777777" w:rsidR="003C5740" w:rsidRPr="00DA4360" w:rsidRDefault="003C5740" w:rsidP="003F6F1A">
            <w:pPr>
              <w:spacing w:after="0" w:line="240" w:lineRule="auto"/>
              <w:jc w:val="both"/>
              <w:rPr>
                <w:rFonts w:ascii="Arial" w:hAnsi="Arial" w:cs="Arial"/>
                <w:b/>
                <w:sz w:val="20"/>
                <w:szCs w:val="20"/>
                <w:lang w:val="en-CA"/>
              </w:rPr>
            </w:pPr>
            <w:r w:rsidRPr="00DA4360">
              <w:rPr>
                <w:rFonts w:ascii="Arial" w:hAnsi="Arial" w:cs="Arial"/>
                <w:b/>
                <w:sz w:val="20"/>
                <w:szCs w:val="20"/>
                <w:lang w:val="en-CA"/>
              </w:rPr>
              <w:t>$</w:t>
            </w:r>
          </w:p>
        </w:tc>
        <w:tc>
          <w:tcPr>
            <w:tcW w:w="1832" w:type="dxa"/>
            <w:shd w:val="clear" w:color="auto" w:fill="auto"/>
            <w:vAlign w:val="bottom"/>
          </w:tcPr>
          <w:p w14:paraId="392170B1" w14:textId="77777777" w:rsidR="003C5740" w:rsidRPr="00DA4360" w:rsidRDefault="00EF2D2F" w:rsidP="003F6F1A">
            <w:pPr>
              <w:spacing w:after="0" w:line="240" w:lineRule="auto"/>
              <w:jc w:val="right"/>
              <w:rPr>
                <w:rFonts w:ascii="Arial" w:hAnsi="Arial" w:cs="Arial"/>
                <w:b/>
                <w:sz w:val="20"/>
                <w:szCs w:val="20"/>
                <w:lang w:val="en-CA"/>
              </w:rPr>
            </w:pPr>
            <w:r w:rsidRPr="00DA4360">
              <w:rPr>
                <w:rFonts w:ascii="Arial" w:hAnsi="Arial" w:cs="Arial"/>
                <w:b/>
                <w:sz w:val="20"/>
                <w:szCs w:val="20"/>
                <w:lang w:val="en-CA"/>
              </w:rPr>
              <w:t>(</w:t>
            </w:r>
            <w:r w:rsidR="00BD1255" w:rsidRPr="00DA4360">
              <w:rPr>
                <w:rFonts w:ascii="Arial" w:hAnsi="Arial" w:cs="Arial"/>
                <w:b/>
                <w:sz w:val="20"/>
                <w:szCs w:val="20"/>
                <w:lang w:val="en-CA"/>
              </w:rPr>
              <w:t>2,</w:t>
            </w:r>
            <w:r w:rsidR="005C15D5" w:rsidRPr="00DA4360">
              <w:rPr>
                <w:rFonts w:ascii="Arial" w:hAnsi="Arial" w:cs="Arial"/>
                <w:b/>
                <w:sz w:val="20"/>
                <w:szCs w:val="20"/>
                <w:lang w:val="en-CA"/>
              </w:rPr>
              <w:t>936,926</w:t>
            </w:r>
            <w:r w:rsidRPr="00DA4360">
              <w:rPr>
                <w:rFonts w:ascii="Arial" w:hAnsi="Arial" w:cs="Arial"/>
                <w:b/>
                <w:sz w:val="20"/>
                <w:szCs w:val="20"/>
                <w:lang w:val="en-CA"/>
              </w:rPr>
              <w:t>)</w:t>
            </w:r>
          </w:p>
        </w:tc>
        <w:tc>
          <w:tcPr>
            <w:tcW w:w="328" w:type="dxa"/>
            <w:shd w:val="clear" w:color="auto" w:fill="auto"/>
          </w:tcPr>
          <w:p w14:paraId="52ED0CEB" w14:textId="77777777" w:rsidR="003C5740" w:rsidRPr="00DA4360" w:rsidRDefault="003C5740" w:rsidP="003F6F1A">
            <w:pPr>
              <w:spacing w:after="0" w:line="240" w:lineRule="auto"/>
              <w:jc w:val="both"/>
              <w:rPr>
                <w:rFonts w:ascii="Arial" w:hAnsi="Arial" w:cs="Arial"/>
                <w:sz w:val="20"/>
                <w:szCs w:val="20"/>
                <w:lang w:val="en-CA"/>
              </w:rPr>
            </w:pPr>
            <w:r w:rsidRPr="00DA4360">
              <w:rPr>
                <w:rFonts w:ascii="Arial" w:hAnsi="Arial" w:cs="Arial"/>
                <w:sz w:val="20"/>
                <w:szCs w:val="20"/>
                <w:lang w:val="en-CA"/>
              </w:rPr>
              <w:t>$</w:t>
            </w:r>
          </w:p>
        </w:tc>
        <w:tc>
          <w:tcPr>
            <w:tcW w:w="1767" w:type="dxa"/>
            <w:shd w:val="clear" w:color="auto" w:fill="auto"/>
            <w:vAlign w:val="bottom"/>
          </w:tcPr>
          <w:p w14:paraId="6B156C4F" w14:textId="77777777" w:rsidR="003C5740" w:rsidRPr="00DA4360" w:rsidRDefault="003A2C50" w:rsidP="003F6F1A">
            <w:pPr>
              <w:spacing w:after="0" w:line="240" w:lineRule="auto"/>
              <w:jc w:val="right"/>
              <w:rPr>
                <w:rFonts w:ascii="Arial" w:hAnsi="Arial" w:cs="Arial"/>
                <w:bCs/>
                <w:sz w:val="20"/>
                <w:szCs w:val="20"/>
                <w:lang w:val="en-CA"/>
              </w:rPr>
            </w:pPr>
            <w:r w:rsidRPr="00DA4360">
              <w:rPr>
                <w:rFonts w:ascii="Arial" w:hAnsi="Arial" w:cs="Arial"/>
                <w:bCs/>
                <w:sz w:val="20"/>
                <w:szCs w:val="20"/>
                <w:lang w:val="en-CA"/>
              </w:rPr>
              <w:t>(3,</w:t>
            </w:r>
            <w:r w:rsidR="00BD1255" w:rsidRPr="00DA4360">
              <w:rPr>
                <w:rFonts w:ascii="Arial" w:hAnsi="Arial" w:cs="Arial"/>
                <w:bCs/>
                <w:sz w:val="20"/>
                <w:szCs w:val="20"/>
                <w:lang w:val="en-CA"/>
              </w:rPr>
              <w:t>043,861</w:t>
            </w:r>
            <w:r w:rsidRPr="00DA4360">
              <w:rPr>
                <w:rFonts w:ascii="Arial" w:hAnsi="Arial" w:cs="Arial"/>
                <w:bCs/>
                <w:sz w:val="20"/>
                <w:szCs w:val="20"/>
                <w:lang w:val="en-CA"/>
              </w:rPr>
              <w:t>)</w:t>
            </w:r>
          </w:p>
        </w:tc>
      </w:tr>
    </w:tbl>
    <w:p w14:paraId="194533BD" w14:textId="77777777" w:rsidR="00B043B6" w:rsidRDefault="00B043B6" w:rsidP="003F6F1A">
      <w:pPr>
        <w:keepNext/>
        <w:tabs>
          <w:tab w:val="left" w:pos="540"/>
        </w:tabs>
        <w:suppressAutoHyphens/>
        <w:spacing w:after="0"/>
        <w:jc w:val="both"/>
        <w:rPr>
          <w:rFonts w:ascii="Arial" w:hAnsi="Arial" w:cs="Arial"/>
          <w:b/>
          <w:i/>
          <w:sz w:val="20"/>
          <w:szCs w:val="20"/>
          <w:u w:val="single"/>
        </w:rPr>
      </w:pPr>
    </w:p>
    <w:p w14:paraId="0EDE8AF7" w14:textId="77777777" w:rsidR="00FC3890" w:rsidRPr="003052EF" w:rsidRDefault="00453FBE" w:rsidP="003F6F1A">
      <w:pPr>
        <w:rPr>
          <w:rFonts w:ascii="Arial" w:eastAsia="Times New Roman" w:hAnsi="Arial" w:cs="Arial"/>
          <w:b/>
          <w:bCs/>
          <w:i/>
          <w:color w:val="000000"/>
          <w:sz w:val="20"/>
          <w:szCs w:val="20"/>
          <w:u w:val="single"/>
        </w:rPr>
      </w:pPr>
      <w:r w:rsidRPr="003052EF">
        <w:rPr>
          <w:rFonts w:ascii="Arial" w:eastAsia="Times New Roman" w:hAnsi="Arial" w:cs="Arial"/>
          <w:b/>
          <w:bCs/>
          <w:i/>
          <w:color w:val="000000"/>
          <w:sz w:val="20"/>
          <w:szCs w:val="20"/>
          <w:u w:val="single"/>
        </w:rPr>
        <w:t>Cash Flow</w:t>
      </w:r>
    </w:p>
    <w:tbl>
      <w:tblPr>
        <w:tblW w:w="9333" w:type="dxa"/>
        <w:tblLayout w:type="fixed"/>
        <w:tblLook w:val="04A0" w:firstRow="1" w:lastRow="0" w:firstColumn="1" w:lastColumn="0" w:noHBand="0" w:noVBand="1"/>
      </w:tblPr>
      <w:tblGrid>
        <w:gridCol w:w="2256"/>
        <w:gridCol w:w="323"/>
        <w:gridCol w:w="1688"/>
        <w:gridCol w:w="323"/>
        <w:gridCol w:w="504"/>
        <w:gridCol w:w="323"/>
        <w:gridCol w:w="1837"/>
        <w:gridCol w:w="324"/>
        <w:gridCol w:w="1755"/>
      </w:tblGrid>
      <w:tr w:rsidR="003E0848" w:rsidRPr="00DA4360" w14:paraId="16E011C2" w14:textId="77777777" w:rsidTr="004A1755">
        <w:trPr>
          <w:trHeight w:val="113"/>
        </w:trPr>
        <w:tc>
          <w:tcPr>
            <w:tcW w:w="2256" w:type="dxa"/>
            <w:tcBorders>
              <w:top w:val="single" w:sz="4" w:space="0" w:color="auto"/>
              <w:bottom w:val="single" w:sz="12" w:space="0" w:color="auto"/>
            </w:tcBorders>
            <w:shd w:val="clear" w:color="auto" w:fill="auto"/>
          </w:tcPr>
          <w:p w14:paraId="0A85ED24" w14:textId="77777777" w:rsidR="00732B04" w:rsidRPr="00DA4360" w:rsidRDefault="00732B04" w:rsidP="003F6F1A">
            <w:pPr>
              <w:tabs>
                <w:tab w:val="left" w:pos="360"/>
              </w:tabs>
              <w:suppressAutoHyphens/>
              <w:spacing w:after="0" w:line="240" w:lineRule="auto"/>
              <w:rPr>
                <w:rFonts w:ascii="Arial" w:hAnsi="Arial" w:cs="Arial"/>
                <w:sz w:val="20"/>
                <w:szCs w:val="20"/>
                <w:lang w:val="en-CA"/>
              </w:rPr>
            </w:pPr>
          </w:p>
        </w:tc>
        <w:tc>
          <w:tcPr>
            <w:tcW w:w="323" w:type="dxa"/>
            <w:tcBorders>
              <w:top w:val="single" w:sz="4" w:space="0" w:color="auto"/>
              <w:bottom w:val="single" w:sz="12" w:space="0" w:color="auto"/>
            </w:tcBorders>
            <w:shd w:val="clear" w:color="auto" w:fill="auto"/>
          </w:tcPr>
          <w:p w14:paraId="4EE73586" w14:textId="77777777" w:rsidR="00732B04" w:rsidRPr="00DA4360" w:rsidRDefault="00732B04" w:rsidP="003F6F1A">
            <w:pPr>
              <w:tabs>
                <w:tab w:val="left" w:pos="360"/>
              </w:tabs>
              <w:suppressAutoHyphens/>
              <w:spacing w:after="0" w:line="240" w:lineRule="auto"/>
              <w:jc w:val="both"/>
              <w:rPr>
                <w:rFonts w:ascii="Arial" w:hAnsi="Arial" w:cs="Arial"/>
                <w:b/>
                <w:sz w:val="20"/>
                <w:szCs w:val="20"/>
                <w:lang w:val="en-CA"/>
              </w:rPr>
            </w:pPr>
          </w:p>
        </w:tc>
        <w:tc>
          <w:tcPr>
            <w:tcW w:w="1688" w:type="dxa"/>
            <w:tcBorders>
              <w:top w:val="single" w:sz="4" w:space="0" w:color="auto"/>
              <w:bottom w:val="single" w:sz="12" w:space="0" w:color="auto"/>
            </w:tcBorders>
            <w:shd w:val="clear" w:color="auto" w:fill="auto"/>
          </w:tcPr>
          <w:p w14:paraId="16FD3F68" w14:textId="77777777" w:rsidR="00732B04" w:rsidRPr="00DA4360" w:rsidRDefault="00732B04" w:rsidP="003F6F1A">
            <w:pPr>
              <w:tabs>
                <w:tab w:val="left" w:pos="360"/>
              </w:tabs>
              <w:suppressAutoHyphens/>
              <w:spacing w:after="0" w:line="240" w:lineRule="auto"/>
              <w:jc w:val="right"/>
              <w:rPr>
                <w:rFonts w:ascii="Arial" w:hAnsi="Arial" w:cs="Arial"/>
                <w:b/>
                <w:sz w:val="20"/>
                <w:szCs w:val="20"/>
                <w:lang w:val="en-CA"/>
              </w:rPr>
            </w:pPr>
          </w:p>
        </w:tc>
        <w:tc>
          <w:tcPr>
            <w:tcW w:w="323" w:type="dxa"/>
            <w:tcBorders>
              <w:top w:val="single" w:sz="4" w:space="0" w:color="auto"/>
              <w:bottom w:val="single" w:sz="12" w:space="0" w:color="auto"/>
            </w:tcBorders>
            <w:shd w:val="clear" w:color="auto" w:fill="auto"/>
          </w:tcPr>
          <w:p w14:paraId="0C763793" w14:textId="77777777" w:rsidR="00732B04" w:rsidRPr="00DA4360" w:rsidRDefault="00732B04" w:rsidP="003F6F1A">
            <w:pPr>
              <w:tabs>
                <w:tab w:val="left" w:pos="360"/>
              </w:tabs>
              <w:suppressAutoHyphens/>
              <w:spacing w:after="0" w:line="240" w:lineRule="auto"/>
              <w:jc w:val="right"/>
              <w:rPr>
                <w:rFonts w:ascii="Arial" w:hAnsi="Arial" w:cs="Arial"/>
                <w:b/>
                <w:sz w:val="20"/>
                <w:szCs w:val="20"/>
                <w:lang w:val="en-CA"/>
              </w:rPr>
            </w:pPr>
          </w:p>
        </w:tc>
        <w:tc>
          <w:tcPr>
            <w:tcW w:w="504" w:type="dxa"/>
            <w:tcBorders>
              <w:top w:val="single" w:sz="4" w:space="0" w:color="auto"/>
              <w:bottom w:val="single" w:sz="12" w:space="0" w:color="auto"/>
            </w:tcBorders>
            <w:shd w:val="clear" w:color="auto" w:fill="auto"/>
          </w:tcPr>
          <w:p w14:paraId="2E3EBE1F" w14:textId="77777777" w:rsidR="00732B04" w:rsidRPr="00DA4360" w:rsidRDefault="00732B04" w:rsidP="003F6F1A">
            <w:pPr>
              <w:tabs>
                <w:tab w:val="left" w:pos="360"/>
              </w:tabs>
              <w:suppressAutoHyphens/>
              <w:spacing w:after="0" w:line="240" w:lineRule="auto"/>
              <w:jc w:val="right"/>
              <w:rPr>
                <w:rFonts w:ascii="Arial" w:hAnsi="Arial" w:cs="Arial"/>
                <w:sz w:val="20"/>
                <w:szCs w:val="20"/>
                <w:lang w:val="en-CA"/>
              </w:rPr>
            </w:pPr>
          </w:p>
        </w:tc>
        <w:tc>
          <w:tcPr>
            <w:tcW w:w="323" w:type="dxa"/>
            <w:tcBorders>
              <w:top w:val="single" w:sz="4" w:space="0" w:color="auto"/>
              <w:bottom w:val="single" w:sz="12" w:space="0" w:color="auto"/>
            </w:tcBorders>
            <w:shd w:val="clear" w:color="auto" w:fill="auto"/>
          </w:tcPr>
          <w:p w14:paraId="38107C2F" w14:textId="77777777" w:rsidR="00732B04" w:rsidRPr="00DA4360" w:rsidRDefault="00732B04" w:rsidP="003F6F1A">
            <w:pPr>
              <w:tabs>
                <w:tab w:val="left" w:pos="360"/>
              </w:tabs>
              <w:suppressAutoHyphens/>
              <w:spacing w:after="0" w:line="240" w:lineRule="auto"/>
              <w:jc w:val="right"/>
              <w:rPr>
                <w:rFonts w:ascii="Arial" w:hAnsi="Arial" w:cs="Arial"/>
                <w:b/>
                <w:sz w:val="20"/>
                <w:szCs w:val="20"/>
                <w:lang w:val="en-CA"/>
              </w:rPr>
            </w:pPr>
          </w:p>
        </w:tc>
        <w:tc>
          <w:tcPr>
            <w:tcW w:w="1837" w:type="dxa"/>
            <w:tcBorders>
              <w:top w:val="single" w:sz="4" w:space="0" w:color="auto"/>
              <w:bottom w:val="single" w:sz="12" w:space="0" w:color="auto"/>
            </w:tcBorders>
            <w:shd w:val="clear" w:color="auto" w:fill="auto"/>
            <w:vAlign w:val="bottom"/>
          </w:tcPr>
          <w:p w14:paraId="6B78F781" w14:textId="77777777" w:rsidR="00732B04" w:rsidRPr="00DA4360" w:rsidRDefault="003052EF" w:rsidP="003F6F1A">
            <w:pPr>
              <w:tabs>
                <w:tab w:val="left" w:pos="360"/>
              </w:tabs>
              <w:suppressAutoHyphens/>
              <w:spacing w:after="0" w:line="240" w:lineRule="auto"/>
              <w:jc w:val="right"/>
              <w:rPr>
                <w:rFonts w:ascii="Arial" w:hAnsi="Arial" w:cs="Arial"/>
                <w:b/>
                <w:sz w:val="20"/>
                <w:szCs w:val="20"/>
                <w:lang w:val="en-CA"/>
              </w:rPr>
            </w:pPr>
            <w:r w:rsidRPr="00DA4360">
              <w:rPr>
                <w:rFonts w:ascii="Arial" w:hAnsi="Arial" w:cs="Arial"/>
                <w:b/>
                <w:sz w:val="20"/>
                <w:szCs w:val="20"/>
                <w:lang w:val="en-CA"/>
              </w:rPr>
              <w:t>YTD</w:t>
            </w:r>
            <w:r w:rsidR="003C5740" w:rsidRPr="00DA4360">
              <w:rPr>
                <w:rFonts w:ascii="Arial" w:hAnsi="Arial" w:cs="Arial"/>
                <w:b/>
                <w:sz w:val="20"/>
                <w:szCs w:val="20"/>
                <w:lang w:val="en-CA"/>
              </w:rPr>
              <w:t xml:space="preserve"> 2019</w:t>
            </w:r>
          </w:p>
        </w:tc>
        <w:tc>
          <w:tcPr>
            <w:tcW w:w="324" w:type="dxa"/>
            <w:tcBorders>
              <w:top w:val="single" w:sz="4" w:space="0" w:color="auto"/>
              <w:bottom w:val="single" w:sz="12" w:space="0" w:color="auto"/>
            </w:tcBorders>
            <w:shd w:val="clear" w:color="auto" w:fill="auto"/>
          </w:tcPr>
          <w:p w14:paraId="1ABC074D" w14:textId="77777777" w:rsidR="00732B04" w:rsidRPr="00DA4360" w:rsidRDefault="00732B04" w:rsidP="003F6F1A">
            <w:pPr>
              <w:tabs>
                <w:tab w:val="left" w:pos="360"/>
              </w:tabs>
              <w:suppressAutoHyphens/>
              <w:spacing w:after="0" w:line="240" w:lineRule="auto"/>
              <w:jc w:val="right"/>
              <w:rPr>
                <w:rFonts w:ascii="Arial" w:hAnsi="Arial" w:cs="Arial"/>
                <w:b/>
                <w:sz w:val="20"/>
                <w:szCs w:val="20"/>
                <w:lang w:val="en-CA"/>
              </w:rPr>
            </w:pPr>
          </w:p>
        </w:tc>
        <w:tc>
          <w:tcPr>
            <w:tcW w:w="1755" w:type="dxa"/>
            <w:tcBorders>
              <w:top w:val="single" w:sz="4" w:space="0" w:color="auto"/>
              <w:bottom w:val="single" w:sz="12" w:space="0" w:color="auto"/>
            </w:tcBorders>
            <w:shd w:val="clear" w:color="auto" w:fill="auto"/>
            <w:vAlign w:val="bottom"/>
          </w:tcPr>
          <w:p w14:paraId="3A70DD21" w14:textId="77777777" w:rsidR="00732B04" w:rsidRPr="00DA4360" w:rsidRDefault="003052EF" w:rsidP="003F6F1A">
            <w:pPr>
              <w:tabs>
                <w:tab w:val="left" w:pos="360"/>
              </w:tabs>
              <w:suppressAutoHyphens/>
              <w:spacing w:after="0" w:line="240" w:lineRule="auto"/>
              <w:jc w:val="right"/>
              <w:rPr>
                <w:rFonts w:ascii="Arial" w:hAnsi="Arial" w:cs="Arial"/>
                <w:sz w:val="20"/>
                <w:szCs w:val="20"/>
                <w:lang w:val="en-CA"/>
              </w:rPr>
            </w:pPr>
            <w:r w:rsidRPr="00DA4360">
              <w:rPr>
                <w:rFonts w:ascii="Arial" w:hAnsi="Arial" w:cs="Arial"/>
                <w:sz w:val="20"/>
                <w:szCs w:val="20"/>
                <w:lang w:val="en-CA"/>
              </w:rPr>
              <w:t>YTD</w:t>
            </w:r>
            <w:r w:rsidR="003C5740" w:rsidRPr="00DA4360">
              <w:rPr>
                <w:rFonts w:ascii="Arial" w:hAnsi="Arial" w:cs="Arial"/>
                <w:sz w:val="20"/>
                <w:szCs w:val="20"/>
                <w:lang w:val="en-CA"/>
              </w:rPr>
              <w:t xml:space="preserve"> 2018</w:t>
            </w:r>
          </w:p>
        </w:tc>
      </w:tr>
      <w:tr w:rsidR="003E0848" w:rsidRPr="00DA4360" w14:paraId="2C5CF6D5" w14:textId="77777777" w:rsidTr="004A1755">
        <w:trPr>
          <w:trHeight w:val="113"/>
        </w:trPr>
        <w:tc>
          <w:tcPr>
            <w:tcW w:w="2256" w:type="dxa"/>
            <w:tcBorders>
              <w:top w:val="single" w:sz="12" w:space="0" w:color="auto"/>
            </w:tcBorders>
            <w:shd w:val="clear" w:color="auto" w:fill="auto"/>
          </w:tcPr>
          <w:p w14:paraId="2D15FFFE" w14:textId="77777777" w:rsidR="00732B04" w:rsidRPr="00DA4360" w:rsidRDefault="00732B04" w:rsidP="003F6F1A">
            <w:pPr>
              <w:tabs>
                <w:tab w:val="left" w:pos="360"/>
              </w:tabs>
              <w:suppressAutoHyphens/>
              <w:spacing w:after="0" w:line="240" w:lineRule="auto"/>
              <w:rPr>
                <w:rFonts w:ascii="Arial" w:hAnsi="Arial" w:cs="Arial"/>
                <w:sz w:val="20"/>
                <w:szCs w:val="20"/>
                <w:lang w:val="en-CA"/>
              </w:rPr>
            </w:pPr>
          </w:p>
        </w:tc>
        <w:tc>
          <w:tcPr>
            <w:tcW w:w="323" w:type="dxa"/>
            <w:tcBorders>
              <w:top w:val="single" w:sz="12" w:space="0" w:color="auto"/>
            </w:tcBorders>
            <w:shd w:val="clear" w:color="auto" w:fill="auto"/>
          </w:tcPr>
          <w:p w14:paraId="400A75CF" w14:textId="77777777" w:rsidR="00732B04" w:rsidRPr="00DA4360" w:rsidRDefault="00732B04" w:rsidP="003F6F1A">
            <w:pPr>
              <w:tabs>
                <w:tab w:val="left" w:pos="360"/>
              </w:tabs>
              <w:suppressAutoHyphens/>
              <w:spacing w:after="0" w:line="240" w:lineRule="auto"/>
              <w:jc w:val="both"/>
              <w:rPr>
                <w:rFonts w:ascii="Arial" w:hAnsi="Arial" w:cs="Arial"/>
                <w:sz w:val="20"/>
                <w:szCs w:val="20"/>
                <w:lang w:val="en-CA"/>
              </w:rPr>
            </w:pPr>
          </w:p>
        </w:tc>
        <w:tc>
          <w:tcPr>
            <w:tcW w:w="1688" w:type="dxa"/>
            <w:tcBorders>
              <w:top w:val="single" w:sz="12" w:space="0" w:color="auto"/>
            </w:tcBorders>
            <w:shd w:val="clear" w:color="auto" w:fill="auto"/>
          </w:tcPr>
          <w:p w14:paraId="6C566B6D" w14:textId="77777777" w:rsidR="00732B04" w:rsidRPr="00DA4360" w:rsidRDefault="00732B04" w:rsidP="003F6F1A">
            <w:pPr>
              <w:tabs>
                <w:tab w:val="left" w:pos="360"/>
              </w:tabs>
              <w:suppressAutoHyphens/>
              <w:spacing w:after="0" w:line="240" w:lineRule="auto"/>
              <w:jc w:val="both"/>
              <w:rPr>
                <w:rFonts w:ascii="Arial" w:hAnsi="Arial" w:cs="Arial"/>
                <w:sz w:val="20"/>
                <w:szCs w:val="20"/>
                <w:lang w:val="en-CA"/>
              </w:rPr>
            </w:pPr>
          </w:p>
        </w:tc>
        <w:tc>
          <w:tcPr>
            <w:tcW w:w="323" w:type="dxa"/>
            <w:tcBorders>
              <w:top w:val="single" w:sz="12" w:space="0" w:color="auto"/>
            </w:tcBorders>
            <w:shd w:val="clear" w:color="auto" w:fill="auto"/>
          </w:tcPr>
          <w:p w14:paraId="4A641DA6" w14:textId="77777777" w:rsidR="00732B04" w:rsidRPr="00DA4360" w:rsidRDefault="00732B04" w:rsidP="003F6F1A">
            <w:pPr>
              <w:tabs>
                <w:tab w:val="left" w:pos="360"/>
              </w:tabs>
              <w:suppressAutoHyphens/>
              <w:spacing w:after="0" w:line="240" w:lineRule="auto"/>
              <w:jc w:val="both"/>
              <w:rPr>
                <w:rFonts w:ascii="Arial" w:hAnsi="Arial" w:cs="Arial"/>
                <w:sz w:val="20"/>
                <w:szCs w:val="20"/>
                <w:lang w:val="en-CA"/>
              </w:rPr>
            </w:pPr>
          </w:p>
        </w:tc>
        <w:tc>
          <w:tcPr>
            <w:tcW w:w="504" w:type="dxa"/>
            <w:tcBorders>
              <w:top w:val="single" w:sz="12" w:space="0" w:color="auto"/>
            </w:tcBorders>
            <w:shd w:val="clear" w:color="auto" w:fill="auto"/>
          </w:tcPr>
          <w:p w14:paraId="7DD23641" w14:textId="77777777" w:rsidR="00732B04" w:rsidRPr="00DA4360" w:rsidRDefault="00732B04" w:rsidP="003F6F1A">
            <w:pPr>
              <w:tabs>
                <w:tab w:val="left" w:pos="360"/>
              </w:tabs>
              <w:suppressAutoHyphens/>
              <w:spacing w:after="0" w:line="240" w:lineRule="auto"/>
              <w:jc w:val="both"/>
              <w:rPr>
                <w:rFonts w:ascii="Arial" w:hAnsi="Arial" w:cs="Arial"/>
                <w:sz w:val="20"/>
                <w:szCs w:val="20"/>
                <w:lang w:val="en-CA"/>
              </w:rPr>
            </w:pPr>
          </w:p>
        </w:tc>
        <w:tc>
          <w:tcPr>
            <w:tcW w:w="323" w:type="dxa"/>
            <w:tcBorders>
              <w:top w:val="single" w:sz="12" w:space="0" w:color="auto"/>
            </w:tcBorders>
            <w:shd w:val="clear" w:color="auto" w:fill="auto"/>
          </w:tcPr>
          <w:p w14:paraId="04784A5C" w14:textId="77777777" w:rsidR="00732B04" w:rsidRPr="00DA4360" w:rsidRDefault="00732B04" w:rsidP="003F6F1A">
            <w:pPr>
              <w:tabs>
                <w:tab w:val="left" w:pos="360"/>
              </w:tabs>
              <w:suppressAutoHyphens/>
              <w:spacing w:after="0" w:line="240" w:lineRule="auto"/>
              <w:jc w:val="both"/>
              <w:rPr>
                <w:rFonts w:ascii="Arial" w:hAnsi="Arial" w:cs="Arial"/>
                <w:sz w:val="20"/>
                <w:szCs w:val="20"/>
                <w:lang w:val="en-CA"/>
              </w:rPr>
            </w:pPr>
          </w:p>
        </w:tc>
        <w:tc>
          <w:tcPr>
            <w:tcW w:w="1837" w:type="dxa"/>
            <w:tcBorders>
              <w:top w:val="single" w:sz="12" w:space="0" w:color="auto"/>
            </w:tcBorders>
            <w:shd w:val="clear" w:color="auto" w:fill="auto"/>
            <w:vAlign w:val="bottom"/>
          </w:tcPr>
          <w:p w14:paraId="15C970E2" w14:textId="77777777" w:rsidR="00732B04" w:rsidRPr="00DA4360" w:rsidRDefault="00732B04" w:rsidP="004A1755">
            <w:pPr>
              <w:tabs>
                <w:tab w:val="left" w:pos="360"/>
              </w:tabs>
              <w:suppressAutoHyphens/>
              <w:spacing w:after="0" w:line="240" w:lineRule="auto"/>
              <w:jc w:val="right"/>
              <w:rPr>
                <w:rFonts w:ascii="Arial" w:hAnsi="Arial" w:cs="Arial"/>
                <w:sz w:val="20"/>
                <w:szCs w:val="20"/>
                <w:lang w:val="en-CA"/>
              </w:rPr>
            </w:pPr>
          </w:p>
        </w:tc>
        <w:tc>
          <w:tcPr>
            <w:tcW w:w="324" w:type="dxa"/>
            <w:tcBorders>
              <w:top w:val="single" w:sz="12" w:space="0" w:color="auto"/>
            </w:tcBorders>
            <w:shd w:val="clear" w:color="auto" w:fill="auto"/>
          </w:tcPr>
          <w:p w14:paraId="6BFC5030" w14:textId="77777777" w:rsidR="00732B04" w:rsidRPr="00DA4360" w:rsidRDefault="00732B04" w:rsidP="003F6F1A">
            <w:pPr>
              <w:tabs>
                <w:tab w:val="left" w:pos="360"/>
              </w:tabs>
              <w:suppressAutoHyphens/>
              <w:spacing w:after="0" w:line="240" w:lineRule="auto"/>
              <w:jc w:val="both"/>
              <w:rPr>
                <w:rFonts w:ascii="Arial" w:hAnsi="Arial" w:cs="Arial"/>
                <w:sz w:val="20"/>
                <w:szCs w:val="20"/>
                <w:lang w:val="en-CA"/>
              </w:rPr>
            </w:pPr>
          </w:p>
        </w:tc>
        <w:tc>
          <w:tcPr>
            <w:tcW w:w="1755" w:type="dxa"/>
            <w:tcBorders>
              <w:top w:val="single" w:sz="12" w:space="0" w:color="auto"/>
            </w:tcBorders>
            <w:shd w:val="clear" w:color="auto" w:fill="auto"/>
            <w:vAlign w:val="bottom"/>
          </w:tcPr>
          <w:p w14:paraId="499D2338" w14:textId="77777777" w:rsidR="00732B04" w:rsidRPr="00DA4360" w:rsidRDefault="00732B04" w:rsidP="004A1755">
            <w:pPr>
              <w:tabs>
                <w:tab w:val="left" w:pos="360"/>
              </w:tabs>
              <w:suppressAutoHyphens/>
              <w:spacing w:after="0" w:line="240" w:lineRule="auto"/>
              <w:jc w:val="right"/>
              <w:rPr>
                <w:rFonts w:ascii="Arial" w:hAnsi="Arial" w:cs="Arial"/>
                <w:sz w:val="20"/>
                <w:szCs w:val="20"/>
                <w:lang w:val="en-CA"/>
              </w:rPr>
            </w:pPr>
          </w:p>
        </w:tc>
      </w:tr>
      <w:tr w:rsidR="003E0848" w:rsidRPr="00DA4360" w14:paraId="3F12A792" w14:textId="77777777" w:rsidTr="004A1755">
        <w:trPr>
          <w:trHeight w:val="113"/>
        </w:trPr>
        <w:tc>
          <w:tcPr>
            <w:tcW w:w="4590" w:type="dxa"/>
            <w:gridSpan w:val="4"/>
            <w:shd w:val="clear" w:color="auto" w:fill="auto"/>
          </w:tcPr>
          <w:p w14:paraId="05761AE8" w14:textId="77777777" w:rsidR="00770FCE" w:rsidRPr="00DA4360" w:rsidRDefault="00770FCE" w:rsidP="003F6F1A">
            <w:pPr>
              <w:tabs>
                <w:tab w:val="left" w:pos="360"/>
              </w:tabs>
              <w:suppressAutoHyphens/>
              <w:spacing w:after="0" w:line="240" w:lineRule="auto"/>
              <w:jc w:val="both"/>
              <w:rPr>
                <w:rFonts w:ascii="Arial" w:hAnsi="Arial" w:cs="Arial"/>
                <w:sz w:val="20"/>
                <w:szCs w:val="20"/>
                <w:lang w:val="en-CA"/>
              </w:rPr>
            </w:pPr>
            <w:r w:rsidRPr="00DA4360">
              <w:rPr>
                <w:rFonts w:ascii="Arial" w:hAnsi="Arial" w:cs="Arial"/>
                <w:sz w:val="20"/>
                <w:szCs w:val="20"/>
                <w:lang w:val="en-CA"/>
              </w:rPr>
              <w:t>Net cash used in operating activities</w:t>
            </w:r>
          </w:p>
        </w:tc>
        <w:tc>
          <w:tcPr>
            <w:tcW w:w="504" w:type="dxa"/>
            <w:shd w:val="clear" w:color="auto" w:fill="auto"/>
          </w:tcPr>
          <w:p w14:paraId="1EF2DB60" w14:textId="77777777" w:rsidR="00770FCE" w:rsidRPr="00DA4360" w:rsidRDefault="00770FCE" w:rsidP="003F6F1A">
            <w:pPr>
              <w:tabs>
                <w:tab w:val="left" w:pos="360"/>
              </w:tabs>
              <w:suppressAutoHyphens/>
              <w:spacing w:after="0" w:line="240" w:lineRule="auto"/>
              <w:jc w:val="right"/>
              <w:rPr>
                <w:rFonts w:ascii="Arial" w:hAnsi="Arial" w:cs="Arial"/>
                <w:sz w:val="20"/>
                <w:szCs w:val="20"/>
                <w:lang w:val="en-CA"/>
              </w:rPr>
            </w:pPr>
          </w:p>
        </w:tc>
        <w:tc>
          <w:tcPr>
            <w:tcW w:w="323" w:type="dxa"/>
            <w:shd w:val="clear" w:color="auto" w:fill="auto"/>
          </w:tcPr>
          <w:p w14:paraId="65D6A1FA" w14:textId="77777777" w:rsidR="00770FCE" w:rsidRPr="00DA4360" w:rsidRDefault="00770FCE" w:rsidP="003F6F1A">
            <w:pPr>
              <w:tabs>
                <w:tab w:val="left" w:pos="360"/>
              </w:tabs>
              <w:suppressAutoHyphens/>
              <w:spacing w:after="0" w:line="240" w:lineRule="auto"/>
              <w:jc w:val="right"/>
              <w:rPr>
                <w:rFonts w:ascii="Arial" w:hAnsi="Arial" w:cs="Arial"/>
                <w:b/>
                <w:sz w:val="20"/>
                <w:szCs w:val="20"/>
                <w:lang w:val="en-CA"/>
              </w:rPr>
            </w:pPr>
            <w:r w:rsidRPr="00DA4360">
              <w:rPr>
                <w:rFonts w:ascii="Arial" w:hAnsi="Arial" w:cs="Arial"/>
                <w:b/>
                <w:sz w:val="20"/>
                <w:szCs w:val="20"/>
                <w:lang w:val="en-CA"/>
              </w:rPr>
              <w:t>$</w:t>
            </w:r>
          </w:p>
        </w:tc>
        <w:tc>
          <w:tcPr>
            <w:tcW w:w="1837" w:type="dxa"/>
            <w:shd w:val="clear" w:color="auto" w:fill="auto"/>
            <w:vAlign w:val="bottom"/>
          </w:tcPr>
          <w:p w14:paraId="7610E52F" w14:textId="77777777" w:rsidR="00770FCE" w:rsidRPr="00DA4360" w:rsidRDefault="00770FCE" w:rsidP="003F6F1A">
            <w:pPr>
              <w:tabs>
                <w:tab w:val="left" w:pos="360"/>
              </w:tabs>
              <w:suppressAutoHyphens/>
              <w:spacing w:after="0" w:line="240" w:lineRule="auto"/>
              <w:jc w:val="right"/>
              <w:rPr>
                <w:rFonts w:ascii="Arial" w:hAnsi="Arial" w:cs="Arial"/>
                <w:b/>
                <w:sz w:val="20"/>
                <w:szCs w:val="20"/>
                <w:lang w:val="en-CA"/>
              </w:rPr>
            </w:pPr>
            <w:r w:rsidRPr="00DA4360">
              <w:rPr>
                <w:rFonts w:ascii="Arial" w:hAnsi="Arial" w:cs="Arial"/>
                <w:b/>
                <w:sz w:val="20"/>
                <w:szCs w:val="20"/>
                <w:lang w:val="en-CA"/>
              </w:rPr>
              <w:t>(</w:t>
            </w:r>
            <w:r w:rsidR="003052EF" w:rsidRPr="00DA4360">
              <w:rPr>
                <w:rFonts w:ascii="Arial" w:hAnsi="Arial" w:cs="Arial"/>
                <w:b/>
                <w:sz w:val="20"/>
                <w:szCs w:val="20"/>
                <w:lang w:val="en-CA"/>
              </w:rPr>
              <w:t>1,</w:t>
            </w:r>
            <w:r w:rsidR="00BD1255" w:rsidRPr="00DA4360">
              <w:rPr>
                <w:rFonts w:ascii="Arial" w:hAnsi="Arial" w:cs="Arial"/>
                <w:b/>
                <w:sz w:val="20"/>
                <w:szCs w:val="20"/>
                <w:lang w:val="en-CA"/>
              </w:rPr>
              <w:t>33</w:t>
            </w:r>
            <w:r w:rsidR="005C15D5" w:rsidRPr="00DA4360">
              <w:rPr>
                <w:rFonts w:ascii="Arial" w:hAnsi="Arial" w:cs="Arial"/>
                <w:b/>
                <w:sz w:val="20"/>
                <w:szCs w:val="20"/>
                <w:lang w:val="en-CA"/>
              </w:rPr>
              <w:t>1</w:t>
            </w:r>
            <w:r w:rsidR="00BD1255" w:rsidRPr="00DA4360">
              <w:rPr>
                <w:rFonts w:ascii="Arial" w:hAnsi="Arial" w:cs="Arial"/>
                <w:b/>
                <w:sz w:val="20"/>
                <w:szCs w:val="20"/>
                <w:lang w:val="en-CA"/>
              </w:rPr>
              <w:t>,</w:t>
            </w:r>
            <w:r w:rsidR="005C15D5" w:rsidRPr="00DA4360">
              <w:rPr>
                <w:rFonts w:ascii="Arial" w:hAnsi="Arial" w:cs="Arial"/>
                <w:b/>
                <w:sz w:val="20"/>
                <w:szCs w:val="20"/>
                <w:lang w:val="en-CA"/>
              </w:rPr>
              <w:t>950</w:t>
            </w:r>
            <w:r w:rsidRPr="00DA4360">
              <w:rPr>
                <w:rFonts w:ascii="Arial" w:hAnsi="Arial" w:cs="Arial"/>
                <w:b/>
                <w:sz w:val="20"/>
                <w:szCs w:val="20"/>
                <w:lang w:val="en-CA"/>
              </w:rPr>
              <w:t>)</w:t>
            </w:r>
          </w:p>
        </w:tc>
        <w:tc>
          <w:tcPr>
            <w:tcW w:w="324" w:type="dxa"/>
            <w:shd w:val="clear" w:color="auto" w:fill="auto"/>
          </w:tcPr>
          <w:p w14:paraId="01353576" w14:textId="77777777" w:rsidR="00770FCE" w:rsidRPr="00DA4360" w:rsidRDefault="00770FCE" w:rsidP="003F6F1A">
            <w:pPr>
              <w:tabs>
                <w:tab w:val="left" w:pos="360"/>
              </w:tabs>
              <w:suppressAutoHyphens/>
              <w:spacing w:after="0" w:line="240" w:lineRule="auto"/>
              <w:jc w:val="right"/>
              <w:rPr>
                <w:rFonts w:ascii="Arial" w:hAnsi="Arial" w:cs="Arial"/>
                <w:sz w:val="20"/>
                <w:szCs w:val="20"/>
                <w:lang w:val="en-CA"/>
              </w:rPr>
            </w:pPr>
            <w:r w:rsidRPr="00DA4360">
              <w:rPr>
                <w:rFonts w:ascii="Arial" w:hAnsi="Arial" w:cs="Arial"/>
                <w:sz w:val="20"/>
                <w:szCs w:val="20"/>
                <w:lang w:val="en-CA"/>
              </w:rPr>
              <w:t>$</w:t>
            </w:r>
          </w:p>
        </w:tc>
        <w:tc>
          <w:tcPr>
            <w:tcW w:w="1755" w:type="dxa"/>
            <w:shd w:val="clear" w:color="auto" w:fill="auto"/>
            <w:vAlign w:val="bottom"/>
          </w:tcPr>
          <w:p w14:paraId="7150AD3B" w14:textId="77777777" w:rsidR="00770FCE" w:rsidRPr="00DA4360" w:rsidRDefault="00770FCE" w:rsidP="003F6F1A">
            <w:pPr>
              <w:tabs>
                <w:tab w:val="left" w:pos="360"/>
              </w:tabs>
              <w:suppressAutoHyphens/>
              <w:spacing w:after="0" w:line="240" w:lineRule="auto"/>
              <w:jc w:val="right"/>
              <w:rPr>
                <w:rFonts w:ascii="Arial" w:hAnsi="Arial" w:cs="Arial"/>
                <w:sz w:val="20"/>
                <w:szCs w:val="20"/>
                <w:lang w:val="en-CA"/>
              </w:rPr>
            </w:pPr>
            <w:r w:rsidRPr="00DA4360">
              <w:rPr>
                <w:rFonts w:ascii="Arial" w:hAnsi="Arial" w:cs="Arial"/>
                <w:sz w:val="20"/>
                <w:szCs w:val="20"/>
                <w:lang w:val="en-CA"/>
              </w:rPr>
              <w:t>(</w:t>
            </w:r>
            <w:r w:rsidR="003052EF" w:rsidRPr="00DA4360">
              <w:rPr>
                <w:rFonts w:ascii="Arial" w:hAnsi="Arial" w:cs="Arial"/>
                <w:sz w:val="20"/>
                <w:szCs w:val="20"/>
                <w:lang w:val="en-CA"/>
              </w:rPr>
              <w:t>2,358,949</w:t>
            </w:r>
            <w:r w:rsidRPr="00DA4360">
              <w:rPr>
                <w:rFonts w:ascii="Arial" w:hAnsi="Arial" w:cs="Arial"/>
                <w:sz w:val="20"/>
                <w:szCs w:val="20"/>
                <w:lang w:val="en-CA"/>
              </w:rPr>
              <w:t>)</w:t>
            </w:r>
          </w:p>
        </w:tc>
      </w:tr>
      <w:tr w:rsidR="003E0848" w:rsidRPr="00DA4360" w14:paraId="3C56A271" w14:textId="77777777" w:rsidTr="004A1755">
        <w:trPr>
          <w:trHeight w:val="113"/>
        </w:trPr>
        <w:tc>
          <w:tcPr>
            <w:tcW w:w="2256" w:type="dxa"/>
            <w:shd w:val="clear" w:color="auto" w:fill="auto"/>
          </w:tcPr>
          <w:p w14:paraId="49B36A13" w14:textId="77777777" w:rsidR="00732B04" w:rsidRPr="00DA4360" w:rsidRDefault="00732B04" w:rsidP="003F6F1A">
            <w:pPr>
              <w:pStyle w:val="ColorfulList-Accent11"/>
              <w:tabs>
                <w:tab w:val="left" w:pos="360"/>
              </w:tabs>
              <w:suppressAutoHyphens/>
              <w:ind w:left="360"/>
              <w:rPr>
                <w:rFonts w:ascii="Arial" w:hAnsi="Arial" w:cs="Arial"/>
                <w:sz w:val="20"/>
                <w:szCs w:val="20"/>
                <w:lang w:val="en-CA"/>
              </w:rPr>
            </w:pPr>
          </w:p>
        </w:tc>
        <w:tc>
          <w:tcPr>
            <w:tcW w:w="323" w:type="dxa"/>
            <w:shd w:val="clear" w:color="auto" w:fill="auto"/>
          </w:tcPr>
          <w:p w14:paraId="02F9332C" w14:textId="77777777" w:rsidR="00732B04" w:rsidRPr="00DA4360" w:rsidRDefault="00732B04" w:rsidP="003F6F1A">
            <w:pPr>
              <w:tabs>
                <w:tab w:val="left" w:pos="360"/>
              </w:tabs>
              <w:suppressAutoHyphens/>
              <w:spacing w:after="0" w:line="240" w:lineRule="auto"/>
              <w:jc w:val="right"/>
              <w:rPr>
                <w:rFonts w:ascii="Arial" w:hAnsi="Arial" w:cs="Arial"/>
                <w:b/>
                <w:sz w:val="20"/>
                <w:szCs w:val="20"/>
                <w:lang w:val="en-CA"/>
              </w:rPr>
            </w:pPr>
          </w:p>
        </w:tc>
        <w:tc>
          <w:tcPr>
            <w:tcW w:w="1688" w:type="dxa"/>
            <w:shd w:val="clear" w:color="auto" w:fill="auto"/>
          </w:tcPr>
          <w:p w14:paraId="2D2CD16A" w14:textId="77777777" w:rsidR="00732B04" w:rsidRPr="00DA4360" w:rsidRDefault="00732B04" w:rsidP="003F6F1A">
            <w:pPr>
              <w:tabs>
                <w:tab w:val="left" w:pos="360"/>
              </w:tabs>
              <w:suppressAutoHyphens/>
              <w:spacing w:after="0" w:line="240" w:lineRule="auto"/>
              <w:jc w:val="right"/>
              <w:rPr>
                <w:rFonts w:ascii="Arial" w:hAnsi="Arial" w:cs="Arial"/>
                <w:b/>
                <w:sz w:val="20"/>
                <w:szCs w:val="20"/>
                <w:lang w:val="en-CA"/>
              </w:rPr>
            </w:pPr>
          </w:p>
        </w:tc>
        <w:tc>
          <w:tcPr>
            <w:tcW w:w="323" w:type="dxa"/>
            <w:shd w:val="clear" w:color="auto" w:fill="auto"/>
          </w:tcPr>
          <w:p w14:paraId="2B6A8C5A" w14:textId="77777777" w:rsidR="00732B04" w:rsidRPr="00DA4360" w:rsidRDefault="00732B04" w:rsidP="003F6F1A">
            <w:pPr>
              <w:tabs>
                <w:tab w:val="left" w:pos="360"/>
              </w:tabs>
              <w:suppressAutoHyphens/>
              <w:spacing w:after="0" w:line="240" w:lineRule="auto"/>
              <w:jc w:val="right"/>
              <w:rPr>
                <w:rFonts w:ascii="Arial" w:hAnsi="Arial" w:cs="Arial"/>
                <w:sz w:val="20"/>
                <w:szCs w:val="20"/>
                <w:lang w:val="en-CA"/>
              </w:rPr>
            </w:pPr>
          </w:p>
        </w:tc>
        <w:tc>
          <w:tcPr>
            <w:tcW w:w="504" w:type="dxa"/>
            <w:shd w:val="clear" w:color="auto" w:fill="auto"/>
          </w:tcPr>
          <w:p w14:paraId="3197360F" w14:textId="77777777" w:rsidR="00732B04" w:rsidRPr="00DA4360" w:rsidRDefault="00732B04" w:rsidP="003F6F1A">
            <w:pPr>
              <w:tabs>
                <w:tab w:val="left" w:pos="360"/>
              </w:tabs>
              <w:suppressAutoHyphens/>
              <w:spacing w:after="0" w:line="240" w:lineRule="auto"/>
              <w:jc w:val="right"/>
              <w:rPr>
                <w:rFonts w:ascii="Arial" w:hAnsi="Arial" w:cs="Arial"/>
                <w:sz w:val="20"/>
                <w:szCs w:val="20"/>
                <w:lang w:val="en-CA"/>
              </w:rPr>
            </w:pPr>
          </w:p>
        </w:tc>
        <w:tc>
          <w:tcPr>
            <w:tcW w:w="323" w:type="dxa"/>
            <w:shd w:val="clear" w:color="auto" w:fill="auto"/>
          </w:tcPr>
          <w:p w14:paraId="11019D5E" w14:textId="77777777" w:rsidR="00732B04" w:rsidRPr="00DA4360" w:rsidRDefault="00732B04" w:rsidP="003F6F1A">
            <w:pPr>
              <w:tabs>
                <w:tab w:val="left" w:pos="360"/>
              </w:tabs>
              <w:suppressAutoHyphens/>
              <w:spacing w:after="0" w:line="240" w:lineRule="auto"/>
              <w:jc w:val="right"/>
              <w:rPr>
                <w:rFonts w:ascii="Arial" w:hAnsi="Arial" w:cs="Arial"/>
                <w:b/>
                <w:sz w:val="20"/>
                <w:szCs w:val="20"/>
                <w:lang w:val="en-CA"/>
              </w:rPr>
            </w:pPr>
          </w:p>
        </w:tc>
        <w:tc>
          <w:tcPr>
            <w:tcW w:w="1837" w:type="dxa"/>
            <w:shd w:val="clear" w:color="auto" w:fill="auto"/>
            <w:vAlign w:val="bottom"/>
          </w:tcPr>
          <w:p w14:paraId="05FED04E" w14:textId="77777777" w:rsidR="00732B04" w:rsidRPr="00DA4360" w:rsidRDefault="00732B04" w:rsidP="003F6F1A">
            <w:pPr>
              <w:tabs>
                <w:tab w:val="left" w:pos="360"/>
              </w:tabs>
              <w:suppressAutoHyphens/>
              <w:spacing w:after="0" w:line="240" w:lineRule="auto"/>
              <w:jc w:val="right"/>
              <w:rPr>
                <w:rFonts w:ascii="Arial" w:hAnsi="Arial" w:cs="Arial"/>
                <w:b/>
                <w:sz w:val="20"/>
                <w:szCs w:val="20"/>
                <w:lang w:val="en-CA"/>
              </w:rPr>
            </w:pPr>
          </w:p>
        </w:tc>
        <w:tc>
          <w:tcPr>
            <w:tcW w:w="324" w:type="dxa"/>
            <w:shd w:val="clear" w:color="auto" w:fill="auto"/>
          </w:tcPr>
          <w:p w14:paraId="1B89F9CF" w14:textId="77777777" w:rsidR="00732B04" w:rsidRPr="00DA4360" w:rsidRDefault="00732B04" w:rsidP="003F6F1A">
            <w:pPr>
              <w:tabs>
                <w:tab w:val="left" w:pos="360"/>
              </w:tabs>
              <w:suppressAutoHyphens/>
              <w:spacing w:after="0" w:line="240" w:lineRule="auto"/>
              <w:jc w:val="right"/>
              <w:rPr>
                <w:rFonts w:ascii="Arial" w:hAnsi="Arial" w:cs="Arial"/>
                <w:sz w:val="20"/>
                <w:szCs w:val="20"/>
                <w:lang w:val="en-CA"/>
              </w:rPr>
            </w:pPr>
          </w:p>
        </w:tc>
        <w:tc>
          <w:tcPr>
            <w:tcW w:w="1755" w:type="dxa"/>
            <w:shd w:val="clear" w:color="auto" w:fill="auto"/>
            <w:vAlign w:val="bottom"/>
          </w:tcPr>
          <w:p w14:paraId="174139E4" w14:textId="77777777" w:rsidR="00732B04" w:rsidRPr="00DA4360" w:rsidRDefault="00732B04" w:rsidP="003F6F1A">
            <w:pPr>
              <w:tabs>
                <w:tab w:val="left" w:pos="360"/>
              </w:tabs>
              <w:suppressAutoHyphens/>
              <w:spacing w:after="0" w:line="240" w:lineRule="auto"/>
              <w:jc w:val="right"/>
              <w:rPr>
                <w:rFonts w:ascii="Arial" w:hAnsi="Arial" w:cs="Arial"/>
                <w:sz w:val="20"/>
                <w:szCs w:val="20"/>
                <w:lang w:val="en-CA"/>
              </w:rPr>
            </w:pPr>
          </w:p>
        </w:tc>
      </w:tr>
      <w:tr w:rsidR="003E0848" w:rsidRPr="00DA4360" w14:paraId="4E328BA4" w14:textId="77777777" w:rsidTr="004A1755">
        <w:trPr>
          <w:trHeight w:val="113"/>
        </w:trPr>
        <w:tc>
          <w:tcPr>
            <w:tcW w:w="4267" w:type="dxa"/>
            <w:gridSpan w:val="3"/>
            <w:shd w:val="clear" w:color="auto" w:fill="auto"/>
            <w:vAlign w:val="bottom"/>
          </w:tcPr>
          <w:p w14:paraId="62A28EE2" w14:textId="77777777" w:rsidR="00770FCE" w:rsidRPr="00DA4360" w:rsidRDefault="00770FCE" w:rsidP="003F6F1A">
            <w:pPr>
              <w:tabs>
                <w:tab w:val="left" w:pos="360"/>
              </w:tabs>
              <w:suppressAutoHyphens/>
              <w:spacing w:after="0" w:line="240" w:lineRule="auto"/>
              <w:rPr>
                <w:rFonts w:ascii="Arial" w:hAnsi="Arial" w:cs="Arial"/>
                <w:b/>
                <w:sz w:val="20"/>
                <w:szCs w:val="20"/>
                <w:lang w:val="en-CA"/>
              </w:rPr>
            </w:pPr>
            <w:r w:rsidRPr="00DA4360">
              <w:rPr>
                <w:rFonts w:ascii="Arial" w:hAnsi="Arial" w:cs="Arial"/>
                <w:sz w:val="20"/>
                <w:szCs w:val="20"/>
                <w:lang w:val="en-CA"/>
              </w:rPr>
              <w:t>Net cash used in investing activities</w:t>
            </w:r>
          </w:p>
        </w:tc>
        <w:tc>
          <w:tcPr>
            <w:tcW w:w="323" w:type="dxa"/>
            <w:shd w:val="clear" w:color="auto" w:fill="auto"/>
          </w:tcPr>
          <w:p w14:paraId="11505908" w14:textId="77777777" w:rsidR="00770FCE" w:rsidRPr="00DA4360" w:rsidRDefault="00770FCE" w:rsidP="003F6F1A">
            <w:pPr>
              <w:tabs>
                <w:tab w:val="left" w:pos="360"/>
              </w:tabs>
              <w:suppressAutoHyphens/>
              <w:spacing w:after="0" w:line="240" w:lineRule="auto"/>
              <w:jc w:val="right"/>
              <w:rPr>
                <w:rFonts w:ascii="Arial" w:hAnsi="Arial" w:cs="Arial"/>
                <w:sz w:val="20"/>
                <w:szCs w:val="20"/>
                <w:lang w:val="en-CA"/>
              </w:rPr>
            </w:pPr>
          </w:p>
        </w:tc>
        <w:tc>
          <w:tcPr>
            <w:tcW w:w="504" w:type="dxa"/>
            <w:shd w:val="clear" w:color="auto" w:fill="auto"/>
          </w:tcPr>
          <w:p w14:paraId="52745515" w14:textId="77777777" w:rsidR="00770FCE" w:rsidRPr="00DA4360" w:rsidRDefault="00770FCE" w:rsidP="003F6F1A">
            <w:pPr>
              <w:tabs>
                <w:tab w:val="left" w:pos="360"/>
              </w:tabs>
              <w:suppressAutoHyphens/>
              <w:spacing w:after="0" w:line="240" w:lineRule="auto"/>
              <w:jc w:val="right"/>
              <w:rPr>
                <w:rFonts w:ascii="Arial" w:hAnsi="Arial" w:cs="Arial"/>
                <w:sz w:val="20"/>
                <w:szCs w:val="20"/>
                <w:lang w:val="en-CA"/>
              </w:rPr>
            </w:pPr>
          </w:p>
        </w:tc>
        <w:tc>
          <w:tcPr>
            <w:tcW w:w="323" w:type="dxa"/>
            <w:shd w:val="clear" w:color="auto" w:fill="auto"/>
          </w:tcPr>
          <w:p w14:paraId="53F0E3EA" w14:textId="77777777" w:rsidR="00770FCE" w:rsidRPr="00DA4360" w:rsidRDefault="00770FCE" w:rsidP="003F6F1A">
            <w:pPr>
              <w:tabs>
                <w:tab w:val="left" w:pos="360"/>
              </w:tabs>
              <w:suppressAutoHyphens/>
              <w:spacing w:after="0" w:line="240" w:lineRule="auto"/>
              <w:jc w:val="right"/>
              <w:rPr>
                <w:rFonts w:ascii="Arial" w:hAnsi="Arial" w:cs="Arial"/>
                <w:b/>
                <w:sz w:val="20"/>
                <w:szCs w:val="20"/>
                <w:lang w:val="en-CA"/>
              </w:rPr>
            </w:pPr>
          </w:p>
        </w:tc>
        <w:tc>
          <w:tcPr>
            <w:tcW w:w="1837" w:type="dxa"/>
            <w:shd w:val="clear" w:color="auto" w:fill="auto"/>
            <w:vAlign w:val="bottom"/>
          </w:tcPr>
          <w:p w14:paraId="5B646751" w14:textId="77777777" w:rsidR="00770FCE" w:rsidRPr="00DA4360" w:rsidRDefault="003052EF" w:rsidP="003F6F1A">
            <w:pPr>
              <w:tabs>
                <w:tab w:val="left" w:pos="360"/>
              </w:tabs>
              <w:suppressAutoHyphens/>
              <w:spacing w:after="0" w:line="240" w:lineRule="auto"/>
              <w:jc w:val="right"/>
              <w:rPr>
                <w:rFonts w:ascii="Arial" w:hAnsi="Arial" w:cs="Arial"/>
                <w:b/>
                <w:sz w:val="20"/>
                <w:szCs w:val="20"/>
                <w:lang w:val="en-CA"/>
              </w:rPr>
            </w:pPr>
            <w:r w:rsidRPr="00DA4360">
              <w:rPr>
                <w:rFonts w:ascii="Arial" w:hAnsi="Arial" w:cs="Arial"/>
                <w:b/>
                <w:sz w:val="20"/>
                <w:szCs w:val="20"/>
                <w:lang w:val="en-CA"/>
              </w:rPr>
              <w:t>(5</w:t>
            </w:r>
            <w:r w:rsidR="00BD1255" w:rsidRPr="00DA4360">
              <w:rPr>
                <w:rFonts w:ascii="Arial" w:hAnsi="Arial" w:cs="Arial"/>
                <w:b/>
                <w:sz w:val="20"/>
                <w:szCs w:val="20"/>
                <w:lang w:val="en-CA"/>
              </w:rPr>
              <w:t>43,573</w:t>
            </w:r>
            <w:r w:rsidRPr="00DA4360">
              <w:rPr>
                <w:rFonts w:ascii="Arial" w:hAnsi="Arial" w:cs="Arial"/>
                <w:b/>
                <w:sz w:val="20"/>
                <w:szCs w:val="20"/>
                <w:lang w:val="en-CA"/>
              </w:rPr>
              <w:t>)</w:t>
            </w:r>
          </w:p>
        </w:tc>
        <w:tc>
          <w:tcPr>
            <w:tcW w:w="324" w:type="dxa"/>
            <w:shd w:val="clear" w:color="auto" w:fill="auto"/>
          </w:tcPr>
          <w:p w14:paraId="35DC6A10" w14:textId="77777777" w:rsidR="00770FCE" w:rsidRPr="00DA4360" w:rsidRDefault="00770FCE" w:rsidP="003F6F1A">
            <w:pPr>
              <w:tabs>
                <w:tab w:val="left" w:pos="360"/>
              </w:tabs>
              <w:suppressAutoHyphens/>
              <w:spacing w:after="0" w:line="240" w:lineRule="auto"/>
              <w:jc w:val="right"/>
              <w:rPr>
                <w:rFonts w:ascii="Arial" w:hAnsi="Arial" w:cs="Arial"/>
                <w:sz w:val="20"/>
                <w:szCs w:val="20"/>
                <w:lang w:val="en-CA"/>
              </w:rPr>
            </w:pPr>
          </w:p>
        </w:tc>
        <w:tc>
          <w:tcPr>
            <w:tcW w:w="1755" w:type="dxa"/>
            <w:shd w:val="clear" w:color="auto" w:fill="auto"/>
            <w:vAlign w:val="bottom"/>
          </w:tcPr>
          <w:p w14:paraId="63DDC745" w14:textId="77777777" w:rsidR="00770FCE" w:rsidRPr="00DA4360" w:rsidRDefault="00770FCE" w:rsidP="003F6F1A">
            <w:pPr>
              <w:tabs>
                <w:tab w:val="left" w:pos="360"/>
              </w:tabs>
              <w:suppressAutoHyphens/>
              <w:spacing w:after="0" w:line="240" w:lineRule="auto"/>
              <w:jc w:val="right"/>
              <w:rPr>
                <w:rFonts w:ascii="Arial" w:hAnsi="Arial" w:cs="Arial"/>
                <w:sz w:val="20"/>
                <w:szCs w:val="20"/>
                <w:lang w:val="en-CA"/>
              </w:rPr>
            </w:pPr>
            <w:r w:rsidRPr="00DA4360">
              <w:rPr>
                <w:rFonts w:ascii="Arial" w:hAnsi="Arial" w:cs="Arial"/>
                <w:sz w:val="20"/>
                <w:szCs w:val="20"/>
                <w:lang w:val="en-CA"/>
              </w:rPr>
              <w:t>(1</w:t>
            </w:r>
            <w:r w:rsidR="003052EF" w:rsidRPr="00DA4360">
              <w:rPr>
                <w:rFonts w:ascii="Arial" w:hAnsi="Arial" w:cs="Arial"/>
                <w:sz w:val="20"/>
                <w:szCs w:val="20"/>
                <w:lang w:val="en-CA"/>
              </w:rPr>
              <w:t>08,800</w:t>
            </w:r>
            <w:r w:rsidRPr="00DA4360">
              <w:rPr>
                <w:rFonts w:ascii="Arial" w:hAnsi="Arial" w:cs="Arial"/>
                <w:sz w:val="20"/>
                <w:szCs w:val="20"/>
                <w:lang w:val="en-CA"/>
              </w:rPr>
              <w:t>)</w:t>
            </w:r>
          </w:p>
        </w:tc>
      </w:tr>
      <w:tr w:rsidR="003E0848" w:rsidRPr="00DA4360" w14:paraId="55E01EDF" w14:textId="77777777" w:rsidTr="004A1755">
        <w:trPr>
          <w:trHeight w:val="113"/>
        </w:trPr>
        <w:tc>
          <w:tcPr>
            <w:tcW w:w="2256" w:type="dxa"/>
            <w:shd w:val="clear" w:color="auto" w:fill="auto"/>
          </w:tcPr>
          <w:p w14:paraId="0423E9CC" w14:textId="77777777" w:rsidR="00732B04" w:rsidRPr="00DA4360" w:rsidRDefault="00732B04" w:rsidP="003F6F1A">
            <w:pPr>
              <w:tabs>
                <w:tab w:val="left" w:pos="360"/>
              </w:tabs>
              <w:suppressAutoHyphens/>
              <w:spacing w:after="0" w:line="240" w:lineRule="auto"/>
              <w:rPr>
                <w:rFonts w:ascii="Arial" w:hAnsi="Arial" w:cs="Arial"/>
                <w:sz w:val="20"/>
                <w:szCs w:val="20"/>
                <w:lang w:val="en-CA"/>
              </w:rPr>
            </w:pPr>
          </w:p>
        </w:tc>
        <w:tc>
          <w:tcPr>
            <w:tcW w:w="323" w:type="dxa"/>
            <w:shd w:val="clear" w:color="auto" w:fill="auto"/>
          </w:tcPr>
          <w:p w14:paraId="70CCFB11" w14:textId="77777777" w:rsidR="00732B04" w:rsidRPr="00DA4360" w:rsidRDefault="00732B04" w:rsidP="003F6F1A">
            <w:pPr>
              <w:tabs>
                <w:tab w:val="left" w:pos="360"/>
              </w:tabs>
              <w:suppressAutoHyphens/>
              <w:spacing w:after="0" w:line="240" w:lineRule="auto"/>
              <w:jc w:val="right"/>
              <w:rPr>
                <w:rFonts w:ascii="Arial" w:hAnsi="Arial" w:cs="Arial"/>
                <w:b/>
                <w:sz w:val="20"/>
                <w:szCs w:val="20"/>
                <w:lang w:val="en-CA"/>
              </w:rPr>
            </w:pPr>
          </w:p>
        </w:tc>
        <w:tc>
          <w:tcPr>
            <w:tcW w:w="1688" w:type="dxa"/>
            <w:shd w:val="clear" w:color="auto" w:fill="auto"/>
          </w:tcPr>
          <w:p w14:paraId="02C8B1B7" w14:textId="77777777" w:rsidR="00732B04" w:rsidRPr="00DA4360" w:rsidRDefault="00732B04" w:rsidP="003F6F1A">
            <w:pPr>
              <w:tabs>
                <w:tab w:val="left" w:pos="360"/>
              </w:tabs>
              <w:suppressAutoHyphens/>
              <w:spacing w:after="0" w:line="240" w:lineRule="auto"/>
              <w:jc w:val="right"/>
              <w:rPr>
                <w:rFonts w:ascii="Arial" w:hAnsi="Arial" w:cs="Arial"/>
                <w:b/>
                <w:sz w:val="20"/>
                <w:szCs w:val="20"/>
                <w:lang w:val="en-CA"/>
              </w:rPr>
            </w:pPr>
          </w:p>
        </w:tc>
        <w:tc>
          <w:tcPr>
            <w:tcW w:w="323" w:type="dxa"/>
            <w:shd w:val="clear" w:color="auto" w:fill="auto"/>
          </w:tcPr>
          <w:p w14:paraId="68567ABE" w14:textId="77777777" w:rsidR="00732B04" w:rsidRPr="00DA4360" w:rsidRDefault="00732B04" w:rsidP="003F6F1A">
            <w:pPr>
              <w:tabs>
                <w:tab w:val="left" w:pos="360"/>
              </w:tabs>
              <w:suppressAutoHyphens/>
              <w:spacing w:after="0" w:line="240" w:lineRule="auto"/>
              <w:jc w:val="right"/>
              <w:rPr>
                <w:rFonts w:ascii="Arial" w:hAnsi="Arial" w:cs="Arial"/>
                <w:sz w:val="20"/>
                <w:szCs w:val="20"/>
                <w:lang w:val="en-CA"/>
              </w:rPr>
            </w:pPr>
          </w:p>
        </w:tc>
        <w:tc>
          <w:tcPr>
            <w:tcW w:w="504" w:type="dxa"/>
            <w:shd w:val="clear" w:color="auto" w:fill="auto"/>
          </w:tcPr>
          <w:p w14:paraId="58AFACE2" w14:textId="77777777" w:rsidR="00732B04" w:rsidRPr="00DA4360" w:rsidRDefault="00732B04" w:rsidP="003F6F1A">
            <w:pPr>
              <w:tabs>
                <w:tab w:val="left" w:pos="360"/>
              </w:tabs>
              <w:suppressAutoHyphens/>
              <w:spacing w:after="0" w:line="240" w:lineRule="auto"/>
              <w:jc w:val="right"/>
              <w:rPr>
                <w:rFonts w:ascii="Arial" w:hAnsi="Arial" w:cs="Arial"/>
                <w:sz w:val="20"/>
                <w:szCs w:val="20"/>
                <w:lang w:val="en-CA"/>
              </w:rPr>
            </w:pPr>
          </w:p>
        </w:tc>
        <w:tc>
          <w:tcPr>
            <w:tcW w:w="323" w:type="dxa"/>
            <w:shd w:val="clear" w:color="auto" w:fill="auto"/>
          </w:tcPr>
          <w:p w14:paraId="66882D1F" w14:textId="77777777" w:rsidR="00732B04" w:rsidRPr="00DA4360" w:rsidRDefault="00732B04" w:rsidP="003F6F1A">
            <w:pPr>
              <w:tabs>
                <w:tab w:val="left" w:pos="360"/>
              </w:tabs>
              <w:suppressAutoHyphens/>
              <w:spacing w:after="0" w:line="240" w:lineRule="auto"/>
              <w:jc w:val="right"/>
              <w:rPr>
                <w:rFonts w:ascii="Arial" w:hAnsi="Arial" w:cs="Arial"/>
                <w:b/>
                <w:sz w:val="20"/>
                <w:szCs w:val="20"/>
                <w:lang w:val="en-CA"/>
              </w:rPr>
            </w:pPr>
          </w:p>
        </w:tc>
        <w:tc>
          <w:tcPr>
            <w:tcW w:w="1837" w:type="dxa"/>
            <w:shd w:val="clear" w:color="auto" w:fill="auto"/>
            <w:vAlign w:val="bottom"/>
          </w:tcPr>
          <w:p w14:paraId="1137E1FF" w14:textId="77777777" w:rsidR="00732B04" w:rsidRPr="00DA4360" w:rsidRDefault="00732B04" w:rsidP="003F6F1A">
            <w:pPr>
              <w:tabs>
                <w:tab w:val="left" w:pos="360"/>
              </w:tabs>
              <w:suppressAutoHyphens/>
              <w:spacing w:after="0" w:line="240" w:lineRule="auto"/>
              <w:jc w:val="right"/>
              <w:rPr>
                <w:rFonts w:ascii="Arial" w:hAnsi="Arial" w:cs="Arial"/>
                <w:b/>
                <w:sz w:val="20"/>
                <w:szCs w:val="20"/>
                <w:lang w:val="en-CA"/>
              </w:rPr>
            </w:pPr>
          </w:p>
        </w:tc>
        <w:tc>
          <w:tcPr>
            <w:tcW w:w="324" w:type="dxa"/>
            <w:shd w:val="clear" w:color="auto" w:fill="auto"/>
          </w:tcPr>
          <w:p w14:paraId="27E59E0C" w14:textId="77777777" w:rsidR="00732B04" w:rsidRPr="00DA4360" w:rsidRDefault="00732B04" w:rsidP="003F6F1A">
            <w:pPr>
              <w:tabs>
                <w:tab w:val="left" w:pos="360"/>
              </w:tabs>
              <w:suppressAutoHyphens/>
              <w:spacing w:after="0" w:line="240" w:lineRule="auto"/>
              <w:jc w:val="right"/>
              <w:rPr>
                <w:rFonts w:ascii="Arial" w:hAnsi="Arial" w:cs="Arial"/>
                <w:sz w:val="20"/>
                <w:szCs w:val="20"/>
                <w:lang w:val="en-CA"/>
              </w:rPr>
            </w:pPr>
          </w:p>
        </w:tc>
        <w:tc>
          <w:tcPr>
            <w:tcW w:w="1755" w:type="dxa"/>
            <w:shd w:val="clear" w:color="auto" w:fill="auto"/>
            <w:vAlign w:val="bottom"/>
          </w:tcPr>
          <w:p w14:paraId="2EED04DB" w14:textId="77777777" w:rsidR="00732B04" w:rsidRPr="00DA4360" w:rsidRDefault="00732B04" w:rsidP="003F6F1A">
            <w:pPr>
              <w:tabs>
                <w:tab w:val="left" w:pos="360"/>
              </w:tabs>
              <w:suppressAutoHyphens/>
              <w:spacing w:after="0" w:line="240" w:lineRule="auto"/>
              <w:jc w:val="right"/>
              <w:rPr>
                <w:rFonts w:ascii="Arial" w:hAnsi="Arial" w:cs="Arial"/>
                <w:sz w:val="20"/>
                <w:szCs w:val="20"/>
                <w:lang w:val="en-CA"/>
              </w:rPr>
            </w:pPr>
          </w:p>
        </w:tc>
      </w:tr>
      <w:tr w:rsidR="003E0848" w:rsidRPr="00DA4360" w14:paraId="24684AFD" w14:textId="77777777" w:rsidTr="004A1755">
        <w:trPr>
          <w:trHeight w:val="113"/>
        </w:trPr>
        <w:tc>
          <w:tcPr>
            <w:tcW w:w="4267" w:type="dxa"/>
            <w:gridSpan w:val="3"/>
            <w:tcBorders>
              <w:bottom w:val="single" w:sz="4" w:space="0" w:color="auto"/>
            </w:tcBorders>
            <w:shd w:val="clear" w:color="auto" w:fill="auto"/>
            <w:vAlign w:val="bottom"/>
          </w:tcPr>
          <w:p w14:paraId="120D3EA3" w14:textId="77777777" w:rsidR="00770FCE" w:rsidRPr="00DA4360" w:rsidRDefault="00770FCE" w:rsidP="003F6F1A">
            <w:pPr>
              <w:tabs>
                <w:tab w:val="left" w:pos="360"/>
              </w:tabs>
              <w:suppressAutoHyphens/>
              <w:spacing w:after="0" w:line="240" w:lineRule="auto"/>
              <w:rPr>
                <w:rFonts w:ascii="Arial" w:hAnsi="Arial" w:cs="Arial"/>
                <w:b/>
                <w:sz w:val="20"/>
                <w:szCs w:val="20"/>
                <w:lang w:val="en-CA"/>
              </w:rPr>
            </w:pPr>
            <w:r w:rsidRPr="00DA4360">
              <w:rPr>
                <w:rFonts w:ascii="Arial" w:hAnsi="Arial" w:cs="Arial"/>
                <w:sz w:val="20"/>
                <w:szCs w:val="20"/>
                <w:lang w:val="en-CA"/>
              </w:rPr>
              <w:t>Net cash provided by financing activities</w:t>
            </w:r>
          </w:p>
        </w:tc>
        <w:tc>
          <w:tcPr>
            <w:tcW w:w="323" w:type="dxa"/>
            <w:tcBorders>
              <w:bottom w:val="single" w:sz="4" w:space="0" w:color="auto"/>
            </w:tcBorders>
            <w:shd w:val="clear" w:color="auto" w:fill="auto"/>
          </w:tcPr>
          <w:p w14:paraId="21289CBA" w14:textId="77777777" w:rsidR="00770FCE" w:rsidRPr="00DA4360" w:rsidRDefault="00770FCE" w:rsidP="003F6F1A">
            <w:pPr>
              <w:tabs>
                <w:tab w:val="left" w:pos="360"/>
              </w:tabs>
              <w:suppressAutoHyphens/>
              <w:spacing w:after="0" w:line="240" w:lineRule="auto"/>
              <w:jc w:val="right"/>
              <w:rPr>
                <w:rFonts w:ascii="Arial" w:hAnsi="Arial" w:cs="Arial"/>
                <w:sz w:val="20"/>
                <w:szCs w:val="20"/>
                <w:lang w:val="en-CA"/>
              </w:rPr>
            </w:pPr>
          </w:p>
        </w:tc>
        <w:tc>
          <w:tcPr>
            <w:tcW w:w="504" w:type="dxa"/>
            <w:tcBorders>
              <w:bottom w:val="single" w:sz="4" w:space="0" w:color="auto"/>
            </w:tcBorders>
            <w:shd w:val="clear" w:color="auto" w:fill="auto"/>
          </w:tcPr>
          <w:p w14:paraId="2E11572D" w14:textId="77777777" w:rsidR="00770FCE" w:rsidRPr="00DA4360" w:rsidRDefault="00770FCE" w:rsidP="003F6F1A">
            <w:pPr>
              <w:tabs>
                <w:tab w:val="left" w:pos="360"/>
              </w:tabs>
              <w:suppressAutoHyphens/>
              <w:spacing w:after="0" w:line="240" w:lineRule="auto"/>
              <w:jc w:val="right"/>
              <w:rPr>
                <w:rFonts w:ascii="Arial" w:hAnsi="Arial" w:cs="Arial"/>
                <w:sz w:val="20"/>
                <w:szCs w:val="20"/>
                <w:lang w:val="en-CA"/>
              </w:rPr>
            </w:pPr>
          </w:p>
        </w:tc>
        <w:tc>
          <w:tcPr>
            <w:tcW w:w="323" w:type="dxa"/>
            <w:tcBorders>
              <w:bottom w:val="single" w:sz="4" w:space="0" w:color="auto"/>
            </w:tcBorders>
            <w:shd w:val="clear" w:color="auto" w:fill="auto"/>
          </w:tcPr>
          <w:p w14:paraId="6A4A1763" w14:textId="77777777" w:rsidR="00770FCE" w:rsidRPr="00DA4360" w:rsidRDefault="00770FCE" w:rsidP="003F6F1A">
            <w:pPr>
              <w:tabs>
                <w:tab w:val="left" w:pos="360"/>
              </w:tabs>
              <w:suppressAutoHyphens/>
              <w:spacing w:after="0" w:line="240" w:lineRule="auto"/>
              <w:jc w:val="right"/>
              <w:rPr>
                <w:rFonts w:ascii="Arial" w:hAnsi="Arial" w:cs="Arial"/>
                <w:b/>
                <w:sz w:val="20"/>
                <w:szCs w:val="20"/>
                <w:lang w:val="en-CA"/>
              </w:rPr>
            </w:pPr>
          </w:p>
        </w:tc>
        <w:tc>
          <w:tcPr>
            <w:tcW w:w="1837" w:type="dxa"/>
            <w:tcBorders>
              <w:bottom w:val="single" w:sz="4" w:space="0" w:color="auto"/>
            </w:tcBorders>
            <w:shd w:val="clear" w:color="auto" w:fill="auto"/>
            <w:vAlign w:val="bottom"/>
          </w:tcPr>
          <w:p w14:paraId="37701A17" w14:textId="77777777" w:rsidR="00770FCE" w:rsidRPr="00DA4360" w:rsidRDefault="003052EF" w:rsidP="003F6F1A">
            <w:pPr>
              <w:tabs>
                <w:tab w:val="left" w:pos="360"/>
              </w:tabs>
              <w:suppressAutoHyphens/>
              <w:spacing w:after="0" w:line="240" w:lineRule="auto"/>
              <w:jc w:val="right"/>
              <w:rPr>
                <w:rFonts w:ascii="Arial" w:hAnsi="Arial" w:cs="Arial"/>
                <w:b/>
                <w:sz w:val="20"/>
                <w:szCs w:val="20"/>
                <w:lang w:val="en-CA"/>
              </w:rPr>
            </w:pPr>
            <w:r w:rsidRPr="00DA4360">
              <w:rPr>
                <w:rFonts w:ascii="Arial" w:hAnsi="Arial" w:cs="Arial"/>
                <w:b/>
                <w:sz w:val="20"/>
                <w:szCs w:val="20"/>
                <w:lang w:val="en-CA"/>
              </w:rPr>
              <w:t>2,535,</w:t>
            </w:r>
            <w:r w:rsidR="005C15D5" w:rsidRPr="00DA4360">
              <w:rPr>
                <w:rFonts w:ascii="Arial" w:hAnsi="Arial" w:cs="Arial"/>
                <w:b/>
                <w:sz w:val="20"/>
                <w:szCs w:val="20"/>
                <w:lang w:val="en-CA"/>
              </w:rPr>
              <w:t>023</w:t>
            </w:r>
          </w:p>
        </w:tc>
        <w:tc>
          <w:tcPr>
            <w:tcW w:w="324" w:type="dxa"/>
            <w:tcBorders>
              <w:bottom w:val="single" w:sz="4" w:space="0" w:color="auto"/>
            </w:tcBorders>
            <w:shd w:val="clear" w:color="auto" w:fill="auto"/>
          </w:tcPr>
          <w:p w14:paraId="62A5B820" w14:textId="77777777" w:rsidR="00770FCE" w:rsidRPr="00DA4360" w:rsidRDefault="00770FCE" w:rsidP="003F6F1A">
            <w:pPr>
              <w:tabs>
                <w:tab w:val="left" w:pos="360"/>
              </w:tabs>
              <w:suppressAutoHyphens/>
              <w:spacing w:after="0" w:line="240" w:lineRule="auto"/>
              <w:jc w:val="right"/>
              <w:rPr>
                <w:rFonts w:ascii="Arial" w:hAnsi="Arial" w:cs="Arial"/>
                <w:sz w:val="20"/>
                <w:szCs w:val="20"/>
                <w:lang w:val="en-CA"/>
              </w:rPr>
            </w:pPr>
            <w:r w:rsidRPr="00DA4360">
              <w:rPr>
                <w:rFonts w:ascii="Arial" w:hAnsi="Arial" w:cs="Arial"/>
                <w:sz w:val="20"/>
                <w:szCs w:val="20"/>
                <w:lang w:val="en-CA"/>
              </w:rPr>
              <w:t> </w:t>
            </w:r>
          </w:p>
        </w:tc>
        <w:tc>
          <w:tcPr>
            <w:tcW w:w="1755" w:type="dxa"/>
            <w:tcBorders>
              <w:bottom w:val="single" w:sz="4" w:space="0" w:color="auto"/>
            </w:tcBorders>
            <w:shd w:val="clear" w:color="auto" w:fill="auto"/>
            <w:vAlign w:val="bottom"/>
          </w:tcPr>
          <w:p w14:paraId="0A958051" w14:textId="77777777" w:rsidR="00770FCE" w:rsidRPr="00DA4360" w:rsidRDefault="003052EF" w:rsidP="003F6F1A">
            <w:pPr>
              <w:tabs>
                <w:tab w:val="left" w:pos="360"/>
              </w:tabs>
              <w:suppressAutoHyphens/>
              <w:spacing w:after="0" w:line="240" w:lineRule="auto"/>
              <w:jc w:val="right"/>
              <w:rPr>
                <w:rFonts w:ascii="Arial" w:hAnsi="Arial" w:cs="Arial"/>
                <w:sz w:val="20"/>
                <w:szCs w:val="20"/>
                <w:lang w:val="en-CA"/>
              </w:rPr>
            </w:pPr>
            <w:r w:rsidRPr="00DA4360">
              <w:rPr>
                <w:rFonts w:ascii="Arial" w:hAnsi="Arial" w:cs="Arial"/>
                <w:sz w:val="20"/>
                <w:szCs w:val="20"/>
                <w:lang w:val="en-CA"/>
              </w:rPr>
              <w:t>2,467,749</w:t>
            </w:r>
          </w:p>
        </w:tc>
      </w:tr>
      <w:tr w:rsidR="003E0848" w:rsidRPr="00DA4360" w14:paraId="3DC88D03" w14:textId="77777777" w:rsidTr="004A1755">
        <w:tc>
          <w:tcPr>
            <w:tcW w:w="2256" w:type="dxa"/>
            <w:tcBorders>
              <w:top w:val="single" w:sz="4" w:space="0" w:color="auto"/>
            </w:tcBorders>
            <w:shd w:val="clear" w:color="auto" w:fill="auto"/>
          </w:tcPr>
          <w:p w14:paraId="5011A227" w14:textId="77777777" w:rsidR="00732B04" w:rsidRPr="00DA4360" w:rsidRDefault="00732B04" w:rsidP="003F6F1A">
            <w:pPr>
              <w:tabs>
                <w:tab w:val="left" w:pos="360"/>
              </w:tabs>
              <w:suppressAutoHyphens/>
              <w:spacing w:after="0" w:line="240" w:lineRule="auto"/>
              <w:rPr>
                <w:rFonts w:ascii="Arial" w:hAnsi="Arial" w:cs="Arial"/>
                <w:sz w:val="20"/>
                <w:szCs w:val="20"/>
                <w:lang w:val="en-CA"/>
              </w:rPr>
            </w:pPr>
          </w:p>
        </w:tc>
        <w:tc>
          <w:tcPr>
            <w:tcW w:w="323" w:type="dxa"/>
            <w:tcBorders>
              <w:top w:val="single" w:sz="4" w:space="0" w:color="auto"/>
            </w:tcBorders>
            <w:shd w:val="clear" w:color="auto" w:fill="auto"/>
          </w:tcPr>
          <w:p w14:paraId="4F868EA1" w14:textId="77777777" w:rsidR="00732B04" w:rsidRPr="00DA4360" w:rsidRDefault="00732B04" w:rsidP="003F6F1A">
            <w:pPr>
              <w:tabs>
                <w:tab w:val="left" w:pos="360"/>
              </w:tabs>
              <w:suppressAutoHyphens/>
              <w:spacing w:after="0" w:line="240" w:lineRule="auto"/>
              <w:jc w:val="right"/>
              <w:rPr>
                <w:rFonts w:ascii="Arial" w:hAnsi="Arial" w:cs="Arial"/>
                <w:b/>
                <w:sz w:val="20"/>
                <w:szCs w:val="20"/>
                <w:lang w:val="en-CA"/>
              </w:rPr>
            </w:pPr>
          </w:p>
        </w:tc>
        <w:tc>
          <w:tcPr>
            <w:tcW w:w="1688" w:type="dxa"/>
            <w:tcBorders>
              <w:top w:val="single" w:sz="4" w:space="0" w:color="auto"/>
            </w:tcBorders>
            <w:shd w:val="clear" w:color="auto" w:fill="auto"/>
          </w:tcPr>
          <w:p w14:paraId="781A95DE" w14:textId="77777777" w:rsidR="00732B04" w:rsidRPr="00DA4360" w:rsidRDefault="00732B04" w:rsidP="003F6F1A">
            <w:pPr>
              <w:tabs>
                <w:tab w:val="left" w:pos="360"/>
              </w:tabs>
              <w:suppressAutoHyphens/>
              <w:spacing w:after="0" w:line="240" w:lineRule="auto"/>
              <w:jc w:val="right"/>
              <w:rPr>
                <w:rFonts w:ascii="Arial" w:hAnsi="Arial" w:cs="Arial"/>
                <w:b/>
                <w:sz w:val="20"/>
                <w:szCs w:val="20"/>
                <w:lang w:val="en-CA"/>
              </w:rPr>
            </w:pPr>
          </w:p>
        </w:tc>
        <w:tc>
          <w:tcPr>
            <w:tcW w:w="323" w:type="dxa"/>
            <w:tcBorders>
              <w:top w:val="single" w:sz="4" w:space="0" w:color="auto"/>
            </w:tcBorders>
            <w:shd w:val="clear" w:color="auto" w:fill="auto"/>
          </w:tcPr>
          <w:p w14:paraId="2EF46E9E" w14:textId="77777777" w:rsidR="00732B04" w:rsidRPr="00DA4360" w:rsidRDefault="00732B04" w:rsidP="003F6F1A">
            <w:pPr>
              <w:tabs>
                <w:tab w:val="left" w:pos="360"/>
              </w:tabs>
              <w:suppressAutoHyphens/>
              <w:spacing w:after="0" w:line="240" w:lineRule="auto"/>
              <w:jc w:val="right"/>
              <w:rPr>
                <w:rFonts w:ascii="Arial" w:hAnsi="Arial" w:cs="Arial"/>
                <w:sz w:val="20"/>
                <w:szCs w:val="20"/>
                <w:lang w:val="en-CA"/>
              </w:rPr>
            </w:pPr>
          </w:p>
        </w:tc>
        <w:tc>
          <w:tcPr>
            <w:tcW w:w="504" w:type="dxa"/>
            <w:tcBorders>
              <w:top w:val="single" w:sz="4" w:space="0" w:color="auto"/>
            </w:tcBorders>
            <w:shd w:val="clear" w:color="auto" w:fill="auto"/>
          </w:tcPr>
          <w:p w14:paraId="72447EBC" w14:textId="77777777" w:rsidR="00732B04" w:rsidRPr="00DA4360" w:rsidRDefault="00732B04" w:rsidP="003F6F1A">
            <w:pPr>
              <w:tabs>
                <w:tab w:val="left" w:pos="360"/>
              </w:tabs>
              <w:suppressAutoHyphens/>
              <w:spacing w:after="0" w:line="240" w:lineRule="auto"/>
              <w:jc w:val="right"/>
              <w:rPr>
                <w:rFonts w:ascii="Arial" w:hAnsi="Arial" w:cs="Arial"/>
                <w:sz w:val="20"/>
                <w:szCs w:val="20"/>
                <w:lang w:val="en-CA"/>
              </w:rPr>
            </w:pPr>
          </w:p>
        </w:tc>
        <w:tc>
          <w:tcPr>
            <w:tcW w:w="323" w:type="dxa"/>
            <w:tcBorders>
              <w:top w:val="single" w:sz="4" w:space="0" w:color="auto"/>
            </w:tcBorders>
            <w:shd w:val="clear" w:color="auto" w:fill="auto"/>
          </w:tcPr>
          <w:p w14:paraId="48BEDC3F" w14:textId="77777777" w:rsidR="00732B04" w:rsidRPr="00DA4360" w:rsidRDefault="00732B04" w:rsidP="003F6F1A">
            <w:pPr>
              <w:tabs>
                <w:tab w:val="left" w:pos="360"/>
              </w:tabs>
              <w:suppressAutoHyphens/>
              <w:spacing w:after="0" w:line="240" w:lineRule="auto"/>
              <w:jc w:val="right"/>
              <w:rPr>
                <w:rFonts w:ascii="Arial" w:hAnsi="Arial" w:cs="Arial"/>
                <w:b/>
                <w:sz w:val="20"/>
                <w:szCs w:val="20"/>
                <w:lang w:val="en-CA"/>
              </w:rPr>
            </w:pPr>
          </w:p>
        </w:tc>
        <w:tc>
          <w:tcPr>
            <w:tcW w:w="1837" w:type="dxa"/>
            <w:tcBorders>
              <w:top w:val="single" w:sz="4" w:space="0" w:color="auto"/>
            </w:tcBorders>
            <w:shd w:val="clear" w:color="auto" w:fill="auto"/>
            <w:vAlign w:val="bottom"/>
          </w:tcPr>
          <w:p w14:paraId="5D1430BB" w14:textId="77777777" w:rsidR="00732B04" w:rsidRPr="00DA4360" w:rsidRDefault="00732B04" w:rsidP="003F6F1A">
            <w:pPr>
              <w:tabs>
                <w:tab w:val="left" w:pos="360"/>
              </w:tabs>
              <w:suppressAutoHyphens/>
              <w:spacing w:after="0" w:line="240" w:lineRule="auto"/>
              <w:jc w:val="right"/>
              <w:rPr>
                <w:rFonts w:ascii="Arial" w:hAnsi="Arial" w:cs="Arial"/>
                <w:b/>
                <w:sz w:val="20"/>
                <w:szCs w:val="20"/>
                <w:lang w:val="en-CA"/>
              </w:rPr>
            </w:pPr>
          </w:p>
        </w:tc>
        <w:tc>
          <w:tcPr>
            <w:tcW w:w="324" w:type="dxa"/>
            <w:tcBorders>
              <w:top w:val="single" w:sz="4" w:space="0" w:color="auto"/>
            </w:tcBorders>
            <w:shd w:val="clear" w:color="auto" w:fill="auto"/>
          </w:tcPr>
          <w:p w14:paraId="6A9E5996" w14:textId="77777777" w:rsidR="00732B04" w:rsidRPr="00DA4360" w:rsidRDefault="00732B04" w:rsidP="003F6F1A">
            <w:pPr>
              <w:tabs>
                <w:tab w:val="left" w:pos="360"/>
              </w:tabs>
              <w:suppressAutoHyphens/>
              <w:spacing w:after="0" w:line="240" w:lineRule="auto"/>
              <w:jc w:val="right"/>
              <w:rPr>
                <w:rFonts w:ascii="Arial" w:hAnsi="Arial" w:cs="Arial"/>
                <w:sz w:val="20"/>
                <w:szCs w:val="20"/>
                <w:lang w:val="en-CA"/>
              </w:rPr>
            </w:pPr>
          </w:p>
        </w:tc>
        <w:tc>
          <w:tcPr>
            <w:tcW w:w="1755" w:type="dxa"/>
            <w:tcBorders>
              <w:top w:val="single" w:sz="4" w:space="0" w:color="auto"/>
            </w:tcBorders>
            <w:shd w:val="clear" w:color="auto" w:fill="auto"/>
            <w:vAlign w:val="bottom"/>
          </w:tcPr>
          <w:p w14:paraId="57DFBFA9" w14:textId="77777777" w:rsidR="00732B04" w:rsidRPr="00DA4360" w:rsidRDefault="00732B04" w:rsidP="003F6F1A">
            <w:pPr>
              <w:tabs>
                <w:tab w:val="left" w:pos="360"/>
              </w:tabs>
              <w:suppressAutoHyphens/>
              <w:spacing w:after="0" w:line="240" w:lineRule="auto"/>
              <w:jc w:val="right"/>
              <w:rPr>
                <w:rFonts w:ascii="Arial" w:hAnsi="Arial" w:cs="Arial"/>
                <w:sz w:val="20"/>
                <w:szCs w:val="20"/>
                <w:lang w:val="en-CA"/>
              </w:rPr>
            </w:pPr>
          </w:p>
        </w:tc>
      </w:tr>
      <w:tr w:rsidR="003E0848" w:rsidRPr="00DA4360" w14:paraId="10C25B80" w14:textId="77777777" w:rsidTr="004A1755">
        <w:tc>
          <w:tcPr>
            <w:tcW w:w="2256" w:type="dxa"/>
            <w:tcBorders>
              <w:bottom w:val="single" w:sz="18" w:space="0" w:color="auto"/>
            </w:tcBorders>
            <w:shd w:val="clear" w:color="auto" w:fill="auto"/>
          </w:tcPr>
          <w:p w14:paraId="51D68507" w14:textId="77777777" w:rsidR="00732B04" w:rsidRPr="00DA4360" w:rsidRDefault="00C112A5" w:rsidP="003F6F1A">
            <w:pPr>
              <w:tabs>
                <w:tab w:val="left" w:pos="360"/>
              </w:tabs>
              <w:spacing w:after="0" w:line="240" w:lineRule="auto"/>
              <w:rPr>
                <w:rFonts w:ascii="Arial" w:hAnsi="Arial" w:cs="Arial"/>
                <w:sz w:val="20"/>
                <w:szCs w:val="20"/>
                <w:lang w:val="en-CA"/>
              </w:rPr>
            </w:pPr>
            <w:r w:rsidRPr="00DA4360">
              <w:rPr>
                <w:rFonts w:ascii="Arial" w:hAnsi="Arial" w:cs="Arial"/>
                <w:sz w:val="20"/>
                <w:szCs w:val="20"/>
                <w:lang w:val="en-CA"/>
              </w:rPr>
              <w:t>Increase</w:t>
            </w:r>
            <w:r w:rsidR="00732B04" w:rsidRPr="00DA4360">
              <w:rPr>
                <w:rFonts w:ascii="Arial" w:hAnsi="Arial" w:cs="Arial"/>
                <w:sz w:val="20"/>
                <w:szCs w:val="20"/>
                <w:lang w:val="en-CA"/>
              </w:rPr>
              <w:t xml:space="preserve"> in cash</w:t>
            </w:r>
          </w:p>
        </w:tc>
        <w:tc>
          <w:tcPr>
            <w:tcW w:w="323" w:type="dxa"/>
            <w:tcBorders>
              <w:bottom w:val="single" w:sz="18" w:space="0" w:color="auto"/>
            </w:tcBorders>
            <w:shd w:val="clear" w:color="auto" w:fill="auto"/>
          </w:tcPr>
          <w:p w14:paraId="2DBA4EB0" w14:textId="77777777" w:rsidR="00732B04" w:rsidRPr="00DA4360" w:rsidRDefault="00732B04" w:rsidP="003F6F1A">
            <w:pPr>
              <w:spacing w:after="0" w:line="240" w:lineRule="auto"/>
              <w:jc w:val="both"/>
              <w:rPr>
                <w:rFonts w:ascii="Arial" w:hAnsi="Arial" w:cs="Arial"/>
                <w:b/>
                <w:sz w:val="20"/>
                <w:szCs w:val="20"/>
                <w:lang w:val="en-CA"/>
              </w:rPr>
            </w:pPr>
          </w:p>
        </w:tc>
        <w:tc>
          <w:tcPr>
            <w:tcW w:w="1688" w:type="dxa"/>
            <w:tcBorders>
              <w:bottom w:val="single" w:sz="18" w:space="0" w:color="auto"/>
            </w:tcBorders>
            <w:shd w:val="clear" w:color="auto" w:fill="auto"/>
          </w:tcPr>
          <w:p w14:paraId="5F69740D" w14:textId="77777777" w:rsidR="00732B04" w:rsidRPr="00DA4360" w:rsidRDefault="00732B04" w:rsidP="003F6F1A">
            <w:pPr>
              <w:spacing w:after="0" w:line="240" w:lineRule="auto"/>
              <w:jc w:val="right"/>
              <w:rPr>
                <w:rFonts w:ascii="Arial" w:hAnsi="Arial" w:cs="Arial"/>
                <w:b/>
                <w:sz w:val="20"/>
                <w:szCs w:val="20"/>
                <w:lang w:val="en-CA"/>
              </w:rPr>
            </w:pPr>
          </w:p>
        </w:tc>
        <w:tc>
          <w:tcPr>
            <w:tcW w:w="323" w:type="dxa"/>
            <w:tcBorders>
              <w:bottom w:val="single" w:sz="18" w:space="0" w:color="auto"/>
            </w:tcBorders>
            <w:shd w:val="clear" w:color="auto" w:fill="auto"/>
          </w:tcPr>
          <w:p w14:paraId="6B9606D0" w14:textId="77777777" w:rsidR="00732B04" w:rsidRPr="00DA4360" w:rsidRDefault="00732B04" w:rsidP="003F6F1A">
            <w:pPr>
              <w:spacing w:after="0" w:line="240" w:lineRule="auto"/>
              <w:jc w:val="both"/>
              <w:rPr>
                <w:rFonts w:ascii="Arial" w:hAnsi="Arial" w:cs="Arial"/>
                <w:sz w:val="20"/>
                <w:szCs w:val="20"/>
                <w:lang w:val="en-CA"/>
              </w:rPr>
            </w:pPr>
          </w:p>
        </w:tc>
        <w:tc>
          <w:tcPr>
            <w:tcW w:w="504" w:type="dxa"/>
            <w:tcBorders>
              <w:bottom w:val="single" w:sz="18" w:space="0" w:color="auto"/>
            </w:tcBorders>
            <w:shd w:val="clear" w:color="auto" w:fill="auto"/>
          </w:tcPr>
          <w:p w14:paraId="75904F92" w14:textId="77777777" w:rsidR="00732B04" w:rsidRPr="00DA4360" w:rsidRDefault="00732B04" w:rsidP="003F6F1A">
            <w:pPr>
              <w:tabs>
                <w:tab w:val="left" w:pos="360"/>
              </w:tabs>
              <w:suppressAutoHyphens/>
              <w:spacing w:after="0" w:line="240" w:lineRule="auto"/>
              <w:jc w:val="right"/>
              <w:rPr>
                <w:rFonts w:ascii="Arial" w:hAnsi="Arial" w:cs="Arial"/>
                <w:sz w:val="20"/>
                <w:szCs w:val="20"/>
                <w:lang w:val="en-CA"/>
              </w:rPr>
            </w:pPr>
          </w:p>
        </w:tc>
        <w:tc>
          <w:tcPr>
            <w:tcW w:w="323" w:type="dxa"/>
            <w:tcBorders>
              <w:bottom w:val="single" w:sz="18" w:space="0" w:color="auto"/>
            </w:tcBorders>
            <w:shd w:val="clear" w:color="auto" w:fill="auto"/>
          </w:tcPr>
          <w:p w14:paraId="3C49978A" w14:textId="77777777" w:rsidR="00732B04" w:rsidRPr="00DA4360" w:rsidRDefault="00732B04" w:rsidP="003F6F1A">
            <w:pPr>
              <w:tabs>
                <w:tab w:val="left" w:pos="360"/>
              </w:tabs>
              <w:suppressAutoHyphens/>
              <w:spacing w:after="0" w:line="240" w:lineRule="auto"/>
              <w:jc w:val="both"/>
              <w:rPr>
                <w:rFonts w:ascii="Arial" w:hAnsi="Arial" w:cs="Arial"/>
                <w:b/>
                <w:sz w:val="20"/>
                <w:szCs w:val="20"/>
                <w:lang w:val="en-CA"/>
              </w:rPr>
            </w:pPr>
            <w:r w:rsidRPr="00DA4360">
              <w:rPr>
                <w:rFonts w:ascii="Arial" w:hAnsi="Arial" w:cs="Arial"/>
                <w:b/>
                <w:sz w:val="20"/>
                <w:szCs w:val="20"/>
                <w:lang w:val="en-CA"/>
              </w:rPr>
              <w:t>$</w:t>
            </w:r>
          </w:p>
        </w:tc>
        <w:tc>
          <w:tcPr>
            <w:tcW w:w="1837" w:type="dxa"/>
            <w:tcBorders>
              <w:bottom w:val="single" w:sz="18" w:space="0" w:color="auto"/>
            </w:tcBorders>
            <w:shd w:val="clear" w:color="auto" w:fill="auto"/>
            <w:vAlign w:val="bottom"/>
          </w:tcPr>
          <w:p w14:paraId="6E475A94" w14:textId="77777777" w:rsidR="00732B04" w:rsidRPr="00DA4360" w:rsidRDefault="00BD1255" w:rsidP="003F6F1A">
            <w:pPr>
              <w:tabs>
                <w:tab w:val="left" w:pos="360"/>
              </w:tabs>
              <w:suppressAutoHyphens/>
              <w:spacing w:after="0" w:line="240" w:lineRule="auto"/>
              <w:jc w:val="right"/>
              <w:rPr>
                <w:rFonts w:ascii="Arial" w:hAnsi="Arial" w:cs="Arial"/>
                <w:b/>
                <w:sz w:val="20"/>
                <w:szCs w:val="20"/>
                <w:lang w:val="en-CA"/>
              </w:rPr>
            </w:pPr>
            <w:r w:rsidRPr="00DA4360">
              <w:rPr>
                <w:rFonts w:ascii="Arial" w:hAnsi="Arial" w:cs="Arial"/>
                <w:b/>
                <w:sz w:val="20"/>
                <w:szCs w:val="20"/>
                <w:lang w:val="en-CA"/>
              </w:rPr>
              <w:t>659,500</w:t>
            </w:r>
          </w:p>
        </w:tc>
        <w:tc>
          <w:tcPr>
            <w:tcW w:w="324" w:type="dxa"/>
            <w:tcBorders>
              <w:bottom w:val="single" w:sz="18" w:space="0" w:color="auto"/>
            </w:tcBorders>
            <w:shd w:val="clear" w:color="auto" w:fill="auto"/>
          </w:tcPr>
          <w:p w14:paraId="426ACA9D" w14:textId="77777777" w:rsidR="00732B04" w:rsidRPr="00DA4360" w:rsidRDefault="00732B04" w:rsidP="003F6F1A">
            <w:pPr>
              <w:tabs>
                <w:tab w:val="left" w:pos="360"/>
              </w:tabs>
              <w:suppressAutoHyphens/>
              <w:spacing w:after="0" w:line="240" w:lineRule="auto"/>
              <w:jc w:val="both"/>
              <w:rPr>
                <w:rFonts w:ascii="Arial" w:hAnsi="Arial" w:cs="Arial"/>
                <w:sz w:val="20"/>
                <w:szCs w:val="20"/>
                <w:lang w:val="en-CA"/>
              </w:rPr>
            </w:pPr>
            <w:r w:rsidRPr="00DA4360">
              <w:rPr>
                <w:rFonts w:ascii="Arial" w:hAnsi="Arial" w:cs="Arial"/>
                <w:sz w:val="20"/>
                <w:szCs w:val="20"/>
                <w:lang w:val="en-CA"/>
              </w:rPr>
              <w:t>$</w:t>
            </w:r>
          </w:p>
        </w:tc>
        <w:tc>
          <w:tcPr>
            <w:tcW w:w="1755" w:type="dxa"/>
            <w:tcBorders>
              <w:bottom w:val="single" w:sz="18" w:space="0" w:color="auto"/>
            </w:tcBorders>
            <w:shd w:val="clear" w:color="auto" w:fill="auto"/>
            <w:vAlign w:val="bottom"/>
          </w:tcPr>
          <w:p w14:paraId="15EBC3C7" w14:textId="77777777" w:rsidR="00732B04" w:rsidRPr="00DA4360" w:rsidRDefault="003052EF" w:rsidP="003F6F1A">
            <w:pPr>
              <w:tabs>
                <w:tab w:val="left" w:pos="360"/>
              </w:tabs>
              <w:suppressAutoHyphens/>
              <w:spacing w:after="0" w:line="240" w:lineRule="auto"/>
              <w:jc w:val="right"/>
              <w:rPr>
                <w:rFonts w:ascii="Arial" w:hAnsi="Arial" w:cs="Arial"/>
                <w:sz w:val="20"/>
                <w:szCs w:val="20"/>
                <w:lang w:val="en-CA"/>
              </w:rPr>
            </w:pPr>
            <w:r w:rsidRPr="00DA4360">
              <w:rPr>
                <w:rFonts w:ascii="Arial" w:hAnsi="Arial" w:cs="Arial"/>
                <w:sz w:val="20"/>
                <w:szCs w:val="20"/>
                <w:lang w:val="en-CA"/>
              </w:rPr>
              <w:t>-</w:t>
            </w:r>
          </w:p>
        </w:tc>
      </w:tr>
    </w:tbl>
    <w:p w14:paraId="0B3CE571" w14:textId="77777777" w:rsidR="00FC3890" w:rsidRPr="003052EF" w:rsidRDefault="00FC3890" w:rsidP="003F6F1A">
      <w:pPr>
        <w:spacing w:after="0"/>
        <w:jc w:val="both"/>
        <w:rPr>
          <w:rFonts w:ascii="Arial" w:hAnsi="Arial" w:cs="Arial"/>
          <w:color w:val="000000"/>
          <w:sz w:val="20"/>
          <w:szCs w:val="20"/>
        </w:rPr>
      </w:pPr>
    </w:p>
    <w:p w14:paraId="3A3ACC69" w14:textId="77777777" w:rsidR="00732B04" w:rsidRPr="003052EF" w:rsidRDefault="00732B04" w:rsidP="003F6F1A">
      <w:pPr>
        <w:keepNext/>
        <w:tabs>
          <w:tab w:val="left" w:pos="540"/>
        </w:tabs>
        <w:suppressAutoHyphens/>
        <w:spacing w:line="276" w:lineRule="auto"/>
        <w:rPr>
          <w:rFonts w:ascii="Arial" w:hAnsi="Arial" w:cs="Arial"/>
          <w:sz w:val="20"/>
          <w:szCs w:val="20"/>
          <w:u w:val="single"/>
        </w:rPr>
      </w:pPr>
      <w:r w:rsidRPr="003052EF">
        <w:rPr>
          <w:rFonts w:ascii="Arial" w:hAnsi="Arial" w:cs="Arial"/>
          <w:sz w:val="20"/>
          <w:szCs w:val="20"/>
          <w:u w:val="single"/>
        </w:rPr>
        <w:t xml:space="preserve">Review of cash flow </w:t>
      </w:r>
      <w:r w:rsidR="003052EF" w:rsidRPr="003052EF">
        <w:rPr>
          <w:rFonts w:ascii="Arial" w:hAnsi="Arial" w:cs="Arial"/>
          <w:sz w:val="20"/>
          <w:szCs w:val="20"/>
          <w:u w:val="single"/>
        </w:rPr>
        <w:t xml:space="preserve">YTD </w:t>
      </w:r>
      <w:r w:rsidRPr="003052EF">
        <w:rPr>
          <w:rFonts w:ascii="Arial" w:hAnsi="Arial" w:cs="Arial"/>
          <w:sz w:val="20"/>
          <w:szCs w:val="20"/>
          <w:u w:val="single"/>
        </w:rPr>
        <w:t>201</w:t>
      </w:r>
      <w:r w:rsidR="003C5740" w:rsidRPr="003052EF">
        <w:rPr>
          <w:rFonts w:ascii="Arial" w:hAnsi="Arial" w:cs="Arial"/>
          <w:sz w:val="20"/>
          <w:szCs w:val="20"/>
          <w:u w:val="single"/>
        </w:rPr>
        <w:t>9</w:t>
      </w:r>
      <w:r w:rsidRPr="003052EF">
        <w:rPr>
          <w:rFonts w:ascii="Arial" w:hAnsi="Arial" w:cs="Arial"/>
          <w:sz w:val="20"/>
          <w:szCs w:val="20"/>
          <w:u w:val="single"/>
        </w:rPr>
        <w:t xml:space="preserve"> compared to </w:t>
      </w:r>
      <w:r w:rsidR="003052EF" w:rsidRPr="003052EF">
        <w:rPr>
          <w:rFonts w:ascii="Arial" w:hAnsi="Arial" w:cs="Arial"/>
          <w:sz w:val="20"/>
          <w:szCs w:val="20"/>
          <w:u w:val="single"/>
        </w:rPr>
        <w:t>YTD</w:t>
      </w:r>
      <w:r w:rsidRPr="003052EF">
        <w:rPr>
          <w:rFonts w:ascii="Arial" w:hAnsi="Arial" w:cs="Arial"/>
          <w:sz w:val="20"/>
          <w:szCs w:val="20"/>
          <w:u w:val="single"/>
        </w:rPr>
        <w:t xml:space="preserve"> 201</w:t>
      </w:r>
      <w:r w:rsidR="003C5740" w:rsidRPr="003052EF">
        <w:rPr>
          <w:rFonts w:ascii="Arial" w:hAnsi="Arial" w:cs="Arial"/>
          <w:sz w:val="20"/>
          <w:szCs w:val="20"/>
          <w:u w:val="single"/>
        </w:rPr>
        <w:t>8</w:t>
      </w:r>
      <w:r w:rsidR="00987B43" w:rsidRPr="003052EF">
        <w:rPr>
          <w:rFonts w:ascii="Arial" w:hAnsi="Arial" w:cs="Arial"/>
          <w:sz w:val="20"/>
          <w:szCs w:val="20"/>
          <w:u w:val="single"/>
        </w:rPr>
        <w:t>:</w:t>
      </w:r>
      <w:r w:rsidR="003052EF" w:rsidRPr="003052EF">
        <w:rPr>
          <w:rFonts w:ascii="Arial" w:hAnsi="Arial" w:cs="Arial"/>
          <w:sz w:val="20"/>
          <w:szCs w:val="20"/>
          <w:u w:val="single"/>
        </w:rPr>
        <w:br/>
      </w:r>
      <w:r w:rsidR="003052EF" w:rsidRPr="003052EF">
        <w:rPr>
          <w:rFonts w:ascii="Arial" w:hAnsi="Arial" w:cs="Arial"/>
          <w:sz w:val="20"/>
          <w:szCs w:val="20"/>
          <w:u w:val="single"/>
        </w:rPr>
        <w:br/>
      </w:r>
      <w:r w:rsidRPr="003052EF">
        <w:rPr>
          <w:rFonts w:ascii="Arial" w:hAnsi="Arial" w:cs="Arial"/>
          <w:color w:val="000000"/>
          <w:sz w:val="20"/>
          <w:szCs w:val="20"/>
        </w:rPr>
        <w:t xml:space="preserve">Cash </w:t>
      </w:r>
      <w:r w:rsidR="003052EF" w:rsidRPr="003052EF">
        <w:rPr>
          <w:rFonts w:ascii="Arial" w:hAnsi="Arial" w:cs="Arial"/>
          <w:color w:val="000000"/>
          <w:sz w:val="20"/>
          <w:szCs w:val="20"/>
        </w:rPr>
        <w:t xml:space="preserve">used in </w:t>
      </w:r>
      <w:r w:rsidRPr="003052EF">
        <w:rPr>
          <w:rFonts w:ascii="Arial" w:hAnsi="Arial" w:cs="Arial"/>
          <w:color w:val="000000"/>
          <w:sz w:val="20"/>
          <w:szCs w:val="20"/>
        </w:rPr>
        <w:t>operating activities was $</w:t>
      </w:r>
      <w:r w:rsidR="003052EF" w:rsidRPr="003052EF">
        <w:rPr>
          <w:rFonts w:ascii="Arial" w:hAnsi="Arial" w:cs="Arial"/>
          <w:color w:val="000000"/>
          <w:sz w:val="20"/>
          <w:szCs w:val="20"/>
        </w:rPr>
        <w:t>1,</w:t>
      </w:r>
      <w:r w:rsidR="005265E3">
        <w:rPr>
          <w:rFonts w:ascii="Arial" w:hAnsi="Arial" w:cs="Arial"/>
          <w:color w:val="000000"/>
          <w:sz w:val="20"/>
          <w:szCs w:val="20"/>
        </w:rPr>
        <w:t>33</w:t>
      </w:r>
      <w:r w:rsidR="005C15D5">
        <w:rPr>
          <w:rFonts w:ascii="Arial" w:hAnsi="Arial" w:cs="Arial"/>
          <w:color w:val="000000"/>
          <w:sz w:val="20"/>
          <w:szCs w:val="20"/>
        </w:rPr>
        <w:t>1</w:t>
      </w:r>
      <w:r w:rsidR="005265E3">
        <w:rPr>
          <w:rFonts w:ascii="Arial" w:hAnsi="Arial" w:cs="Arial"/>
          <w:color w:val="000000"/>
          <w:sz w:val="20"/>
          <w:szCs w:val="20"/>
        </w:rPr>
        <w:t>,</w:t>
      </w:r>
      <w:r w:rsidR="005C15D5">
        <w:rPr>
          <w:rFonts w:ascii="Arial" w:hAnsi="Arial" w:cs="Arial"/>
          <w:color w:val="000000"/>
          <w:sz w:val="20"/>
          <w:szCs w:val="20"/>
        </w:rPr>
        <w:t>950</w:t>
      </w:r>
      <w:r w:rsidRPr="003052EF">
        <w:rPr>
          <w:rFonts w:ascii="Arial" w:hAnsi="Arial" w:cs="Arial"/>
          <w:color w:val="000000"/>
          <w:sz w:val="20"/>
          <w:szCs w:val="20"/>
        </w:rPr>
        <w:t>, compared to $</w:t>
      </w:r>
      <w:r w:rsidR="003052EF" w:rsidRPr="003052EF">
        <w:rPr>
          <w:rFonts w:ascii="Arial" w:hAnsi="Arial" w:cs="Arial"/>
          <w:color w:val="000000"/>
          <w:sz w:val="20"/>
          <w:szCs w:val="20"/>
        </w:rPr>
        <w:t>2,358,949</w:t>
      </w:r>
      <w:r w:rsidRPr="003052EF">
        <w:rPr>
          <w:rFonts w:ascii="Arial" w:hAnsi="Arial" w:cs="Arial"/>
          <w:color w:val="000000"/>
          <w:sz w:val="20"/>
          <w:szCs w:val="20"/>
        </w:rPr>
        <w:t xml:space="preserve"> during </w:t>
      </w:r>
      <w:r w:rsidR="003052EF" w:rsidRPr="003052EF">
        <w:rPr>
          <w:rFonts w:ascii="Arial" w:hAnsi="Arial" w:cs="Arial"/>
          <w:color w:val="000000"/>
          <w:sz w:val="20"/>
          <w:szCs w:val="20"/>
        </w:rPr>
        <w:t>YTD</w:t>
      </w:r>
      <w:r w:rsidRPr="003052EF">
        <w:rPr>
          <w:rFonts w:ascii="Arial" w:hAnsi="Arial" w:cs="Arial"/>
          <w:color w:val="000000"/>
          <w:sz w:val="20"/>
          <w:szCs w:val="20"/>
        </w:rPr>
        <w:t xml:space="preserve"> 201</w:t>
      </w:r>
      <w:r w:rsidR="003C5740" w:rsidRPr="003052EF">
        <w:rPr>
          <w:rFonts w:ascii="Arial" w:hAnsi="Arial" w:cs="Arial"/>
          <w:color w:val="000000"/>
          <w:sz w:val="20"/>
          <w:szCs w:val="20"/>
        </w:rPr>
        <w:t>8</w:t>
      </w:r>
      <w:r w:rsidR="00E64A88" w:rsidRPr="003052EF">
        <w:rPr>
          <w:rFonts w:ascii="Arial" w:hAnsi="Arial" w:cs="Arial"/>
          <w:color w:val="000000"/>
          <w:sz w:val="20"/>
          <w:szCs w:val="20"/>
        </w:rPr>
        <w:t>:</w:t>
      </w:r>
    </w:p>
    <w:p w14:paraId="7CC09FFF" w14:textId="164925B0" w:rsidR="00732B04" w:rsidRDefault="00105B24" w:rsidP="003F6F1A">
      <w:pPr>
        <w:pStyle w:val="ColorfulList-Accent11"/>
        <w:numPr>
          <w:ilvl w:val="0"/>
          <w:numId w:val="28"/>
        </w:numPr>
        <w:spacing w:line="276" w:lineRule="auto"/>
        <w:jc w:val="both"/>
        <w:rPr>
          <w:rFonts w:ascii="Arial" w:hAnsi="Arial" w:cs="Arial"/>
          <w:color w:val="000000"/>
          <w:sz w:val="20"/>
          <w:szCs w:val="20"/>
        </w:rPr>
      </w:pPr>
      <w:r w:rsidRPr="003052EF">
        <w:rPr>
          <w:rFonts w:ascii="Arial" w:hAnsi="Arial" w:cs="Arial"/>
          <w:color w:val="000000"/>
          <w:sz w:val="20"/>
          <w:szCs w:val="20"/>
        </w:rPr>
        <w:t>Net loss</w:t>
      </w:r>
      <w:r w:rsidR="00FE5B48" w:rsidRPr="003052EF">
        <w:rPr>
          <w:rFonts w:ascii="Arial" w:hAnsi="Arial" w:cs="Arial"/>
          <w:color w:val="000000"/>
          <w:sz w:val="20"/>
          <w:szCs w:val="20"/>
        </w:rPr>
        <w:t xml:space="preserve"> was $</w:t>
      </w:r>
      <w:r w:rsidR="004E17E1">
        <w:rPr>
          <w:rFonts w:ascii="Arial" w:hAnsi="Arial" w:cs="Arial"/>
          <w:color w:val="000000"/>
          <w:sz w:val="20"/>
          <w:szCs w:val="20"/>
        </w:rPr>
        <w:t>1,</w:t>
      </w:r>
      <w:r w:rsidR="005265E3">
        <w:rPr>
          <w:rFonts w:ascii="Arial" w:hAnsi="Arial" w:cs="Arial"/>
          <w:color w:val="000000"/>
          <w:sz w:val="20"/>
          <w:szCs w:val="20"/>
        </w:rPr>
        <w:t>855</w:t>
      </w:r>
      <w:r w:rsidR="005C15D5">
        <w:rPr>
          <w:rFonts w:ascii="Arial" w:hAnsi="Arial" w:cs="Arial"/>
          <w:color w:val="000000"/>
          <w:sz w:val="20"/>
          <w:szCs w:val="20"/>
        </w:rPr>
        <w:t>,047</w:t>
      </w:r>
      <w:r w:rsidR="000A24FE">
        <w:rPr>
          <w:rFonts w:ascii="Arial" w:hAnsi="Arial" w:cs="Arial"/>
          <w:color w:val="000000"/>
          <w:sz w:val="20"/>
          <w:szCs w:val="20"/>
        </w:rPr>
        <w:t>,</w:t>
      </w:r>
      <w:r w:rsidR="00FE5B48" w:rsidRPr="003052EF">
        <w:rPr>
          <w:rFonts w:ascii="Arial" w:hAnsi="Arial" w:cs="Arial"/>
          <w:color w:val="000000"/>
          <w:sz w:val="20"/>
          <w:szCs w:val="20"/>
        </w:rPr>
        <w:t xml:space="preserve"> compared to $</w:t>
      </w:r>
      <w:r w:rsidR="00424A47">
        <w:rPr>
          <w:rFonts w:ascii="Arial" w:hAnsi="Arial" w:cs="Arial"/>
          <w:color w:val="000000"/>
          <w:sz w:val="20"/>
          <w:szCs w:val="20"/>
        </w:rPr>
        <w:t>4,754,191</w:t>
      </w:r>
      <w:r w:rsidR="00FE5B48" w:rsidRPr="003052EF">
        <w:rPr>
          <w:rFonts w:ascii="Arial" w:hAnsi="Arial" w:cs="Arial"/>
          <w:color w:val="000000"/>
          <w:sz w:val="20"/>
          <w:szCs w:val="20"/>
        </w:rPr>
        <w:t>.</w:t>
      </w:r>
      <w:r w:rsidR="0079090E" w:rsidRPr="003052EF">
        <w:rPr>
          <w:rFonts w:ascii="Arial" w:hAnsi="Arial" w:cs="Arial"/>
          <w:color w:val="000000"/>
          <w:sz w:val="20"/>
          <w:szCs w:val="20"/>
        </w:rPr>
        <w:t xml:space="preserve"> Included in </w:t>
      </w:r>
      <w:r w:rsidRPr="003052EF">
        <w:rPr>
          <w:rFonts w:ascii="Arial" w:hAnsi="Arial" w:cs="Arial"/>
          <w:color w:val="000000"/>
          <w:sz w:val="20"/>
          <w:szCs w:val="20"/>
        </w:rPr>
        <w:t xml:space="preserve">net </w:t>
      </w:r>
      <w:r w:rsidR="0079090E" w:rsidRPr="003052EF">
        <w:rPr>
          <w:rFonts w:ascii="Arial" w:hAnsi="Arial" w:cs="Arial"/>
          <w:color w:val="000000"/>
          <w:sz w:val="20"/>
          <w:szCs w:val="20"/>
        </w:rPr>
        <w:t>loss are non-cash items of $</w:t>
      </w:r>
      <w:r w:rsidR="005265E3">
        <w:rPr>
          <w:rFonts w:ascii="Arial" w:hAnsi="Arial" w:cs="Arial"/>
          <w:color w:val="000000"/>
          <w:sz w:val="20"/>
          <w:szCs w:val="20"/>
        </w:rPr>
        <w:t>8</w:t>
      </w:r>
      <w:r w:rsidR="001D7767">
        <w:rPr>
          <w:rFonts w:ascii="Arial" w:hAnsi="Arial" w:cs="Arial"/>
          <w:color w:val="000000"/>
          <w:sz w:val="20"/>
          <w:szCs w:val="20"/>
        </w:rPr>
        <w:t>83,688</w:t>
      </w:r>
      <w:r w:rsidR="004E17E1">
        <w:rPr>
          <w:rFonts w:ascii="Arial" w:hAnsi="Arial" w:cs="Arial"/>
          <w:color w:val="000000"/>
          <w:sz w:val="20"/>
          <w:szCs w:val="20"/>
        </w:rPr>
        <w:t xml:space="preserve"> </w:t>
      </w:r>
      <w:r w:rsidR="0079090E" w:rsidRPr="003052EF">
        <w:rPr>
          <w:rFonts w:ascii="Arial" w:hAnsi="Arial" w:cs="Arial"/>
          <w:color w:val="000000"/>
          <w:sz w:val="20"/>
          <w:szCs w:val="20"/>
        </w:rPr>
        <w:t xml:space="preserve">for </w:t>
      </w:r>
      <w:r w:rsidR="003052EF" w:rsidRPr="003052EF">
        <w:rPr>
          <w:rFonts w:ascii="Arial" w:hAnsi="Arial" w:cs="Arial"/>
          <w:color w:val="000000"/>
          <w:sz w:val="20"/>
          <w:szCs w:val="20"/>
        </w:rPr>
        <w:t>YTD</w:t>
      </w:r>
      <w:r w:rsidR="0079090E" w:rsidRPr="003052EF">
        <w:rPr>
          <w:rFonts w:ascii="Arial" w:hAnsi="Arial" w:cs="Arial"/>
          <w:color w:val="000000"/>
          <w:sz w:val="20"/>
          <w:szCs w:val="20"/>
        </w:rPr>
        <w:t xml:space="preserve"> 2019 as compared to $</w:t>
      </w:r>
      <w:r w:rsidR="00424A47">
        <w:rPr>
          <w:rFonts w:ascii="Arial" w:hAnsi="Arial" w:cs="Arial"/>
          <w:color w:val="000000"/>
          <w:sz w:val="20"/>
          <w:szCs w:val="20"/>
        </w:rPr>
        <w:t xml:space="preserve">2,945,875 </w:t>
      </w:r>
      <w:r w:rsidR="0079090E" w:rsidRPr="003052EF">
        <w:rPr>
          <w:rFonts w:ascii="Arial" w:hAnsi="Arial" w:cs="Arial"/>
          <w:color w:val="000000"/>
          <w:sz w:val="20"/>
          <w:szCs w:val="20"/>
        </w:rPr>
        <w:t xml:space="preserve">for </w:t>
      </w:r>
      <w:r w:rsidR="003052EF" w:rsidRPr="003052EF">
        <w:rPr>
          <w:rFonts w:ascii="Arial" w:hAnsi="Arial" w:cs="Arial"/>
          <w:color w:val="000000"/>
          <w:sz w:val="20"/>
          <w:szCs w:val="20"/>
        </w:rPr>
        <w:t>YTD</w:t>
      </w:r>
      <w:r w:rsidR="0079090E" w:rsidRPr="003052EF">
        <w:rPr>
          <w:rFonts w:ascii="Arial" w:hAnsi="Arial" w:cs="Arial"/>
          <w:color w:val="000000"/>
          <w:sz w:val="20"/>
          <w:szCs w:val="20"/>
        </w:rPr>
        <w:t xml:space="preserve"> 2018.</w:t>
      </w:r>
    </w:p>
    <w:p w14:paraId="04C70143" w14:textId="77777777" w:rsidR="005265E3" w:rsidRDefault="005265E3" w:rsidP="003F6F1A">
      <w:pPr>
        <w:pStyle w:val="ColorfulList-Accent11"/>
        <w:spacing w:line="276" w:lineRule="auto"/>
        <w:jc w:val="both"/>
        <w:rPr>
          <w:rFonts w:ascii="Arial" w:hAnsi="Arial" w:cs="Arial"/>
          <w:color w:val="000000"/>
          <w:sz w:val="20"/>
          <w:szCs w:val="20"/>
        </w:rPr>
      </w:pPr>
    </w:p>
    <w:p w14:paraId="6188121F" w14:textId="77777777" w:rsidR="00324616" w:rsidRPr="003052EF" w:rsidRDefault="00324616" w:rsidP="003F6F1A">
      <w:pPr>
        <w:pStyle w:val="ColorfulList-Accent11"/>
        <w:spacing w:line="276" w:lineRule="auto"/>
        <w:jc w:val="both"/>
        <w:rPr>
          <w:rFonts w:ascii="Arial" w:hAnsi="Arial" w:cs="Arial"/>
          <w:color w:val="000000"/>
          <w:sz w:val="20"/>
          <w:szCs w:val="20"/>
        </w:rPr>
      </w:pPr>
    </w:p>
    <w:p w14:paraId="3C2C249A" w14:textId="0F377BCD" w:rsidR="00732B04" w:rsidRPr="005265E3" w:rsidRDefault="00FE5B48" w:rsidP="003F6F1A">
      <w:pPr>
        <w:pStyle w:val="ColorfulList-Accent11"/>
        <w:numPr>
          <w:ilvl w:val="0"/>
          <w:numId w:val="28"/>
        </w:numPr>
        <w:spacing w:line="276" w:lineRule="auto"/>
        <w:jc w:val="both"/>
        <w:rPr>
          <w:rFonts w:ascii="Arial" w:hAnsi="Arial" w:cs="Arial"/>
          <w:color w:val="000000"/>
          <w:sz w:val="20"/>
          <w:szCs w:val="20"/>
        </w:rPr>
      </w:pPr>
      <w:r w:rsidRPr="005265E3">
        <w:rPr>
          <w:rFonts w:ascii="Arial" w:hAnsi="Arial" w:cs="Arial"/>
          <w:color w:val="000000"/>
          <w:sz w:val="20"/>
          <w:szCs w:val="20"/>
        </w:rPr>
        <w:t xml:space="preserve">Movements in accounts receivables </w:t>
      </w:r>
      <w:r w:rsidR="003052EF" w:rsidRPr="005265E3">
        <w:rPr>
          <w:rFonts w:ascii="Arial" w:hAnsi="Arial" w:cs="Arial"/>
          <w:color w:val="000000"/>
          <w:sz w:val="20"/>
          <w:szCs w:val="20"/>
        </w:rPr>
        <w:t>decreased cash by $53,573</w:t>
      </w:r>
      <w:r w:rsidR="000A24FE">
        <w:rPr>
          <w:rFonts w:ascii="Arial" w:hAnsi="Arial" w:cs="Arial"/>
          <w:color w:val="000000"/>
          <w:sz w:val="20"/>
          <w:szCs w:val="20"/>
        </w:rPr>
        <w:t>,</w:t>
      </w:r>
      <w:r w:rsidR="003052EF" w:rsidRPr="005265E3">
        <w:rPr>
          <w:rFonts w:ascii="Arial" w:hAnsi="Arial" w:cs="Arial"/>
          <w:color w:val="000000"/>
          <w:sz w:val="20"/>
          <w:szCs w:val="20"/>
        </w:rPr>
        <w:t xml:space="preserve"> </w:t>
      </w:r>
      <w:r w:rsidRPr="005265E3">
        <w:rPr>
          <w:rFonts w:ascii="Arial" w:hAnsi="Arial" w:cs="Arial"/>
          <w:color w:val="000000"/>
          <w:sz w:val="20"/>
          <w:szCs w:val="20"/>
        </w:rPr>
        <w:t xml:space="preserve">compared to </w:t>
      </w:r>
      <w:r w:rsidR="0079090E" w:rsidRPr="005265E3">
        <w:rPr>
          <w:rFonts w:ascii="Arial" w:hAnsi="Arial" w:cs="Arial"/>
          <w:color w:val="000000"/>
          <w:sz w:val="20"/>
          <w:szCs w:val="20"/>
        </w:rPr>
        <w:t>in</w:t>
      </w:r>
      <w:r w:rsidRPr="005265E3">
        <w:rPr>
          <w:rFonts w:ascii="Arial" w:hAnsi="Arial" w:cs="Arial"/>
          <w:color w:val="000000"/>
          <w:sz w:val="20"/>
          <w:szCs w:val="20"/>
        </w:rPr>
        <w:t>creasing cash by $</w:t>
      </w:r>
      <w:r w:rsidR="003052EF" w:rsidRPr="005265E3">
        <w:rPr>
          <w:rFonts w:ascii="Arial" w:hAnsi="Arial" w:cs="Arial"/>
          <w:color w:val="000000"/>
          <w:sz w:val="20"/>
          <w:szCs w:val="20"/>
        </w:rPr>
        <w:t>6</w:t>
      </w:r>
      <w:r w:rsidR="0079090E" w:rsidRPr="005265E3">
        <w:rPr>
          <w:rFonts w:ascii="Arial" w:hAnsi="Arial" w:cs="Arial"/>
          <w:color w:val="000000"/>
          <w:sz w:val="20"/>
          <w:szCs w:val="20"/>
        </w:rPr>
        <w:t>47</w:t>
      </w:r>
      <w:r w:rsidRPr="005265E3">
        <w:rPr>
          <w:rFonts w:ascii="Arial" w:hAnsi="Arial" w:cs="Arial"/>
          <w:color w:val="000000"/>
          <w:sz w:val="20"/>
          <w:szCs w:val="20"/>
        </w:rPr>
        <w:t xml:space="preserve"> during </w:t>
      </w:r>
      <w:r w:rsidR="003052EF" w:rsidRPr="005265E3">
        <w:rPr>
          <w:rFonts w:ascii="Arial" w:hAnsi="Arial" w:cs="Arial"/>
          <w:color w:val="000000"/>
          <w:sz w:val="20"/>
          <w:szCs w:val="20"/>
        </w:rPr>
        <w:t>YTD</w:t>
      </w:r>
      <w:r w:rsidR="003C5740" w:rsidRPr="005265E3">
        <w:rPr>
          <w:rFonts w:ascii="Arial" w:hAnsi="Arial" w:cs="Arial"/>
          <w:color w:val="000000"/>
          <w:sz w:val="20"/>
          <w:szCs w:val="20"/>
        </w:rPr>
        <w:t xml:space="preserve"> </w:t>
      </w:r>
      <w:r w:rsidRPr="005265E3">
        <w:rPr>
          <w:rFonts w:ascii="Arial" w:hAnsi="Arial" w:cs="Arial"/>
          <w:color w:val="000000"/>
          <w:sz w:val="20"/>
          <w:szCs w:val="20"/>
        </w:rPr>
        <w:t>201</w:t>
      </w:r>
      <w:r w:rsidR="003C5740" w:rsidRPr="005265E3">
        <w:rPr>
          <w:rFonts w:ascii="Arial" w:hAnsi="Arial" w:cs="Arial"/>
          <w:color w:val="000000"/>
          <w:sz w:val="20"/>
          <w:szCs w:val="20"/>
        </w:rPr>
        <w:t>8</w:t>
      </w:r>
      <w:r w:rsidRPr="005265E3">
        <w:rPr>
          <w:rFonts w:ascii="Arial" w:hAnsi="Arial" w:cs="Arial"/>
          <w:color w:val="000000"/>
          <w:sz w:val="20"/>
          <w:szCs w:val="20"/>
        </w:rPr>
        <w:t>.</w:t>
      </w:r>
    </w:p>
    <w:p w14:paraId="0484ECA9" w14:textId="5E95170D" w:rsidR="00FE5B48" w:rsidRPr="003052EF" w:rsidRDefault="00FE5B48" w:rsidP="003F6F1A">
      <w:pPr>
        <w:pStyle w:val="ColorfulList-Accent11"/>
        <w:numPr>
          <w:ilvl w:val="0"/>
          <w:numId w:val="28"/>
        </w:numPr>
        <w:spacing w:line="276" w:lineRule="auto"/>
        <w:jc w:val="both"/>
        <w:rPr>
          <w:rFonts w:ascii="Arial" w:hAnsi="Arial" w:cs="Arial"/>
          <w:color w:val="000000"/>
          <w:sz w:val="20"/>
          <w:szCs w:val="20"/>
        </w:rPr>
      </w:pPr>
      <w:r w:rsidRPr="003052EF">
        <w:rPr>
          <w:rFonts w:ascii="Arial" w:hAnsi="Arial" w:cs="Arial"/>
          <w:color w:val="000000"/>
          <w:sz w:val="20"/>
          <w:szCs w:val="20"/>
        </w:rPr>
        <w:t xml:space="preserve">Movements in prepaid expenses </w:t>
      </w:r>
      <w:r w:rsidR="003052EF" w:rsidRPr="003052EF">
        <w:rPr>
          <w:rFonts w:ascii="Arial" w:hAnsi="Arial" w:cs="Arial"/>
          <w:color w:val="000000"/>
          <w:sz w:val="20"/>
          <w:szCs w:val="20"/>
        </w:rPr>
        <w:t>de</w:t>
      </w:r>
      <w:r w:rsidRPr="003052EF">
        <w:rPr>
          <w:rFonts w:ascii="Arial" w:hAnsi="Arial" w:cs="Arial"/>
          <w:color w:val="000000"/>
          <w:sz w:val="20"/>
          <w:szCs w:val="20"/>
        </w:rPr>
        <w:t>creased cash by $</w:t>
      </w:r>
      <w:r w:rsidR="003052EF" w:rsidRPr="003052EF">
        <w:rPr>
          <w:rFonts w:ascii="Arial" w:hAnsi="Arial" w:cs="Arial"/>
          <w:color w:val="000000"/>
          <w:sz w:val="20"/>
          <w:szCs w:val="20"/>
        </w:rPr>
        <w:t>6</w:t>
      </w:r>
      <w:r w:rsidR="005C15D5">
        <w:rPr>
          <w:rFonts w:ascii="Arial" w:hAnsi="Arial" w:cs="Arial"/>
          <w:color w:val="000000"/>
          <w:sz w:val="20"/>
          <w:szCs w:val="20"/>
        </w:rPr>
        <w:t>4</w:t>
      </w:r>
      <w:r w:rsidR="003052EF" w:rsidRPr="003052EF">
        <w:rPr>
          <w:rFonts w:ascii="Arial" w:hAnsi="Arial" w:cs="Arial"/>
          <w:color w:val="000000"/>
          <w:sz w:val="20"/>
          <w:szCs w:val="20"/>
        </w:rPr>
        <w:t>,</w:t>
      </w:r>
      <w:r w:rsidR="005C15D5">
        <w:rPr>
          <w:rFonts w:ascii="Arial" w:hAnsi="Arial" w:cs="Arial"/>
          <w:color w:val="000000"/>
          <w:sz w:val="20"/>
          <w:szCs w:val="20"/>
        </w:rPr>
        <w:t>294</w:t>
      </w:r>
      <w:r w:rsidR="000A24FE">
        <w:rPr>
          <w:rFonts w:ascii="Arial" w:hAnsi="Arial" w:cs="Arial"/>
          <w:color w:val="000000"/>
          <w:sz w:val="20"/>
          <w:szCs w:val="20"/>
        </w:rPr>
        <w:t>,</w:t>
      </w:r>
      <w:r w:rsidR="003052EF" w:rsidRPr="003052EF">
        <w:rPr>
          <w:rFonts w:ascii="Arial" w:hAnsi="Arial" w:cs="Arial"/>
          <w:color w:val="000000"/>
          <w:sz w:val="20"/>
          <w:szCs w:val="20"/>
        </w:rPr>
        <w:t xml:space="preserve"> </w:t>
      </w:r>
      <w:r w:rsidRPr="003052EF">
        <w:rPr>
          <w:rFonts w:ascii="Arial" w:hAnsi="Arial" w:cs="Arial"/>
          <w:color w:val="000000"/>
          <w:sz w:val="20"/>
          <w:szCs w:val="20"/>
        </w:rPr>
        <w:t xml:space="preserve">compared to </w:t>
      </w:r>
      <w:r w:rsidR="0079090E" w:rsidRPr="003052EF">
        <w:rPr>
          <w:rFonts w:ascii="Arial" w:hAnsi="Arial" w:cs="Arial"/>
          <w:color w:val="000000"/>
          <w:sz w:val="20"/>
          <w:szCs w:val="20"/>
        </w:rPr>
        <w:t xml:space="preserve">decreasing cash by </w:t>
      </w:r>
      <w:r w:rsidRPr="003052EF">
        <w:rPr>
          <w:rFonts w:ascii="Arial" w:hAnsi="Arial" w:cs="Arial"/>
          <w:color w:val="000000"/>
          <w:sz w:val="20"/>
          <w:szCs w:val="20"/>
        </w:rPr>
        <w:t>$</w:t>
      </w:r>
      <w:r w:rsidR="003052EF" w:rsidRPr="003052EF">
        <w:rPr>
          <w:rFonts w:ascii="Arial" w:hAnsi="Arial" w:cs="Arial"/>
          <w:color w:val="000000"/>
          <w:sz w:val="20"/>
          <w:szCs w:val="20"/>
        </w:rPr>
        <w:t>7,761</w:t>
      </w:r>
      <w:r w:rsidRPr="003052EF">
        <w:rPr>
          <w:rFonts w:ascii="Arial" w:hAnsi="Arial" w:cs="Arial"/>
          <w:color w:val="000000"/>
          <w:sz w:val="20"/>
          <w:szCs w:val="20"/>
        </w:rPr>
        <w:t xml:space="preserve"> during </w:t>
      </w:r>
      <w:r w:rsidR="003052EF" w:rsidRPr="003052EF">
        <w:rPr>
          <w:rFonts w:ascii="Arial" w:hAnsi="Arial" w:cs="Arial"/>
          <w:color w:val="000000"/>
          <w:sz w:val="20"/>
          <w:szCs w:val="20"/>
        </w:rPr>
        <w:t>YTD</w:t>
      </w:r>
      <w:r w:rsidRPr="003052EF">
        <w:rPr>
          <w:rFonts w:ascii="Arial" w:hAnsi="Arial" w:cs="Arial"/>
          <w:color w:val="000000"/>
          <w:sz w:val="20"/>
          <w:szCs w:val="20"/>
        </w:rPr>
        <w:t xml:space="preserve"> 201</w:t>
      </w:r>
      <w:r w:rsidR="003C5740" w:rsidRPr="003052EF">
        <w:rPr>
          <w:rFonts w:ascii="Arial" w:hAnsi="Arial" w:cs="Arial"/>
          <w:color w:val="000000"/>
          <w:sz w:val="20"/>
          <w:szCs w:val="20"/>
        </w:rPr>
        <w:t>8</w:t>
      </w:r>
      <w:r w:rsidRPr="003052EF">
        <w:rPr>
          <w:rFonts w:ascii="Arial" w:hAnsi="Arial" w:cs="Arial"/>
          <w:color w:val="000000"/>
          <w:sz w:val="20"/>
          <w:szCs w:val="20"/>
        </w:rPr>
        <w:t>.</w:t>
      </w:r>
    </w:p>
    <w:p w14:paraId="7A77B228" w14:textId="18A234AD" w:rsidR="00FE5B48" w:rsidRPr="003052EF" w:rsidRDefault="00FE5B48" w:rsidP="003F6F1A">
      <w:pPr>
        <w:pStyle w:val="ColorfulList-Accent11"/>
        <w:numPr>
          <w:ilvl w:val="0"/>
          <w:numId w:val="28"/>
        </w:numPr>
        <w:spacing w:line="276" w:lineRule="auto"/>
        <w:jc w:val="both"/>
        <w:rPr>
          <w:rFonts w:ascii="Arial" w:hAnsi="Arial" w:cs="Arial"/>
          <w:color w:val="000000"/>
          <w:sz w:val="20"/>
          <w:szCs w:val="20"/>
        </w:rPr>
      </w:pPr>
      <w:r w:rsidRPr="003052EF">
        <w:rPr>
          <w:rFonts w:ascii="Arial" w:hAnsi="Arial" w:cs="Arial"/>
          <w:color w:val="000000"/>
          <w:sz w:val="20"/>
          <w:szCs w:val="20"/>
        </w:rPr>
        <w:t xml:space="preserve">Movements in accounts payable and accrued liabilities </w:t>
      </w:r>
      <w:r w:rsidR="003052EF" w:rsidRPr="003052EF">
        <w:rPr>
          <w:rFonts w:ascii="Arial" w:hAnsi="Arial" w:cs="Arial"/>
          <w:color w:val="000000"/>
          <w:sz w:val="20"/>
          <w:szCs w:val="20"/>
        </w:rPr>
        <w:t>de</w:t>
      </w:r>
      <w:r w:rsidRPr="003052EF">
        <w:rPr>
          <w:rFonts w:ascii="Arial" w:hAnsi="Arial" w:cs="Arial"/>
          <w:color w:val="000000"/>
          <w:sz w:val="20"/>
          <w:szCs w:val="20"/>
        </w:rPr>
        <w:t>creased cash by $</w:t>
      </w:r>
      <w:r w:rsidR="005265E3">
        <w:rPr>
          <w:rFonts w:ascii="Arial" w:hAnsi="Arial" w:cs="Arial"/>
          <w:color w:val="000000"/>
          <w:sz w:val="20"/>
          <w:szCs w:val="20"/>
        </w:rPr>
        <w:t>2</w:t>
      </w:r>
      <w:r w:rsidR="001D7767">
        <w:rPr>
          <w:rFonts w:ascii="Arial" w:hAnsi="Arial" w:cs="Arial"/>
          <w:color w:val="000000"/>
          <w:sz w:val="20"/>
          <w:szCs w:val="20"/>
        </w:rPr>
        <w:t>42,724</w:t>
      </w:r>
      <w:r w:rsidR="000A24FE">
        <w:rPr>
          <w:rFonts w:ascii="Arial" w:hAnsi="Arial" w:cs="Arial"/>
          <w:color w:val="000000"/>
          <w:sz w:val="20"/>
          <w:szCs w:val="20"/>
        </w:rPr>
        <w:t>,</w:t>
      </w:r>
      <w:r w:rsidRPr="003052EF">
        <w:rPr>
          <w:rFonts w:ascii="Arial" w:hAnsi="Arial" w:cs="Arial"/>
          <w:color w:val="000000"/>
          <w:sz w:val="20"/>
          <w:szCs w:val="20"/>
        </w:rPr>
        <w:t xml:space="preserve"> compared to </w:t>
      </w:r>
      <w:r w:rsidR="003052EF" w:rsidRPr="003052EF">
        <w:rPr>
          <w:rFonts w:ascii="Arial" w:hAnsi="Arial" w:cs="Arial"/>
          <w:color w:val="000000"/>
          <w:sz w:val="20"/>
          <w:szCs w:val="20"/>
        </w:rPr>
        <w:t>de</w:t>
      </w:r>
      <w:r w:rsidRPr="003052EF">
        <w:rPr>
          <w:rFonts w:ascii="Arial" w:hAnsi="Arial" w:cs="Arial"/>
          <w:color w:val="000000"/>
          <w:sz w:val="20"/>
          <w:szCs w:val="20"/>
        </w:rPr>
        <w:t>creasing cash by $</w:t>
      </w:r>
      <w:r w:rsidR="003052EF" w:rsidRPr="003052EF">
        <w:rPr>
          <w:rFonts w:ascii="Arial" w:hAnsi="Arial" w:cs="Arial"/>
          <w:color w:val="000000"/>
          <w:sz w:val="20"/>
          <w:szCs w:val="20"/>
        </w:rPr>
        <w:t>543,519</w:t>
      </w:r>
      <w:r w:rsidRPr="003052EF">
        <w:rPr>
          <w:rFonts w:ascii="Arial" w:hAnsi="Arial" w:cs="Arial"/>
          <w:color w:val="000000"/>
          <w:sz w:val="20"/>
          <w:szCs w:val="20"/>
        </w:rPr>
        <w:t xml:space="preserve"> during </w:t>
      </w:r>
      <w:r w:rsidR="003052EF" w:rsidRPr="003052EF">
        <w:rPr>
          <w:rFonts w:ascii="Arial" w:hAnsi="Arial" w:cs="Arial"/>
          <w:color w:val="000000"/>
          <w:sz w:val="20"/>
          <w:szCs w:val="20"/>
        </w:rPr>
        <w:t>YTD</w:t>
      </w:r>
      <w:r w:rsidRPr="003052EF">
        <w:rPr>
          <w:rFonts w:ascii="Arial" w:hAnsi="Arial" w:cs="Arial"/>
          <w:color w:val="000000"/>
          <w:sz w:val="20"/>
          <w:szCs w:val="20"/>
        </w:rPr>
        <w:t xml:space="preserve"> 201</w:t>
      </w:r>
      <w:r w:rsidR="003C5740" w:rsidRPr="003052EF">
        <w:rPr>
          <w:rFonts w:ascii="Arial" w:hAnsi="Arial" w:cs="Arial"/>
          <w:color w:val="000000"/>
          <w:sz w:val="20"/>
          <w:szCs w:val="20"/>
        </w:rPr>
        <w:t>8</w:t>
      </w:r>
      <w:r w:rsidRPr="003052EF">
        <w:rPr>
          <w:rFonts w:ascii="Arial" w:hAnsi="Arial" w:cs="Arial"/>
          <w:color w:val="000000"/>
          <w:sz w:val="20"/>
          <w:szCs w:val="20"/>
        </w:rPr>
        <w:t>.</w:t>
      </w:r>
    </w:p>
    <w:p w14:paraId="5CFAB386" w14:textId="77777777" w:rsidR="00FE5B48" w:rsidRPr="003052EF" w:rsidRDefault="00FE5B48" w:rsidP="003F6F1A">
      <w:pPr>
        <w:pStyle w:val="ColorfulList-Accent11"/>
        <w:jc w:val="both"/>
        <w:rPr>
          <w:rFonts w:ascii="Arial" w:hAnsi="Arial" w:cs="Arial"/>
          <w:color w:val="000000"/>
          <w:sz w:val="20"/>
          <w:szCs w:val="20"/>
        </w:rPr>
      </w:pPr>
    </w:p>
    <w:p w14:paraId="18C5F36C" w14:textId="77777777" w:rsidR="00732B04" w:rsidRPr="003052EF" w:rsidRDefault="00732B04" w:rsidP="003F6F1A">
      <w:pPr>
        <w:spacing w:after="0"/>
        <w:jc w:val="both"/>
        <w:rPr>
          <w:rFonts w:ascii="Arial" w:hAnsi="Arial" w:cs="Arial"/>
          <w:color w:val="000000"/>
          <w:sz w:val="20"/>
          <w:szCs w:val="20"/>
        </w:rPr>
      </w:pPr>
      <w:r w:rsidRPr="003052EF">
        <w:rPr>
          <w:rFonts w:ascii="Arial" w:hAnsi="Arial" w:cs="Arial"/>
          <w:color w:val="000000"/>
          <w:sz w:val="20"/>
          <w:szCs w:val="20"/>
        </w:rPr>
        <w:t>Cash used in investing activities was $</w:t>
      </w:r>
      <w:r w:rsidR="005265E3">
        <w:rPr>
          <w:rFonts w:ascii="Arial" w:hAnsi="Arial" w:cs="Arial"/>
          <w:color w:val="000000"/>
          <w:sz w:val="20"/>
          <w:szCs w:val="20"/>
        </w:rPr>
        <w:t>543,573</w:t>
      </w:r>
      <w:r w:rsidRPr="003052EF">
        <w:rPr>
          <w:rFonts w:ascii="Arial" w:hAnsi="Arial" w:cs="Arial"/>
          <w:color w:val="000000"/>
          <w:sz w:val="20"/>
          <w:szCs w:val="20"/>
        </w:rPr>
        <w:t>, compared to $</w:t>
      </w:r>
      <w:r w:rsidR="003052EF" w:rsidRPr="003052EF">
        <w:rPr>
          <w:rFonts w:ascii="Arial" w:hAnsi="Arial" w:cs="Arial"/>
          <w:color w:val="000000"/>
          <w:sz w:val="20"/>
          <w:szCs w:val="20"/>
        </w:rPr>
        <w:t>108,800</w:t>
      </w:r>
      <w:r w:rsidRPr="003052EF">
        <w:rPr>
          <w:rFonts w:ascii="Arial" w:hAnsi="Arial" w:cs="Arial"/>
          <w:color w:val="000000"/>
          <w:sz w:val="20"/>
          <w:szCs w:val="20"/>
        </w:rPr>
        <w:t xml:space="preserve"> during </w:t>
      </w:r>
      <w:r w:rsidR="003052EF" w:rsidRPr="003052EF">
        <w:rPr>
          <w:rFonts w:ascii="Arial" w:hAnsi="Arial" w:cs="Arial"/>
          <w:color w:val="000000"/>
          <w:sz w:val="20"/>
          <w:szCs w:val="20"/>
        </w:rPr>
        <w:t>YTD</w:t>
      </w:r>
      <w:r w:rsidRPr="003052EF">
        <w:rPr>
          <w:rFonts w:ascii="Arial" w:hAnsi="Arial" w:cs="Arial"/>
          <w:color w:val="000000"/>
          <w:sz w:val="20"/>
          <w:szCs w:val="20"/>
        </w:rPr>
        <w:t xml:space="preserve"> 201</w:t>
      </w:r>
      <w:r w:rsidR="003C5740" w:rsidRPr="003052EF">
        <w:rPr>
          <w:rFonts w:ascii="Arial" w:hAnsi="Arial" w:cs="Arial"/>
          <w:color w:val="000000"/>
          <w:sz w:val="20"/>
          <w:szCs w:val="20"/>
        </w:rPr>
        <w:t>8</w:t>
      </w:r>
      <w:r w:rsidR="00770FCE" w:rsidRPr="003052EF">
        <w:rPr>
          <w:rFonts w:ascii="Arial" w:hAnsi="Arial" w:cs="Arial"/>
          <w:color w:val="000000"/>
          <w:sz w:val="20"/>
          <w:szCs w:val="20"/>
        </w:rPr>
        <w:t xml:space="preserve">, as a result of </w:t>
      </w:r>
      <w:r w:rsidR="003052EF" w:rsidRPr="003052EF">
        <w:rPr>
          <w:rFonts w:ascii="Arial" w:hAnsi="Arial" w:cs="Arial"/>
          <w:color w:val="000000"/>
          <w:sz w:val="20"/>
          <w:szCs w:val="20"/>
        </w:rPr>
        <w:t>cash spend on the acquisition of Sun Valley</w:t>
      </w:r>
      <w:r w:rsidR="00FE5B48" w:rsidRPr="003052EF">
        <w:rPr>
          <w:rFonts w:ascii="Arial" w:hAnsi="Arial" w:cs="Arial"/>
          <w:color w:val="000000"/>
          <w:sz w:val="20"/>
          <w:szCs w:val="20"/>
        </w:rPr>
        <w:t>.</w:t>
      </w:r>
    </w:p>
    <w:p w14:paraId="7D18449B" w14:textId="77777777" w:rsidR="003052EF" w:rsidRPr="003052EF" w:rsidRDefault="003052EF" w:rsidP="003F6F1A">
      <w:pPr>
        <w:spacing w:after="0"/>
        <w:jc w:val="both"/>
        <w:rPr>
          <w:rFonts w:ascii="Arial" w:hAnsi="Arial" w:cs="Arial"/>
          <w:color w:val="000000"/>
          <w:sz w:val="20"/>
          <w:szCs w:val="20"/>
        </w:rPr>
      </w:pPr>
    </w:p>
    <w:p w14:paraId="270CEE5D" w14:textId="77777777" w:rsidR="00732B04" w:rsidRPr="003052EF" w:rsidRDefault="00732B04" w:rsidP="003F6F1A">
      <w:pPr>
        <w:spacing w:after="0" w:line="276" w:lineRule="auto"/>
        <w:jc w:val="both"/>
        <w:rPr>
          <w:rFonts w:ascii="Arial" w:hAnsi="Arial" w:cs="Arial"/>
          <w:color w:val="000000"/>
          <w:sz w:val="20"/>
          <w:szCs w:val="20"/>
        </w:rPr>
      </w:pPr>
      <w:r w:rsidRPr="003052EF">
        <w:rPr>
          <w:rFonts w:ascii="Arial" w:hAnsi="Arial" w:cs="Arial"/>
          <w:color w:val="000000"/>
          <w:sz w:val="20"/>
          <w:szCs w:val="20"/>
        </w:rPr>
        <w:t xml:space="preserve">Cash </w:t>
      </w:r>
      <w:r w:rsidR="003645BC" w:rsidRPr="003052EF">
        <w:rPr>
          <w:rFonts w:ascii="Arial" w:hAnsi="Arial" w:cs="Arial"/>
          <w:color w:val="000000"/>
          <w:sz w:val="20"/>
          <w:szCs w:val="20"/>
        </w:rPr>
        <w:t xml:space="preserve">used </w:t>
      </w:r>
      <w:r w:rsidRPr="003052EF">
        <w:rPr>
          <w:rFonts w:ascii="Arial" w:hAnsi="Arial" w:cs="Arial"/>
          <w:color w:val="000000"/>
          <w:sz w:val="20"/>
          <w:szCs w:val="20"/>
        </w:rPr>
        <w:t>by financing activities was $</w:t>
      </w:r>
      <w:r w:rsidR="003052EF" w:rsidRPr="003052EF">
        <w:rPr>
          <w:rFonts w:ascii="Arial" w:hAnsi="Arial" w:cs="Arial"/>
          <w:color w:val="000000"/>
          <w:sz w:val="20"/>
          <w:szCs w:val="20"/>
        </w:rPr>
        <w:t>2,535,</w:t>
      </w:r>
      <w:r w:rsidR="005C15D5">
        <w:rPr>
          <w:rFonts w:ascii="Arial" w:hAnsi="Arial" w:cs="Arial"/>
          <w:color w:val="000000"/>
          <w:sz w:val="20"/>
          <w:szCs w:val="20"/>
        </w:rPr>
        <w:t>023</w:t>
      </w:r>
      <w:r w:rsidRPr="003052EF">
        <w:rPr>
          <w:rFonts w:ascii="Arial" w:hAnsi="Arial" w:cs="Arial"/>
          <w:color w:val="000000"/>
          <w:sz w:val="20"/>
          <w:szCs w:val="20"/>
        </w:rPr>
        <w:t xml:space="preserve">, compared to </w:t>
      </w:r>
      <w:r w:rsidR="003645BC" w:rsidRPr="003052EF">
        <w:rPr>
          <w:rFonts w:ascii="Arial" w:hAnsi="Arial" w:cs="Arial"/>
          <w:color w:val="000000"/>
          <w:sz w:val="20"/>
          <w:szCs w:val="20"/>
        </w:rPr>
        <w:t xml:space="preserve">cash </w:t>
      </w:r>
      <w:r w:rsidR="00C94605" w:rsidRPr="003052EF">
        <w:rPr>
          <w:rFonts w:ascii="Arial" w:hAnsi="Arial" w:cs="Arial"/>
          <w:color w:val="000000"/>
          <w:sz w:val="20"/>
          <w:szCs w:val="20"/>
        </w:rPr>
        <w:t>provided by financing activities of</w:t>
      </w:r>
      <w:r w:rsidR="003645BC" w:rsidRPr="003052EF">
        <w:rPr>
          <w:rFonts w:ascii="Arial" w:hAnsi="Arial" w:cs="Arial"/>
          <w:color w:val="000000"/>
          <w:sz w:val="20"/>
          <w:szCs w:val="20"/>
        </w:rPr>
        <w:t xml:space="preserve"> </w:t>
      </w:r>
      <w:r w:rsidRPr="003052EF">
        <w:rPr>
          <w:rFonts w:ascii="Arial" w:hAnsi="Arial" w:cs="Arial"/>
          <w:color w:val="000000"/>
          <w:sz w:val="20"/>
          <w:szCs w:val="20"/>
        </w:rPr>
        <w:t>$</w:t>
      </w:r>
      <w:r w:rsidR="003052EF" w:rsidRPr="003052EF">
        <w:rPr>
          <w:rFonts w:ascii="Arial" w:hAnsi="Arial" w:cs="Arial"/>
          <w:color w:val="000000"/>
          <w:sz w:val="20"/>
          <w:szCs w:val="20"/>
        </w:rPr>
        <w:t>2,467,749</w:t>
      </w:r>
      <w:r w:rsidRPr="003052EF">
        <w:rPr>
          <w:rFonts w:ascii="Arial" w:hAnsi="Arial" w:cs="Arial"/>
          <w:color w:val="000000"/>
          <w:sz w:val="20"/>
          <w:szCs w:val="20"/>
        </w:rPr>
        <w:t xml:space="preserve"> during </w:t>
      </w:r>
      <w:r w:rsidR="003052EF" w:rsidRPr="003052EF">
        <w:rPr>
          <w:rFonts w:ascii="Arial" w:hAnsi="Arial" w:cs="Arial"/>
          <w:color w:val="000000"/>
          <w:sz w:val="20"/>
          <w:szCs w:val="20"/>
        </w:rPr>
        <w:t>YTD</w:t>
      </w:r>
      <w:r w:rsidRPr="003052EF">
        <w:rPr>
          <w:rFonts w:ascii="Arial" w:hAnsi="Arial" w:cs="Arial"/>
          <w:color w:val="000000"/>
          <w:sz w:val="20"/>
          <w:szCs w:val="20"/>
        </w:rPr>
        <w:t xml:space="preserve"> 201</w:t>
      </w:r>
      <w:r w:rsidR="003C5740" w:rsidRPr="003052EF">
        <w:rPr>
          <w:rFonts w:ascii="Arial" w:hAnsi="Arial" w:cs="Arial"/>
          <w:color w:val="000000"/>
          <w:sz w:val="20"/>
          <w:szCs w:val="20"/>
        </w:rPr>
        <w:t>8</w:t>
      </w:r>
      <w:r w:rsidR="00FE5B48" w:rsidRPr="003052EF">
        <w:rPr>
          <w:rFonts w:ascii="Arial" w:hAnsi="Arial" w:cs="Arial"/>
          <w:color w:val="000000"/>
          <w:sz w:val="20"/>
          <w:szCs w:val="20"/>
        </w:rPr>
        <w:t>:</w:t>
      </w:r>
    </w:p>
    <w:p w14:paraId="36212999" w14:textId="77777777" w:rsidR="00F56B6B" w:rsidRPr="003052EF" w:rsidRDefault="00F56B6B" w:rsidP="003F6F1A">
      <w:pPr>
        <w:spacing w:after="0" w:line="276" w:lineRule="auto"/>
        <w:jc w:val="both"/>
        <w:rPr>
          <w:rFonts w:ascii="Arial" w:hAnsi="Arial" w:cs="Arial"/>
          <w:color w:val="000000"/>
          <w:sz w:val="20"/>
          <w:szCs w:val="20"/>
        </w:rPr>
      </w:pPr>
    </w:p>
    <w:p w14:paraId="314594D2" w14:textId="21CB9A5B" w:rsidR="00324616" w:rsidRPr="003052EF" w:rsidRDefault="00946F74" w:rsidP="003F6F1A">
      <w:pPr>
        <w:pStyle w:val="ColorfulList-Accent11"/>
        <w:numPr>
          <w:ilvl w:val="0"/>
          <w:numId w:val="28"/>
        </w:numPr>
        <w:spacing w:line="276" w:lineRule="auto"/>
        <w:jc w:val="both"/>
        <w:rPr>
          <w:rFonts w:ascii="Arial" w:hAnsi="Arial" w:cs="Arial"/>
          <w:color w:val="000000"/>
          <w:sz w:val="20"/>
          <w:szCs w:val="20"/>
        </w:rPr>
      </w:pPr>
      <w:r>
        <w:rPr>
          <w:rFonts w:ascii="Arial" w:hAnsi="Arial" w:cs="Arial"/>
          <w:color w:val="000000"/>
          <w:sz w:val="20"/>
          <w:szCs w:val="20"/>
        </w:rPr>
        <w:t>Common s</w:t>
      </w:r>
      <w:r w:rsidR="00324616" w:rsidRPr="003052EF">
        <w:rPr>
          <w:rFonts w:ascii="Arial" w:hAnsi="Arial" w:cs="Arial"/>
          <w:color w:val="000000"/>
          <w:sz w:val="20"/>
          <w:szCs w:val="20"/>
        </w:rPr>
        <w:t>hares issued for cash increased cash by $1,825,214</w:t>
      </w:r>
      <w:r w:rsidR="000A24FE">
        <w:rPr>
          <w:rFonts w:ascii="Arial" w:hAnsi="Arial" w:cs="Arial"/>
          <w:color w:val="000000"/>
          <w:sz w:val="20"/>
          <w:szCs w:val="20"/>
        </w:rPr>
        <w:t>,</w:t>
      </w:r>
      <w:r w:rsidR="00324616" w:rsidRPr="003052EF">
        <w:rPr>
          <w:rFonts w:ascii="Arial" w:hAnsi="Arial" w:cs="Arial"/>
          <w:color w:val="000000"/>
          <w:sz w:val="20"/>
          <w:szCs w:val="20"/>
        </w:rPr>
        <w:t xml:space="preserve"> compared to $2,262,480 during YTD 2018.</w:t>
      </w:r>
    </w:p>
    <w:p w14:paraId="556B05A5" w14:textId="1AED4FCE" w:rsidR="00732B04" w:rsidRPr="003052EF" w:rsidRDefault="00FE5B48" w:rsidP="003F6F1A">
      <w:pPr>
        <w:pStyle w:val="ColorfulList-Accent11"/>
        <w:numPr>
          <w:ilvl w:val="0"/>
          <w:numId w:val="28"/>
        </w:numPr>
        <w:spacing w:line="276" w:lineRule="auto"/>
        <w:jc w:val="both"/>
        <w:rPr>
          <w:rFonts w:ascii="Arial" w:hAnsi="Arial" w:cs="Arial"/>
          <w:color w:val="000000"/>
          <w:sz w:val="20"/>
          <w:szCs w:val="20"/>
        </w:rPr>
      </w:pPr>
      <w:r w:rsidRPr="003052EF">
        <w:rPr>
          <w:rFonts w:ascii="Arial" w:hAnsi="Arial" w:cs="Arial"/>
          <w:color w:val="000000"/>
          <w:sz w:val="20"/>
          <w:szCs w:val="20"/>
        </w:rPr>
        <w:t xml:space="preserve">Advances from </w:t>
      </w:r>
      <w:r w:rsidR="003052EF" w:rsidRPr="003052EF">
        <w:rPr>
          <w:rFonts w:ascii="Arial" w:hAnsi="Arial" w:cs="Arial"/>
          <w:color w:val="000000"/>
          <w:sz w:val="20"/>
          <w:szCs w:val="20"/>
        </w:rPr>
        <w:t xml:space="preserve">convertible debentures </w:t>
      </w:r>
      <w:r w:rsidRPr="003052EF">
        <w:rPr>
          <w:rFonts w:ascii="Arial" w:hAnsi="Arial" w:cs="Arial"/>
          <w:color w:val="000000"/>
          <w:sz w:val="20"/>
          <w:szCs w:val="20"/>
        </w:rPr>
        <w:t xml:space="preserve">increased cash </w:t>
      </w:r>
      <w:r w:rsidR="003052EF" w:rsidRPr="003052EF">
        <w:rPr>
          <w:rFonts w:ascii="Arial" w:hAnsi="Arial" w:cs="Arial"/>
          <w:color w:val="000000"/>
          <w:sz w:val="20"/>
          <w:szCs w:val="20"/>
        </w:rPr>
        <w:t xml:space="preserve">by </w:t>
      </w:r>
      <w:r w:rsidRPr="003052EF">
        <w:rPr>
          <w:rFonts w:ascii="Arial" w:hAnsi="Arial" w:cs="Arial"/>
          <w:color w:val="000000"/>
          <w:sz w:val="20"/>
          <w:szCs w:val="20"/>
        </w:rPr>
        <w:t>$</w:t>
      </w:r>
      <w:r w:rsidR="003052EF" w:rsidRPr="003052EF">
        <w:rPr>
          <w:rFonts w:ascii="Arial" w:hAnsi="Arial" w:cs="Arial"/>
          <w:color w:val="000000"/>
          <w:sz w:val="20"/>
          <w:szCs w:val="20"/>
        </w:rPr>
        <w:t>717,851</w:t>
      </w:r>
      <w:r w:rsidR="000A24FE">
        <w:rPr>
          <w:rFonts w:ascii="Arial" w:hAnsi="Arial" w:cs="Arial"/>
          <w:color w:val="000000"/>
          <w:sz w:val="20"/>
          <w:szCs w:val="20"/>
        </w:rPr>
        <w:t>,</w:t>
      </w:r>
      <w:r w:rsidRPr="003052EF">
        <w:rPr>
          <w:rFonts w:ascii="Arial" w:hAnsi="Arial" w:cs="Arial"/>
          <w:color w:val="000000"/>
          <w:sz w:val="20"/>
          <w:szCs w:val="20"/>
        </w:rPr>
        <w:t xml:space="preserve"> compared to $</w:t>
      </w:r>
      <w:r w:rsidR="003052EF" w:rsidRPr="003052EF">
        <w:rPr>
          <w:rFonts w:ascii="Arial" w:hAnsi="Arial" w:cs="Arial"/>
          <w:color w:val="000000"/>
          <w:sz w:val="20"/>
          <w:szCs w:val="20"/>
        </w:rPr>
        <w:t>nil</w:t>
      </w:r>
      <w:r w:rsidRPr="003052EF">
        <w:rPr>
          <w:rFonts w:ascii="Arial" w:hAnsi="Arial" w:cs="Arial"/>
          <w:color w:val="000000"/>
          <w:sz w:val="20"/>
          <w:szCs w:val="20"/>
        </w:rPr>
        <w:t xml:space="preserve"> during </w:t>
      </w:r>
      <w:r w:rsidR="003052EF" w:rsidRPr="003052EF">
        <w:rPr>
          <w:rFonts w:ascii="Arial" w:hAnsi="Arial" w:cs="Arial"/>
          <w:color w:val="000000"/>
          <w:sz w:val="20"/>
          <w:szCs w:val="20"/>
        </w:rPr>
        <w:t>YTD</w:t>
      </w:r>
      <w:r w:rsidRPr="003052EF">
        <w:rPr>
          <w:rFonts w:ascii="Arial" w:hAnsi="Arial" w:cs="Arial"/>
          <w:color w:val="000000"/>
          <w:sz w:val="20"/>
          <w:szCs w:val="20"/>
        </w:rPr>
        <w:t xml:space="preserve"> 201</w:t>
      </w:r>
      <w:r w:rsidR="003C5740" w:rsidRPr="003052EF">
        <w:rPr>
          <w:rFonts w:ascii="Arial" w:hAnsi="Arial" w:cs="Arial"/>
          <w:color w:val="000000"/>
          <w:sz w:val="20"/>
          <w:szCs w:val="20"/>
        </w:rPr>
        <w:t>8</w:t>
      </w:r>
      <w:r w:rsidRPr="003052EF">
        <w:rPr>
          <w:rFonts w:ascii="Arial" w:hAnsi="Arial" w:cs="Arial"/>
          <w:color w:val="000000"/>
          <w:sz w:val="20"/>
          <w:szCs w:val="20"/>
        </w:rPr>
        <w:t>.</w:t>
      </w:r>
    </w:p>
    <w:p w14:paraId="05C45E1E" w14:textId="1D1B54E6" w:rsidR="00324616" w:rsidRPr="003052EF" w:rsidRDefault="00324616" w:rsidP="003F6F1A">
      <w:pPr>
        <w:pStyle w:val="ColorfulList-Accent11"/>
        <w:numPr>
          <w:ilvl w:val="0"/>
          <w:numId w:val="28"/>
        </w:numPr>
        <w:spacing w:line="276" w:lineRule="auto"/>
        <w:jc w:val="both"/>
        <w:rPr>
          <w:rFonts w:ascii="Arial" w:hAnsi="Arial" w:cs="Arial"/>
          <w:color w:val="000000"/>
          <w:sz w:val="20"/>
          <w:szCs w:val="20"/>
        </w:rPr>
      </w:pPr>
      <w:r w:rsidRPr="003052EF">
        <w:rPr>
          <w:rFonts w:ascii="Arial" w:hAnsi="Arial" w:cs="Arial"/>
          <w:color w:val="000000"/>
          <w:sz w:val="20"/>
          <w:szCs w:val="20"/>
        </w:rPr>
        <w:t>Cash acquired in the acquisition of Sun Valley increased cash by $93,745</w:t>
      </w:r>
      <w:r w:rsidR="000A24FE">
        <w:rPr>
          <w:rFonts w:ascii="Arial" w:hAnsi="Arial" w:cs="Arial"/>
          <w:color w:val="000000"/>
          <w:sz w:val="20"/>
          <w:szCs w:val="20"/>
        </w:rPr>
        <w:t>,</w:t>
      </w:r>
      <w:r w:rsidRPr="003052EF">
        <w:rPr>
          <w:rFonts w:ascii="Arial" w:hAnsi="Arial" w:cs="Arial"/>
          <w:color w:val="000000"/>
          <w:sz w:val="20"/>
          <w:szCs w:val="20"/>
        </w:rPr>
        <w:t xml:space="preserve"> compared to $</w:t>
      </w:r>
      <w:r>
        <w:rPr>
          <w:rFonts w:ascii="Arial" w:hAnsi="Arial" w:cs="Arial"/>
          <w:color w:val="000000"/>
          <w:sz w:val="20"/>
          <w:szCs w:val="20"/>
        </w:rPr>
        <w:t>13,000</w:t>
      </w:r>
      <w:r w:rsidRPr="003052EF">
        <w:rPr>
          <w:rFonts w:ascii="Arial" w:hAnsi="Arial" w:cs="Arial"/>
          <w:color w:val="000000"/>
          <w:sz w:val="20"/>
          <w:szCs w:val="20"/>
        </w:rPr>
        <w:t xml:space="preserve"> during YTD 2018</w:t>
      </w:r>
      <w:r>
        <w:rPr>
          <w:rFonts w:ascii="Arial" w:hAnsi="Arial" w:cs="Arial"/>
          <w:color w:val="000000"/>
          <w:sz w:val="20"/>
          <w:szCs w:val="20"/>
        </w:rPr>
        <w:t xml:space="preserve"> related to the acquisition of </w:t>
      </w:r>
      <w:proofErr w:type="spellStart"/>
      <w:r>
        <w:rPr>
          <w:rFonts w:ascii="Arial" w:hAnsi="Arial" w:cs="Arial"/>
          <w:color w:val="000000"/>
          <w:sz w:val="20"/>
          <w:szCs w:val="20"/>
        </w:rPr>
        <w:t>Adira</w:t>
      </w:r>
      <w:proofErr w:type="spellEnd"/>
      <w:r>
        <w:rPr>
          <w:rFonts w:ascii="Arial" w:hAnsi="Arial" w:cs="Arial"/>
          <w:color w:val="000000"/>
          <w:sz w:val="20"/>
          <w:szCs w:val="20"/>
        </w:rPr>
        <w:t xml:space="preserve"> Energy Ltd.</w:t>
      </w:r>
    </w:p>
    <w:p w14:paraId="595B49D6" w14:textId="3C94C4D6" w:rsidR="003052EF" w:rsidRPr="003052EF" w:rsidRDefault="003052EF" w:rsidP="003F6F1A">
      <w:pPr>
        <w:pStyle w:val="ColorfulList-Accent11"/>
        <w:numPr>
          <w:ilvl w:val="0"/>
          <w:numId w:val="28"/>
        </w:numPr>
        <w:spacing w:line="276" w:lineRule="auto"/>
        <w:jc w:val="both"/>
        <w:rPr>
          <w:rFonts w:ascii="Arial" w:hAnsi="Arial" w:cs="Arial"/>
          <w:color w:val="000000"/>
          <w:sz w:val="20"/>
          <w:szCs w:val="20"/>
        </w:rPr>
      </w:pPr>
      <w:r w:rsidRPr="003052EF">
        <w:rPr>
          <w:rFonts w:ascii="Arial" w:hAnsi="Arial" w:cs="Arial"/>
          <w:color w:val="000000"/>
          <w:sz w:val="20"/>
          <w:szCs w:val="20"/>
        </w:rPr>
        <w:t>Advances from notes payable increased cash by $33,842</w:t>
      </w:r>
      <w:r w:rsidR="000A24FE">
        <w:rPr>
          <w:rFonts w:ascii="Arial" w:hAnsi="Arial" w:cs="Arial"/>
          <w:color w:val="000000"/>
          <w:sz w:val="20"/>
          <w:szCs w:val="20"/>
        </w:rPr>
        <w:t>,</w:t>
      </w:r>
      <w:r w:rsidRPr="003052EF">
        <w:rPr>
          <w:rFonts w:ascii="Arial" w:hAnsi="Arial" w:cs="Arial"/>
          <w:color w:val="000000"/>
          <w:sz w:val="20"/>
          <w:szCs w:val="20"/>
        </w:rPr>
        <w:t xml:space="preserve"> compared to $205,000 during YTD 2018.</w:t>
      </w:r>
    </w:p>
    <w:p w14:paraId="1E2C85A3" w14:textId="77777777" w:rsidR="003052EF" w:rsidRPr="003052EF" w:rsidRDefault="003052EF" w:rsidP="003F6F1A">
      <w:pPr>
        <w:pStyle w:val="ColorfulList-Accent11"/>
        <w:numPr>
          <w:ilvl w:val="0"/>
          <w:numId w:val="28"/>
        </w:numPr>
        <w:spacing w:line="276" w:lineRule="auto"/>
        <w:jc w:val="both"/>
        <w:rPr>
          <w:rFonts w:ascii="Arial" w:hAnsi="Arial" w:cs="Arial"/>
          <w:color w:val="000000"/>
          <w:sz w:val="20"/>
          <w:szCs w:val="20"/>
        </w:rPr>
      </w:pPr>
      <w:r w:rsidRPr="003052EF">
        <w:rPr>
          <w:rFonts w:ascii="Arial" w:hAnsi="Arial" w:cs="Arial"/>
          <w:color w:val="000000"/>
          <w:sz w:val="20"/>
          <w:szCs w:val="20"/>
        </w:rPr>
        <w:t>Share issue costs decreased cash by $</w:t>
      </w:r>
      <w:r w:rsidR="004E17E1">
        <w:rPr>
          <w:rFonts w:ascii="Arial" w:hAnsi="Arial" w:cs="Arial"/>
          <w:color w:val="000000"/>
          <w:sz w:val="20"/>
          <w:szCs w:val="20"/>
        </w:rPr>
        <w:t>55,714</w:t>
      </w:r>
      <w:r w:rsidRPr="003052EF">
        <w:rPr>
          <w:rFonts w:ascii="Arial" w:hAnsi="Arial" w:cs="Arial"/>
          <w:color w:val="000000"/>
          <w:sz w:val="20"/>
          <w:szCs w:val="20"/>
        </w:rPr>
        <w:t xml:space="preserve"> compared to $nil during YTD 2018.</w:t>
      </w:r>
    </w:p>
    <w:p w14:paraId="2D0F9176" w14:textId="77777777" w:rsidR="00732B04" w:rsidRPr="003052EF" w:rsidRDefault="0079090E" w:rsidP="003F6F1A">
      <w:pPr>
        <w:pStyle w:val="ColorfulList-Accent11"/>
        <w:numPr>
          <w:ilvl w:val="0"/>
          <w:numId w:val="28"/>
        </w:numPr>
        <w:spacing w:line="276" w:lineRule="auto"/>
        <w:jc w:val="both"/>
        <w:rPr>
          <w:rFonts w:ascii="Arial" w:hAnsi="Arial" w:cs="Arial"/>
          <w:color w:val="000000"/>
          <w:sz w:val="20"/>
          <w:szCs w:val="20"/>
        </w:rPr>
      </w:pPr>
      <w:r w:rsidRPr="003052EF">
        <w:rPr>
          <w:rFonts w:ascii="Arial" w:hAnsi="Arial" w:cs="Arial"/>
          <w:color w:val="000000"/>
          <w:sz w:val="20"/>
          <w:szCs w:val="20"/>
        </w:rPr>
        <w:t xml:space="preserve">Payment of lease liability and associated interest </w:t>
      </w:r>
      <w:r w:rsidR="004E17E1">
        <w:rPr>
          <w:rFonts w:ascii="Arial" w:hAnsi="Arial" w:cs="Arial"/>
          <w:color w:val="000000"/>
          <w:sz w:val="20"/>
          <w:szCs w:val="20"/>
        </w:rPr>
        <w:t xml:space="preserve">expense </w:t>
      </w:r>
      <w:r w:rsidRPr="003052EF">
        <w:rPr>
          <w:rFonts w:ascii="Arial" w:hAnsi="Arial" w:cs="Arial"/>
          <w:color w:val="000000"/>
          <w:sz w:val="20"/>
          <w:szCs w:val="20"/>
        </w:rPr>
        <w:t>decreased cash by $</w:t>
      </w:r>
      <w:r w:rsidR="005265E3">
        <w:rPr>
          <w:rFonts w:ascii="Arial" w:hAnsi="Arial" w:cs="Arial"/>
          <w:color w:val="000000"/>
          <w:sz w:val="20"/>
          <w:szCs w:val="20"/>
        </w:rPr>
        <w:t>7</w:t>
      </w:r>
      <w:r w:rsidR="005C15D5">
        <w:rPr>
          <w:rFonts w:ascii="Arial" w:hAnsi="Arial" w:cs="Arial"/>
          <w:color w:val="000000"/>
          <w:sz w:val="20"/>
          <w:szCs w:val="20"/>
        </w:rPr>
        <w:t>6</w:t>
      </w:r>
      <w:r w:rsidR="005265E3">
        <w:rPr>
          <w:rFonts w:ascii="Arial" w:hAnsi="Arial" w:cs="Arial"/>
          <w:color w:val="000000"/>
          <w:sz w:val="20"/>
          <w:szCs w:val="20"/>
        </w:rPr>
        <w:t>,958</w:t>
      </w:r>
      <w:r w:rsidRPr="003052EF">
        <w:rPr>
          <w:rFonts w:ascii="Arial" w:hAnsi="Arial" w:cs="Arial"/>
          <w:color w:val="000000"/>
          <w:sz w:val="20"/>
          <w:szCs w:val="20"/>
        </w:rPr>
        <w:t xml:space="preserve"> and $</w:t>
      </w:r>
      <w:r w:rsidR="005C15D5">
        <w:rPr>
          <w:rFonts w:ascii="Arial" w:hAnsi="Arial" w:cs="Arial"/>
          <w:color w:val="000000"/>
          <w:sz w:val="20"/>
          <w:szCs w:val="20"/>
        </w:rPr>
        <w:t>8,429</w:t>
      </w:r>
      <w:r w:rsidR="008D38FE">
        <w:rPr>
          <w:rFonts w:ascii="Arial" w:hAnsi="Arial" w:cs="Arial"/>
          <w:color w:val="000000"/>
          <w:sz w:val="20"/>
          <w:szCs w:val="20"/>
        </w:rPr>
        <w:t>, respectively,</w:t>
      </w:r>
      <w:r w:rsidRPr="003052EF">
        <w:rPr>
          <w:rFonts w:ascii="Arial" w:hAnsi="Arial" w:cs="Arial"/>
          <w:color w:val="000000"/>
          <w:sz w:val="20"/>
          <w:szCs w:val="20"/>
        </w:rPr>
        <w:t xml:space="preserve"> resulting from the adoption of IFRS 16</w:t>
      </w:r>
      <w:r w:rsidR="00BF0B28">
        <w:rPr>
          <w:rFonts w:ascii="Arial" w:hAnsi="Arial" w:cs="Arial"/>
          <w:color w:val="000000"/>
          <w:sz w:val="20"/>
          <w:szCs w:val="20"/>
        </w:rPr>
        <w:t xml:space="preserve"> effective January 1, 2019</w:t>
      </w:r>
      <w:r w:rsidRPr="003052EF">
        <w:rPr>
          <w:rFonts w:ascii="Arial" w:hAnsi="Arial" w:cs="Arial"/>
          <w:color w:val="000000"/>
          <w:sz w:val="20"/>
          <w:szCs w:val="20"/>
        </w:rPr>
        <w:t>.</w:t>
      </w:r>
    </w:p>
    <w:p w14:paraId="494C2E23" w14:textId="77777777" w:rsidR="00FA6D64" w:rsidRPr="00DA05F7" w:rsidRDefault="00CC1970" w:rsidP="003F6F1A">
      <w:pPr>
        <w:jc w:val="both"/>
        <w:rPr>
          <w:rFonts w:ascii="Arial" w:eastAsia="Times New Roman" w:hAnsi="Arial" w:cs="Arial"/>
          <w:b/>
          <w:bCs/>
          <w:i/>
          <w:color w:val="000000"/>
          <w:sz w:val="20"/>
          <w:szCs w:val="20"/>
          <w:u w:val="single"/>
        </w:rPr>
      </w:pPr>
      <w:r>
        <w:rPr>
          <w:rFonts w:ascii="Arial" w:hAnsi="Arial" w:cs="Arial"/>
          <w:b/>
          <w:bCs/>
          <w:i/>
          <w:color w:val="000000"/>
          <w:sz w:val="20"/>
          <w:szCs w:val="20"/>
          <w:u w:val="single"/>
        </w:rPr>
        <w:br/>
      </w:r>
      <w:r w:rsidR="0079090E">
        <w:rPr>
          <w:rFonts w:ascii="Arial" w:hAnsi="Arial" w:cs="Arial"/>
          <w:b/>
          <w:bCs/>
          <w:i/>
          <w:color w:val="000000"/>
          <w:sz w:val="20"/>
          <w:szCs w:val="20"/>
          <w:u w:val="single"/>
        </w:rPr>
        <w:t>C</w:t>
      </w:r>
      <w:r w:rsidR="00FA6D64" w:rsidRPr="00732B04">
        <w:rPr>
          <w:rFonts w:ascii="Arial" w:hAnsi="Arial" w:cs="Arial"/>
          <w:b/>
          <w:bCs/>
          <w:i/>
          <w:color w:val="000000"/>
          <w:sz w:val="20"/>
          <w:szCs w:val="20"/>
          <w:u w:val="single"/>
        </w:rPr>
        <w:t xml:space="preserve">apital Resources </w:t>
      </w:r>
    </w:p>
    <w:p w14:paraId="0A92DF7E" w14:textId="77777777" w:rsidR="00DA05F7" w:rsidRDefault="00A353D2" w:rsidP="003F6F1A">
      <w:pPr>
        <w:tabs>
          <w:tab w:val="left" w:pos="360"/>
        </w:tabs>
        <w:suppressAutoHyphens/>
        <w:spacing w:after="0"/>
        <w:jc w:val="both"/>
        <w:rPr>
          <w:rFonts w:ascii="Arial" w:hAnsi="Arial" w:cs="Arial"/>
          <w:color w:val="000000"/>
          <w:sz w:val="20"/>
          <w:szCs w:val="20"/>
        </w:rPr>
      </w:pPr>
      <w:r>
        <w:rPr>
          <w:rFonts w:ascii="Arial" w:hAnsi="Arial" w:cs="Arial"/>
          <w:color w:val="000000"/>
          <w:sz w:val="20"/>
          <w:szCs w:val="20"/>
        </w:rPr>
        <w:t xml:space="preserve">The capital of the Company consists of </w:t>
      </w:r>
      <w:r w:rsidR="00A5565C">
        <w:rPr>
          <w:rFonts w:ascii="Arial" w:hAnsi="Arial" w:cs="Arial"/>
          <w:color w:val="000000"/>
          <w:sz w:val="20"/>
          <w:szCs w:val="20"/>
        </w:rPr>
        <w:t>consolidated equity</w:t>
      </w:r>
      <w:r>
        <w:rPr>
          <w:rFonts w:ascii="Arial" w:hAnsi="Arial" w:cs="Arial"/>
          <w:color w:val="000000"/>
          <w:sz w:val="20"/>
          <w:szCs w:val="20"/>
        </w:rPr>
        <w:t xml:space="preserve">, </w:t>
      </w:r>
      <w:r w:rsidR="00A5565C">
        <w:rPr>
          <w:rFonts w:ascii="Arial" w:hAnsi="Arial" w:cs="Arial"/>
          <w:color w:val="000000"/>
          <w:sz w:val="20"/>
          <w:szCs w:val="20"/>
        </w:rPr>
        <w:t>notes payable, convertible debentures</w:t>
      </w:r>
      <w:r>
        <w:rPr>
          <w:rFonts w:ascii="Arial" w:hAnsi="Arial" w:cs="Arial"/>
          <w:color w:val="000000"/>
          <w:sz w:val="20"/>
          <w:szCs w:val="20"/>
        </w:rPr>
        <w:t xml:space="preserve"> and </w:t>
      </w:r>
      <w:r w:rsidR="00A5565C">
        <w:rPr>
          <w:rFonts w:ascii="Arial" w:hAnsi="Arial" w:cs="Arial"/>
          <w:color w:val="000000"/>
          <w:sz w:val="20"/>
          <w:szCs w:val="20"/>
        </w:rPr>
        <w:t>secured loan payable</w:t>
      </w:r>
      <w:r>
        <w:rPr>
          <w:rFonts w:ascii="Arial" w:hAnsi="Arial" w:cs="Arial"/>
          <w:color w:val="000000"/>
          <w:sz w:val="20"/>
          <w:szCs w:val="20"/>
        </w:rPr>
        <w:t>, net of cash.</w:t>
      </w:r>
    </w:p>
    <w:p w14:paraId="3F949208" w14:textId="77777777" w:rsidR="00DA05F7" w:rsidRDefault="00DA05F7" w:rsidP="003F6F1A">
      <w:pPr>
        <w:tabs>
          <w:tab w:val="left" w:pos="360"/>
        </w:tabs>
        <w:suppressAutoHyphens/>
        <w:spacing w:after="0"/>
        <w:rPr>
          <w:rFonts w:ascii="Arial" w:hAnsi="Arial" w:cs="Arial"/>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128"/>
        <w:gridCol w:w="328"/>
        <w:gridCol w:w="2358"/>
        <w:gridCol w:w="328"/>
        <w:gridCol w:w="2218"/>
      </w:tblGrid>
      <w:tr w:rsidR="003E0848" w:rsidRPr="00DA4360" w14:paraId="53C08752" w14:textId="77777777" w:rsidTr="004A1755">
        <w:tc>
          <w:tcPr>
            <w:tcW w:w="4128" w:type="dxa"/>
            <w:tcBorders>
              <w:top w:val="single" w:sz="4" w:space="0" w:color="auto"/>
              <w:bottom w:val="single" w:sz="12" w:space="0" w:color="auto"/>
            </w:tcBorders>
            <w:shd w:val="clear" w:color="auto" w:fill="auto"/>
          </w:tcPr>
          <w:p w14:paraId="41B30BA8" w14:textId="77777777" w:rsidR="00A353D2" w:rsidRPr="00DA4360" w:rsidRDefault="00A353D2" w:rsidP="003F6F1A">
            <w:pPr>
              <w:spacing w:after="0" w:line="240" w:lineRule="auto"/>
              <w:jc w:val="both"/>
              <w:rPr>
                <w:rFonts w:ascii="Arial" w:hAnsi="Arial" w:cs="Arial"/>
                <w:sz w:val="20"/>
                <w:szCs w:val="20"/>
                <w:lang w:val="en-CA"/>
              </w:rPr>
            </w:pPr>
            <w:r w:rsidRPr="00DA4360">
              <w:rPr>
                <w:rFonts w:ascii="Arial" w:hAnsi="Arial" w:cs="Arial"/>
                <w:i/>
                <w:sz w:val="20"/>
                <w:szCs w:val="20"/>
                <w:lang w:val="en-CA"/>
              </w:rPr>
              <w:t xml:space="preserve">As at </w:t>
            </w:r>
          </w:p>
        </w:tc>
        <w:tc>
          <w:tcPr>
            <w:tcW w:w="2686" w:type="dxa"/>
            <w:gridSpan w:val="2"/>
            <w:tcBorders>
              <w:top w:val="single" w:sz="4" w:space="0" w:color="auto"/>
              <w:bottom w:val="single" w:sz="12" w:space="0" w:color="auto"/>
            </w:tcBorders>
            <w:shd w:val="clear" w:color="auto" w:fill="auto"/>
            <w:vAlign w:val="bottom"/>
          </w:tcPr>
          <w:p w14:paraId="0CD30234" w14:textId="77777777" w:rsidR="00A353D2" w:rsidRPr="00DA4360" w:rsidRDefault="003052EF" w:rsidP="003F6F1A">
            <w:pPr>
              <w:spacing w:after="0" w:line="240" w:lineRule="auto"/>
              <w:jc w:val="right"/>
              <w:rPr>
                <w:rFonts w:ascii="Arial" w:hAnsi="Arial" w:cs="Arial"/>
                <w:b/>
                <w:sz w:val="20"/>
                <w:szCs w:val="20"/>
                <w:lang w:val="en-CA"/>
              </w:rPr>
            </w:pPr>
            <w:r w:rsidRPr="00DA4360">
              <w:rPr>
                <w:rFonts w:ascii="Arial" w:hAnsi="Arial" w:cs="Arial"/>
                <w:b/>
                <w:sz w:val="20"/>
                <w:szCs w:val="20"/>
                <w:lang w:val="en-CA"/>
              </w:rPr>
              <w:t>June 30</w:t>
            </w:r>
            <w:r w:rsidR="003C5740" w:rsidRPr="00DA4360">
              <w:rPr>
                <w:rFonts w:ascii="Arial" w:hAnsi="Arial" w:cs="Arial"/>
                <w:b/>
                <w:sz w:val="20"/>
                <w:szCs w:val="20"/>
                <w:lang w:val="en-CA"/>
              </w:rPr>
              <w:t xml:space="preserve">, </w:t>
            </w:r>
            <w:r w:rsidR="00A353D2" w:rsidRPr="00DA4360">
              <w:rPr>
                <w:rFonts w:ascii="Arial" w:hAnsi="Arial" w:cs="Arial"/>
                <w:b/>
                <w:sz w:val="20"/>
                <w:szCs w:val="20"/>
                <w:lang w:val="en-CA"/>
              </w:rPr>
              <w:t>201</w:t>
            </w:r>
            <w:r w:rsidR="003C5740" w:rsidRPr="00DA4360">
              <w:rPr>
                <w:rFonts w:ascii="Arial" w:hAnsi="Arial" w:cs="Arial"/>
                <w:b/>
                <w:sz w:val="20"/>
                <w:szCs w:val="20"/>
                <w:lang w:val="en-CA"/>
              </w:rPr>
              <w:t>9</w:t>
            </w:r>
          </w:p>
        </w:tc>
        <w:tc>
          <w:tcPr>
            <w:tcW w:w="2546" w:type="dxa"/>
            <w:gridSpan w:val="2"/>
            <w:tcBorders>
              <w:top w:val="single" w:sz="4" w:space="0" w:color="auto"/>
              <w:bottom w:val="single" w:sz="12" w:space="0" w:color="auto"/>
            </w:tcBorders>
            <w:shd w:val="clear" w:color="auto" w:fill="auto"/>
            <w:vAlign w:val="bottom"/>
          </w:tcPr>
          <w:p w14:paraId="16083406" w14:textId="77777777" w:rsidR="00A353D2" w:rsidRPr="00DA4360" w:rsidRDefault="003C5740" w:rsidP="003F6F1A">
            <w:pPr>
              <w:spacing w:after="0" w:line="240" w:lineRule="auto"/>
              <w:jc w:val="right"/>
              <w:rPr>
                <w:rFonts w:ascii="Arial" w:hAnsi="Arial" w:cs="Arial"/>
                <w:sz w:val="20"/>
                <w:szCs w:val="20"/>
                <w:lang w:val="en-CA"/>
              </w:rPr>
            </w:pPr>
            <w:r w:rsidRPr="00DA4360">
              <w:rPr>
                <w:rFonts w:ascii="Arial" w:hAnsi="Arial" w:cs="Arial"/>
                <w:sz w:val="20"/>
                <w:szCs w:val="20"/>
                <w:lang w:val="en-CA"/>
              </w:rPr>
              <w:t>December 31, 2018</w:t>
            </w:r>
          </w:p>
        </w:tc>
      </w:tr>
      <w:tr w:rsidR="003E0848" w:rsidRPr="00DA4360" w14:paraId="6D74A193" w14:textId="77777777" w:rsidTr="004A1755">
        <w:tc>
          <w:tcPr>
            <w:tcW w:w="4128" w:type="dxa"/>
            <w:tcBorders>
              <w:top w:val="single" w:sz="12" w:space="0" w:color="auto"/>
              <w:bottom w:val="nil"/>
            </w:tcBorders>
            <w:shd w:val="clear" w:color="auto" w:fill="auto"/>
          </w:tcPr>
          <w:p w14:paraId="1C143706" w14:textId="77777777" w:rsidR="00A353D2" w:rsidRPr="00DA4360" w:rsidRDefault="00A353D2" w:rsidP="003F6F1A">
            <w:pPr>
              <w:spacing w:after="0" w:line="240" w:lineRule="auto"/>
              <w:jc w:val="both"/>
              <w:rPr>
                <w:rFonts w:ascii="Arial" w:hAnsi="Arial" w:cs="Arial"/>
                <w:sz w:val="20"/>
                <w:szCs w:val="20"/>
                <w:lang w:val="en-CA"/>
              </w:rPr>
            </w:pPr>
          </w:p>
        </w:tc>
        <w:tc>
          <w:tcPr>
            <w:tcW w:w="328" w:type="dxa"/>
            <w:tcBorders>
              <w:top w:val="single" w:sz="12" w:space="0" w:color="auto"/>
              <w:bottom w:val="nil"/>
            </w:tcBorders>
            <w:shd w:val="clear" w:color="auto" w:fill="auto"/>
          </w:tcPr>
          <w:p w14:paraId="4E8F99AD" w14:textId="77777777" w:rsidR="00A353D2" w:rsidRPr="00DA4360" w:rsidRDefault="00A353D2" w:rsidP="003F6F1A">
            <w:pPr>
              <w:spacing w:after="0" w:line="240" w:lineRule="auto"/>
              <w:jc w:val="both"/>
              <w:rPr>
                <w:rFonts w:ascii="Arial" w:hAnsi="Arial" w:cs="Arial"/>
                <w:b/>
                <w:sz w:val="20"/>
                <w:szCs w:val="20"/>
                <w:lang w:val="en-CA"/>
              </w:rPr>
            </w:pPr>
          </w:p>
        </w:tc>
        <w:tc>
          <w:tcPr>
            <w:tcW w:w="2358" w:type="dxa"/>
            <w:tcBorders>
              <w:top w:val="single" w:sz="12" w:space="0" w:color="auto"/>
              <w:bottom w:val="nil"/>
            </w:tcBorders>
            <w:shd w:val="clear" w:color="auto" w:fill="auto"/>
            <w:vAlign w:val="bottom"/>
          </w:tcPr>
          <w:p w14:paraId="76075A09" w14:textId="77777777" w:rsidR="00A353D2" w:rsidRPr="00DA4360" w:rsidRDefault="00A353D2" w:rsidP="003F6F1A">
            <w:pPr>
              <w:spacing w:after="0" w:line="240" w:lineRule="auto"/>
              <w:jc w:val="right"/>
              <w:rPr>
                <w:rFonts w:ascii="Arial" w:hAnsi="Arial" w:cs="Arial"/>
                <w:b/>
                <w:sz w:val="20"/>
                <w:szCs w:val="20"/>
                <w:lang w:val="en-CA"/>
              </w:rPr>
            </w:pPr>
          </w:p>
        </w:tc>
        <w:tc>
          <w:tcPr>
            <w:tcW w:w="328" w:type="dxa"/>
            <w:tcBorders>
              <w:top w:val="single" w:sz="12" w:space="0" w:color="auto"/>
              <w:bottom w:val="nil"/>
            </w:tcBorders>
            <w:shd w:val="clear" w:color="auto" w:fill="auto"/>
          </w:tcPr>
          <w:p w14:paraId="13160375" w14:textId="77777777" w:rsidR="00A353D2" w:rsidRPr="00DA4360" w:rsidRDefault="00A353D2" w:rsidP="003F6F1A">
            <w:pPr>
              <w:spacing w:after="0" w:line="240" w:lineRule="auto"/>
              <w:jc w:val="both"/>
              <w:rPr>
                <w:rFonts w:ascii="Arial" w:hAnsi="Arial" w:cs="Arial"/>
                <w:sz w:val="20"/>
                <w:szCs w:val="20"/>
                <w:lang w:val="en-CA"/>
              </w:rPr>
            </w:pPr>
          </w:p>
        </w:tc>
        <w:tc>
          <w:tcPr>
            <w:tcW w:w="2218" w:type="dxa"/>
            <w:tcBorders>
              <w:top w:val="single" w:sz="12" w:space="0" w:color="auto"/>
              <w:bottom w:val="nil"/>
            </w:tcBorders>
            <w:shd w:val="clear" w:color="auto" w:fill="auto"/>
            <w:vAlign w:val="bottom"/>
          </w:tcPr>
          <w:p w14:paraId="4E8F6077" w14:textId="77777777" w:rsidR="00A353D2" w:rsidRPr="00DA4360" w:rsidRDefault="00A353D2" w:rsidP="003F6F1A">
            <w:pPr>
              <w:spacing w:after="0" w:line="240" w:lineRule="auto"/>
              <w:jc w:val="right"/>
              <w:rPr>
                <w:rFonts w:ascii="Arial" w:hAnsi="Arial" w:cs="Arial"/>
                <w:sz w:val="20"/>
                <w:szCs w:val="20"/>
                <w:lang w:val="en-CA"/>
              </w:rPr>
            </w:pPr>
          </w:p>
        </w:tc>
      </w:tr>
      <w:tr w:rsidR="003E0848" w:rsidRPr="00DA4360" w14:paraId="0476BE66" w14:textId="77777777" w:rsidTr="004A1755">
        <w:tc>
          <w:tcPr>
            <w:tcW w:w="4128" w:type="dxa"/>
            <w:tcBorders>
              <w:top w:val="nil"/>
              <w:bottom w:val="nil"/>
            </w:tcBorders>
            <w:shd w:val="clear" w:color="auto" w:fill="auto"/>
          </w:tcPr>
          <w:p w14:paraId="2E677745" w14:textId="77777777" w:rsidR="003F5DC9" w:rsidRPr="00DA4360" w:rsidRDefault="003F5DC9" w:rsidP="003F6F1A">
            <w:pPr>
              <w:spacing w:after="0" w:line="240" w:lineRule="auto"/>
              <w:jc w:val="both"/>
              <w:rPr>
                <w:rFonts w:ascii="Arial" w:hAnsi="Arial" w:cs="Arial"/>
                <w:sz w:val="20"/>
                <w:szCs w:val="20"/>
                <w:lang w:val="en-CA"/>
              </w:rPr>
            </w:pPr>
            <w:r w:rsidRPr="00DA4360">
              <w:rPr>
                <w:rFonts w:ascii="Arial" w:hAnsi="Arial" w:cs="Arial"/>
                <w:sz w:val="20"/>
                <w:szCs w:val="20"/>
                <w:lang w:val="en-CA"/>
              </w:rPr>
              <w:t>Equity</w:t>
            </w:r>
          </w:p>
        </w:tc>
        <w:tc>
          <w:tcPr>
            <w:tcW w:w="328" w:type="dxa"/>
            <w:tcBorders>
              <w:top w:val="nil"/>
              <w:bottom w:val="nil"/>
            </w:tcBorders>
            <w:shd w:val="clear" w:color="auto" w:fill="auto"/>
          </w:tcPr>
          <w:p w14:paraId="52575713" w14:textId="77777777" w:rsidR="003F5DC9" w:rsidRPr="00DA4360" w:rsidRDefault="003F5DC9" w:rsidP="003F6F1A">
            <w:pPr>
              <w:spacing w:after="0" w:line="240" w:lineRule="auto"/>
              <w:jc w:val="both"/>
              <w:rPr>
                <w:rFonts w:ascii="Arial" w:hAnsi="Arial" w:cs="Arial"/>
                <w:b/>
                <w:sz w:val="20"/>
                <w:szCs w:val="20"/>
                <w:lang w:val="en-CA"/>
              </w:rPr>
            </w:pPr>
            <w:r w:rsidRPr="00DA4360">
              <w:rPr>
                <w:rFonts w:ascii="Arial" w:hAnsi="Arial" w:cs="Arial"/>
                <w:b/>
                <w:sz w:val="20"/>
                <w:szCs w:val="20"/>
                <w:lang w:val="en-CA"/>
              </w:rPr>
              <w:t>$</w:t>
            </w:r>
          </w:p>
        </w:tc>
        <w:tc>
          <w:tcPr>
            <w:tcW w:w="2358" w:type="dxa"/>
            <w:tcBorders>
              <w:top w:val="nil"/>
              <w:bottom w:val="nil"/>
            </w:tcBorders>
            <w:shd w:val="clear" w:color="auto" w:fill="auto"/>
            <w:vAlign w:val="bottom"/>
          </w:tcPr>
          <w:p w14:paraId="7BB458E7" w14:textId="77777777" w:rsidR="003F5DC9" w:rsidRPr="00DA4360" w:rsidRDefault="005265E3" w:rsidP="003F6F1A">
            <w:pPr>
              <w:spacing w:after="0" w:line="240" w:lineRule="auto"/>
              <w:jc w:val="right"/>
              <w:rPr>
                <w:rFonts w:ascii="Arial" w:hAnsi="Arial" w:cs="Arial"/>
                <w:b/>
                <w:sz w:val="20"/>
                <w:szCs w:val="20"/>
                <w:lang w:val="en-CA"/>
              </w:rPr>
            </w:pPr>
            <w:r w:rsidRPr="00DA4360">
              <w:rPr>
                <w:rFonts w:ascii="Arial" w:hAnsi="Arial" w:cs="Arial"/>
                <w:b/>
                <w:sz w:val="20"/>
                <w:szCs w:val="20"/>
                <w:lang w:val="en-CA"/>
              </w:rPr>
              <w:t>3</w:t>
            </w:r>
            <w:r w:rsidR="005C15D5" w:rsidRPr="00DA4360">
              <w:rPr>
                <w:rFonts w:ascii="Arial" w:hAnsi="Arial" w:cs="Arial"/>
                <w:b/>
                <w:sz w:val="20"/>
                <w:szCs w:val="20"/>
                <w:lang w:val="en-CA"/>
              </w:rPr>
              <w:t>58,654</w:t>
            </w:r>
          </w:p>
        </w:tc>
        <w:tc>
          <w:tcPr>
            <w:tcW w:w="328" w:type="dxa"/>
            <w:tcBorders>
              <w:top w:val="nil"/>
              <w:bottom w:val="nil"/>
            </w:tcBorders>
            <w:shd w:val="clear" w:color="auto" w:fill="auto"/>
          </w:tcPr>
          <w:p w14:paraId="50C3906D" w14:textId="77777777" w:rsidR="003F5DC9" w:rsidRPr="00DA4360" w:rsidRDefault="003F5DC9" w:rsidP="003F6F1A">
            <w:pPr>
              <w:spacing w:after="0" w:line="240" w:lineRule="auto"/>
              <w:jc w:val="both"/>
              <w:rPr>
                <w:rFonts w:ascii="Arial" w:hAnsi="Arial" w:cs="Arial"/>
                <w:sz w:val="20"/>
                <w:szCs w:val="20"/>
                <w:lang w:val="en-CA"/>
              </w:rPr>
            </w:pPr>
            <w:r w:rsidRPr="00DA4360">
              <w:rPr>
                <w:rFonts w:ascii="Arial" w:hAnsi="Arial" w:cs="Arial"/>
                <w:sz w:val="20"/>
                <w:szCs w:val="20"/>
                <w:lang w:val="en-CA"/>
              </w:rPr>
              <w:t>$</w:t>
            </w:r>
          </w:p>
        </w:tc>
        <w:tc>
          <w:tcPr>
            <w:tcW w:w="2218" w:type="dxa"/>
            <w:tcBorders>
              <w:top w:val="nil"/>
              <w:bottom w:val="nil"/>
            </w:tcBorders>
            <w:shd w:val="clear" w:color="auto" w:fill="auto"/>
            <w:vAlign w:val="bottom"/>
          </w:tcPr>
          <w:p w14:paraId="79887ED6" w14:textId="77777777" w:rsidR="003F5DC9" w:rsidRPr="00DA4360" w:rsidRDefault="003F5DC9" w:rsidP="003F6F1A">
            <w:pPr>
              <w:spacing w:after="0" w:line="240" w:lineRule="auto"/>
              <w:jc w:val="right"/>
              <w:rPr>
                <w:rFonts w:ascii="Arial" w:hAnsi="Arial" w:cs="Arial"/>
                <w:bCs/>
                <w:sz w:val="20"/>
                <w:szCs w:val="20"/>
                <w:lang w:val="en-CA"/>
              </w:rPr>
            </w:pPr>
            <w:r w:rsidRPr="00DA4360">
              <w:rPr>
                <w:rFonts w:ascii="Arial" w:hAnsi="Arial" w:cs="Arial"/>
                <w:bCs/>
                <w:sz w:val="20"/>
                <w:szCs w:val="20"/>
                <w:lang w:val="en-CA"/>
              </w:rPr>
              <w:t>(2,996,220)</w:t>
            </w:r>
          </w:p>
        </w:tc>
      </w:tr>
      <w:tr w:rsidR="003E0848" w:rsidRPr="00DA4360" w14:paraId="51C55018" w14:textId="77777777" w:rsidTr="004A1755">
        <w:tc>
          <w:tcPr>
            <w:tcW w:w="4128" w:type="dxa"/>
            <w:tcBorders>
              <w:top w:val="nil"/>
              <w:bottom w:val="nil"/>
            </w:tcBorders>
            <w:shd w:val="clear" w:color="auto" w:fill="auto"/>
          </w:tcPr>
          <w:p w14:paraId="5A72FCD6" w14:textId="77777777" w:rsidR="003F5DC9" w:rsidRPr="00DA4360" w:rsidRDefault="003F5DC9" w:rsidP="003F6F1A">
            <w:pPr>
              <w:spacing w:after="0" w:line="240" w:lineRule="auto"/>
              <w:jc w:val="both"/>
              <w:rPr>
                <w:rFonts w:ascii="Arial" w:hAnsi="Arial" w:cs="Arial"/>
                <w:sz w:val="20"/>
                <w:szCs w:val="20"/>
                <w:lang w:val="en-CA"/>
              </w:rPr>
            </w:pPr>
            <w:r w:rsidRPr="00DA4360">
              <w:rPr>
                <w:rFonts w:ascii="Arial" w:hAnsi="Arial" w:cs="Arial"/>
                <w:sz w:val="20"/>
                <w:szCs w:val="20"/>
                <w:lang w:val="en-CA"/>
              </w:rPr>
              <w:t>Notes payable</w:t>
            </w:r>
          </w:p>
        </w:tc>
        <w:tc>
          <w:tcPr>
            <w:tcW w:w="328" w:type="dxa"/>
            <w:tcBorders>
              <w:top w:val="nil"/>
              <w:bottom w:val="nil"/>
            </w:tcBorders>
            <w:shd w:val="clear" w:color="auto" w:fill="auto"/>
          </w:tcPr>
          <w:p w14:paraId="085A76E9" w14:textId="77777777" w:rsidR="003F5DC9" w:rsidRPr="00DA4360" w:rsidRDefault="003F5DC9" w:rsidP="003F6F1A">
            <w:pPr>
              <w:spacing w:after="0" w:line="240" w:lineRule="auto"/>
              <w:jc w:val="both"/>
              <w:rPr>
                <w:rFonts w:ascii="Arial" w:hAnsi="Arial" w:cs="Arial"/>
                <w:b/>
                <w:sz w:val="20"/>
                <w:szCs w:val="20"/>
                <w:lang w:val="en-CA"/>
              </w:rPr>
            </w:pPr>
          </w:p>
        </w:tc>
        <w:tc>
          <w:tcPr>
            <w:tcW w:w="2358" w:type="dxa"/>
            <w:tcBorders>
              <w:top w:val="nil"/>
              <w:bottom w:val="nil"/>
            </w:tcBorders>
            <w:shd w:val="clear" w:color="auto" w:fill="auto"/>
            <w:vAlign w:val="bottom"/>
          </w:tcPr>
          <w:p w14:paraId="119081F8" w14:textId="77777777" w:rsidR="003F5DC9" w:rsidRPr="00DA4360" w:rsidRDefault="003052EF" w:rsidP="003F6F1A">
            <w:pPr>
              <w:spacing w:after="0" w:line="240" w:lineRule="auto"/>
              <w:jc w:val="right"/>
              <w:rPr>
                <w:rFonts w:ascii="Arial" w:hAnsi="Arial" w:cs="Arial"/>
                <w:b/>
                <w:sz w:val="20"/>
                <w:szCs w:val="20"/>
                <w:lang w:val="en-CA"/>
              </w:rPr>
            </w:pPr>
            <w:r w:rsidRPr="00DA4360">
              <w:rPr>
                <w:rFonts w:ascii="Arial" w:hAnsi="Arial" w:cs="Arial"/>
                <w:b/>
                <w:sz w:val="20"/>
                <w:szCs w:val="20"/>
                <w:lang w:val="en-CA"/>
              </w:rPr>
              <w:t>749,103</w:t>
            </w:r>
          </w:p>
        </w:tc>
        <w:tc>
          <w:tcPr>
            <w:tcW w:w="328" w:type="dxa"/>
            <w:tcBorders>
              <w:top w:val="nil"/>
              <w:bottom w:val="nil"/>
            </w:tcBorders>
            <w:shd w:val="clear" w:color="auto" w:fill="auto"/>
          </w:tcPr>
          <w:p w14:paraId="6FD6B8D8" w14:textId="77777777" w:rsidR="003F5DC9" w:rsidRPr="00DA4360" w:rsidRDefault="003F5DC9" w:rsidP="003F6F1A">
            <w:pPr>
              <w:spacing w:after="0" w:line="240" w:lineRule="auto"/>
              <w:jc w:val="both"/>
              <w:rPr>
                <w:rFonts w:ascii="Arial" w:hAnsi="Arial" w:cs="Arial"/>
                <w:sz w:val="20"/>
                <w:szCs w:val="20"/>
                <w:lang w:val="en-CA"/>
              </w:rPr>
            </w:pPr>
          </w:p>
        </w:tc>
        <w:tc>
          <w:tcPr>
            <w:tcW w:w="2218" w:type="dxa"/>
            <w:tcBorders>
              <w:top w:val="nil"/>
              <w:bottom w:val="nil"/>
            </w:tcBorders>
            <w:shd w:val="clear" w:color="auto" w:fill="auto"/>
            <w:vAlign w:val="bottom"/>
          </w:tcPr>
          <w:p w14:paraId="1B7E27B0" w14:textId="77777777" w:rsidR="003F5DC9" w:rsidRPr="00DA4360" w:rsidRDefault="003F5DC9" w:rsidP="003F6F1A">
            <w:pPr>
              <w:spacing w:after="0" w:line="240" w:lineRule="auto"/>
              <w:jc w:val="right"/>
              <w:rPr>
                <w:rFonts w:ascii="Arial" w:hAnsi="Arial" w:cs="Arial"/>
                <w:bCs/>
                <w:sz w:val="20"/>
                <w:szCs w:val="20"/>
                <w:lang w:val="en-CA"/>
              </w:rPr>
            </w:pPr>
            <w:r w:rsidRPr="00DA4360">
              <w:rPr>
                <w:rFonts w:ascii="Arial" w:hAnsi="Arial" w:cs="Arial"/>
                <w:bCs/>
                <w:sz w:val="20"/>
                <w:szCs w:val="20"/>
                <w:lang w:val="en-CA"/>
              </w:rPr>
              <w:t>760,715</w:t>
            </w:r>
          </w:p>
        </w:tc>
      </w:tr>
      <w:tr w:rsidR="003E0848" w:rsidRPr="00DA4360" w14:paraId="470244EB" w14:textId="77777777" w:rsidTr="004A1755">
        <w:tc>
          <w:tcPr>
            <w:tcW w:w="4128" w:type="dxa"/>
            <w:tcBorders>
              <w:top w:val="nil"/>
              <w:bottom w:val="nil"/>
            </w:tcBorders>
            <w:shd w:val="clear" w:color="auto" w:fill="auto"/>
          </w:tcPr>
          <w:p w14:paraId="199E9BA9" w14:textId="77777777" w:rsidR="003F5DC9" w:rsidRPr="00DA4360" w:rsidRDefault="003F5DC9" w:rsidP="003F6F1A">
            <w:pPr>
              <w:spacing w:after="0" w:line="240" w:lineRule="auto"/>
              <w:jc w:val="both"/>
              <w:rPr>
                <w:rFonts w:ascii="Arial" w:hAnsi="Arial" w:cs="Arial"/>
                <w:sz w:val="20"/>
                <w:szCs w:val="20"/>
                <w:lang w:val="en-CA"/>
              </w:rPr>
            </w:pPr>
            <w:r w:rsidRPr="00DA4360">
              <w:rPr>
                <w:rFonts w:ascii="Arial" w:hAnsi="Arial" w:cs="Arial"/>
                <w:sz w:val="20"/>
                <w:szCs w:val="20"/>
                <w:lang w:val="en-CA"/>
              </w:rPr>
              <w:t>Convertible debentures</w:t>
            </w:r>
          </w:p>
        </w:tc>
        <w:tc>
          <w:tcPr>
            <w:tcW w:w="328" w:type="dxa"/>
            <w:tcBorders>
              <w:top w:val="nil"/>
              <w:bottom w:val="nil"/>
            </w:tcBorders>
            <w:shd w:val="clear" w:color="auto" w:fill="auto"/>
          </w:tcPr>
          <w:p w14:paraId="74C66E4B" w14:textId="77777777" w:rsidR="003F5DC9" w:rsidRPr="00DA4360" w:rsidRDefault="003F5DC9" w:rsidP="003F6F1A">
            <w:pPr>
              <w:spacing w:after="0" w:line="240" w:lineRule="auto"/>
              <w:jc w:val="both"/>
              <w:rPr>
                <w:rFonts w:ascii="Arial" w:hAnsi="Arial" w:cs="Arial"/>
                <w:b/>
                <w:sz w:val="20"/>
                <w:szCs w:val="20"/>
                <w:lang w:val="en-CA"/>
              </w:rPr>
            </w:pPr>
          </w:p>
        </w:tc>
        <w:tc>
          <w:tcPr>
            <w:tcW w:w="2358" w:type="dxa"/>
            <w:tcBorders>
              <w:top w:val="nil"/>
              <w:bottom w:val="nil"/>
            </w:tcBorders>
            <w:shd w:val="clear" w:color="auto" w:fill="auto"/>
            <w:vAlign w:val="bottom"/>
          </w:tcPr>
          <w:p w14:paraId="7B823385" w14:textId="77777777" w:rsidR="003F5DC9" w:rsidRPr="00DA4360" w:rsidRDefault="003052EF" w:rsidP="003F6F1A">
            <w:pPr>
              <w:spacing w:after="0" w:line="240" w:lineRule="auto"/>
              <w:jc w:val="right"/>
              <w:rPr>
                <w:rFonts w:ascii="Arial" w:hAnsi="Arial" w:cs="Arial"/>
                <w:b/>
                <w:sz w:val="20"/>
                <w:szCs w:val="20"/>
                <w:lang w:val="en-CA"/>
              </w:rPr>
            </w:pPr>
            <w:r w:rsidRPr="00DA4360">
              <w:rPr>
                <w:rFonts w:ascii="Arial" w:hAnsi="Arial" w:cs="Arial"/>
                <w:b/>
                <w:sz w:val="20"/>
                <w:szCs w:val="20"/>
                <w:lang w:val="en-CA"/>
              </w:rPr>
              <w:t>881,098</w:t>
            </w:r>
          </w:p>
        </w:tc>
        <w:tc>
          <w:tcPr>
            <w:tcW w:w="328" w:type="dxa"/>
            <w:tcBorders>
              <w:top w:val="nil"/>
              <w:bottom w:val="nil"/>
            </w:tcBorders>
            <w:shd w:val="clear" w:color="auto" w:fill="auto"/>
          </w:tcPr>
          <w:p w14:paraId="4CFF7452" w14:textId="77777777" w:rsidR="003F5DC9" w:rsidRPr="00DA4360" w:rsidRDefault="003F5DC9" w:rsidP="003F6F1A">
            <w:pPr>
              <w:spacing w:after="0" w:line="240" w:lineRule="auto"/>
              <w:jc w:val="both"/>
              <w:rPr>
                <w:rFonts w:ascii="Arial" w:hAnsi="Arial" w:cs="Arial"/>
                <w:sz w:val="20"/>
                <w:szCs w:val="20"/>
                <w:lang w:val="en-CA"/>
              </w:rPr>
            </w:pPr>
          </w:p>
        </w:tc>
        <w:tc>
          <w:tcPr>
            <w:tcW w:w="2218" w:type="dxa"/>
            <w:tcBorders>
              <w:top w:val="nil"/>
              <w:bottom w:val="nil"/>
            </w:tcBorders>
            <w:shd w:val="clear" w:color="auto" w:fill="auto"/>
            <w:vAlign w:val="bottom"/>
          </w:tcPr>
          <w:p w14:paraId="7F1E4321" w14:textId="77777777" w:rsidR="003F5DC9" w:rsidRPr="00DA4360" w:rsidRDefault="003F5DC9" w:rsidP="003F6F1A">
            <w:pPr>
              <w:spacing w:after="0" w:line="240" w:lineRule="auto"/>
              <w:jc w:val="right"/>
              <w:rPr>
                <w:rFonts w:ascii="Arial" w:hAnsi="Arial" w:cs="Arial"/>
                <w:bCs/>
                <w:sz w:val="20"/>
                <w:szCs w:val="20"/>
                <w:lang w:val="en-CA"/>
              </w:rPr>
            </w:pPr>
            <w:r w:rsidRPr="00DA4360">
              <w:rPr>
                <w:rFonts w:ascii="Arial" w:hAnsi="Arial" w:cs="Arial"/>
                <w:bCs/>
                <w:sz w:val="20"/>
                <w:szCs w:val="20"/>
                <w:lang w:val="en-CA"/>
              </w:rPr>
              <w:t>274,466</w:t>
            </w:r>
          </w:p>
        </w:tc>
      </w:tr>
      <w:tr w:rsidR="003E0848" w:rsidRPr="00DA4360" w14:paraId="3226BB0A" w14:textId="77777777" w:rsidTr="004A1755">
        <w:tc>
          <w:tcPr>
            <w:tcW w:w="4128" w:type="dxa"/>
            <w:tcBorders>
              <w:top w:val="nil"/>
              <w:bottom w:val="single" w:sz="4" w:space="0" w:color="auto"/>
            </w:tcBorders>
            <w:shd w:val="clear" w:color="auto" w:fill="auto"/>
          </w:tcPr>
          <w:p w14:paraId="3D1AD5FF" w14:textId="77777777" w:rsidR="003F5DC9" w:rsidRPr="00DA4360" w:rsidRDefault="003F5DC9" w:rsidP="003F6F1A">
            <w:pPr>
              <w:spacing w:after="0" w:line="240" w:lineRule="auto"/>
              <w:jc w:val="both"/>
              <w:rPr>
                <w:rFonts w:ascii="Arial" w:hAnsi="Arial" w:cs="Arial"/>
                <w:sz w:val="20"/>
                <w:szCs w:val="20"/>
                <w:lang w:val="en-CA"/>
              </w:rPr>
            </w:pPr>
            <w:r w:rsidRPr="00DA4360">
              <w:rPr>
                <w:rFonts w:ascii="Arial" w:hAnsi="Arial" w:cs="Arial"/>
                <w:sz w:val="20"/>
                <w:szCs w:val="20"/>
                <w:lang w:val="en-CA"/>
              </w:rPr>
              <w:t>Secured loan payable</w:t>
            </w:r>
          </w:p>
        </w:tc>
        <w:tc>
          <w:tcPr>
            <w:tcW w:w="328" w:type="dxa"/>
            <w:tcBorders>
              <w:top w:val="nil"/>
              <w:bottom w:val="single" w:sz="4" w:space="0" w:color="auto"/>
            </w:tcBorders>
            <w:shd w:val="clear" w:color="auto" w:fill="auto"/>
          </w:tcPr>
          <w:p w14:paraId="49905D52" w14:textId="77777777" w:rsidR="003F5DC9" w:rsidRPr="00DA4360" w:rsidRDefault="003F5DC9" w:rsidP="003F6F1A">
            <w:pPr>
              <w:spacing w:after="0" w:line="240" w:lineRule="auto"/>
              <w:jc w:val="both"/>
              <w:rPr>
                <w:rFonts w:ascii="Arial" w:hAnsi="Arial" w:cs="Arial"/>
                <w:b/>
                <w:sz w:val="20"/>
                <w:szCs w:val="20"/>
                <w:lang w:val="en-CA"/>
              </w:rPr>
            </w:pPr>
          </w:p>
        </w:tc>
        <w:tc>
          <w:tcPr>
            <w:tcW w:w="2358" w:type="dxa"/>
            <w:tcBorders>
              <w:top w:val="nil"/>
              <w:bottom w:val="single" w:sz="4" w:space="0" w:color="auto"/>
            </w:tcBorders>
            <w:shd w:val="clear" w:color="auto" w:fill="auto"/>
            <w:vAlign w:val="bottom"/>
          </w:tcPr>
          <w:p w14:paraId="4258E9C8" w14:textId="77777777" w:rsidR="003F5DC9" w:rsidRPr="00DA4360" w:rsidRDefault="003052EF" w:rsidP="003F6F1A">
            <w:pPr>
              <w:spacing w:after="0" w:line="240" w:lineRule="auto"/>
              <w:jc w:val="right"/>
              <w:rPr>
                <w:rFonts w:ascii="Arial" w:hAnsi="Arial" w:cs="Arial"/>
                <w:b/>
                <w:sz w:val="20"/>
                <w:szCs w:val="20"/>
                <w:lang w:val="en-CA"/>
              </w:rPr>
            </w:pPr>
            <w:r w:rsidRPr="00DA4360">
              <w:rPr>
                <w:rFonts w:ascii="Arial" w:hAnsi="Arial" w:cs="Arial"/>
                <w:b/>
                <w:sz w:val="20"/>
                <w:szCs w:val="20"/>
                <w:lang w:val="en-CA"/>
              </w:rPr>
              <w:t>739,073</w:t>
            </w:r>
          </w:p>
        </w:tc>
        <w:tc>
          <w:tcPr>
            <w:tcW w:w="328" w:type="dxa"/>
            <w:tcBorders>
              <w:top w:val="nil"/>
              <w:bottom w:val="single" w:sz="4" w:space="0" w:color="auto"/>
            </w:tcBorders>
            <w:shd w:val="clear" w:color="auto" w:fill="auto"/>
          </w:tcPr>
          <w:p w14:paraId="680D7313" w14:textId="77777777" w:rsidR="003F5DC9" w:rsidRPr="00DA4360" w:rsidRDefault="003F5DC9" w:rsidP="003F6F1A">
            <w:pPr>
              <w:spacing w:after="0" w:line="240" w:lineRule="auto"/>
              <w:jc w:val="both"/>
              <w:rPr>
                <w:rFonts w:ascii="Arial" w:hAnsi="Arial" w:cs="Arial"/>
                <w:sz w:val="20"/>
                <w:szCs w:val="20"/>
                <w:lang w:val="en-CA"/>
              </w:rPr>
            </w:pPr>
          </w:p>
        </w:tc>
        <w:tc>
          <w:tcPr>
            <w:tcW w:w="2218" w:type="dxa"/>
            <w:tcBorders>
              <w:top w:val="nil"/>
              <w:bottom w:val="single" w:sz="4" w:space="0" w:color="auto"/>
            </w:tcBorders>
            <w:shd w:val="clear" w:color="auto" w:fill="auto"/>
            <w:vAlign w:val="bottom"/>
          </w:tcPr>
          <w:p w14:paraId="67047C70" w14:textId="77777777" w:rsidR="003F5DC9" w:rsidRPr="00DA4360" w:rsidRDefault="003F5DC9" w:rsidP="003F6F1A">
            <w:pPr>
              <w:spacing w:after="0" w:line="240" w:lineRule="auto"/>
              <w:jc w:val="right"/>
              <w:rPr>
                <w:rFonts w:ascii="Arial" w:hAnsi="Arial" w:cs="Arial"/>
                <w:bCs/>
                <w:sz w:val="20"/>
                <w:szCs w:val="20"/>
                <w:lang w:val="en-CA"/>
              </w:rPr>
            </w:pPr>
            <w:r w:rsidRPr="00DA4360">
              <w:rPr>
                <w:rFonts w:ascii="Arial" w:hAnsi="Arial" w:cs="Arial"/>
                <w:bCs/>
                <w:sz w:val="20"/>
                <w:szCs w:val="20"/>
                <w:lang w:val="en-CA"/>
              </w:rPr>
              <w:t>717,460</w:t>
            </w:r>
          </w:p>
        </w:tc>
      </w:tr>
      <w:tr w:rsidR="003E0848" w:rsidRPr="00DA4360" w14:paraId="0A141D3A" w14:textId="77777777" w:rsidTr="004A1755">
        <w:trPr>
          <w:trHeight w:val="242"/>
        </w:trPr>
        <w:tc>
          <w:tcPr>
            <w:tcW w:w="4128" w:type="dxa"/>
            <w:tcBorders>
              <w:top w:val="single" w:sz="4" w:space="0" w:color="auto"/>
              <w:bottom w:val="nil"/>
            </w:tcBorders>
            <w:shd w:val="clear" w:color="auto" w:fill="auto"/>
          </w:tcPr>
          <w:p w14:paraId="12E24D1F" w14:textId="77777777" w:rsidR="003F5DC9" w:rsidRPr="00DA4360" w:rsidRDefault="003F5DC9" w:rsidP="003F6F1A">
            <w:pPr>
              <w:spacing w:after="0" w:line="240" w:lineRule="auto"/>
              <w:jc w:val="both"/>
              <w:rPr>
                <w:rFonts w:ascii="Arial" w:hAnsi="Arial" w:cs="Arial"/>
                <w:sz w:val="20"/>
                <w:szCs w:val="20"/>
                <w:lang w:val="en-CA"/>
              </w:rPr>
            </w:pPr>
          </w:p>
        </w:tc>
        <w:tc>
          <w:tcPr>
            <w:tcW w:w="328" w:type="dxa"/>
            <w:tcBorders>
              <w:top w:val="single" w:sz="4" w:space="0" w:color="auto"/>
              <w:bottom w:val="nil"/>
            </w:tcBorders>
            <w:shd w:val="clear" w:color="auto" w:fill="auto"/>
          </w:tcPr>
          <w:p w14:paraId="0EB5539D" w14:textId="77777777" w:rsidR="003F5DC9" w:rsidRPr="00DA4360" w:rsidRDefault="003F5DC9" w:rsidP="003F6F1A">
            <w:pPr>
              <w:spacing w:after="0" w:line="240" w:lineRule="auto"/>
              <w:jc w:val="both"/>
              <w:rPr>
                <w:rFonts w:ascii="Arial" w:hAnsi="Arial" w:cs="Arial"/>
                <w:b/>
                <w:sz w:val="20"/>
                <w:szCs w:val="20"/>
                <w:lang w:val="en-CA"/>
              </w:rPr>
            </w:pPr>
          </w:p>
        </w:tc>
        <w:tc>
          <w:tcPr>
            <w:tcW w:w="2358" w:type="dxa"/>
            <w:tcBorders>
              <w:top w:val="single" w:sz="4" w:space="0" w:color="auto"/>
              <w:bottom w:val="nil"/>
            </w:tcBorders>
            <w:shd w:val="clear" w:color="auto" w:fill="auto"/>
            <w:vAlign w:val="bottom"/>
          </w:tcPr>
          <w:p w14:paraId="5D556E19" w14:textId="77777777" w:rsidR="00FD6918" w:rsidRPr="00DA4360" w:rsidRDefault="00FD6918" w:rsidP="003F6F1A">
            <w:pPr>
              <w:spacing w:after="0" w:line="240" w:lineRule="auto"/>
              <w:jc w:val="right"/>
              <w:rPr>
                <w:rFonts w:ascii="Arial" w:hAnsi="Arial" w:cs="Arial"/>
                <w:b/>
                <w:sz w:val="20"/>
                <w:szCs w:val="20"/>
                <w:lang w:val="en-CA"/>
              </w:rPr>
            </w:pPr>
            <w:r w:rsidRPr="00DA4360">
              <w:rPr>
                <w:rFonts w:ascii="Arial" w:hAnsi="Arial" w:cs="Arial"/>
                <w:b/>
                <w:sz w:val="20"/>
                <w:szCs w:val="20"/>
                <w:lang w:val="en-CA"/>
              </w:rPr>
              <w:t>2,</w:t>
            </w:r>
            <w:r w:rsidR="005265E3" w:rsidRPr="00DA4360">
              <w:rPr>
                <w:rFonts w:ascii="Arial" w:hAnsi="Arial" w:cs="Arial"/>
                <w:b/>
                <w:sz w:val="20"/>
                <w:szCs w:val="20"/>
                <w:lang w:val="en-CA"/>
              </w:rPr>
              <w:t>72</w:t>
            </w:r>
            <w:r w:rsidR="005C15D5" w:rsidRPr="00DA4360">
              <w:rPr>
                <w:rFonts w:ascii="Arial" w:hAnsi="Arial" w:cs="Arial"/>
                <w:b/>
                <w:sz w:val="20"/>
                <w:szCs w:val="20"/>
                <w:lang w:val="en-CA"/>
              </w:rPr>
              <w:t>7,928</w:t>
            </w:r>
          </w:p>
        </w:tc>
        <w:tc>
          <w:tcPr>
            <w:tcW w:w="328" w:type="dxa"/>
            <w:tcBorders>
              <w:top w:val="single" w:sz="4" w:space="0" w:color="auto"/>
              <w:bottom w:val="nil"/>
            </w:tcBorders>
            <w:shd w:val="clear" w:color="auto" w:fill="auto"/>
            <w:vAlign w:val="bottom"/>
          </w:tcPr>
          <w:p w14:paraId="316D9A89" w14:textId="77777777" w:rsidR="003F5DC9" w:rsidRPr="00DA4360" w:rsidRDefault="003F5DC9" w:rsidP="003F6F1A">
            <w:pPr>
              <w:spacing w:after="0" w:line="240" w:lineRule="auto"/>
              <w:jc w:val="both"/>
              <w:rPr>
                <w:rFonts w:ascii="Arial" w:hAnsi="Arial" w:cs="Arial"/>
                <w:b/>
                <w:sz w:val="20"/>
                <w:szCs w:val="20"/>
                <w:lang w:val="en-CA"/>
              </w:rPr>
            </w:pPr>
          </w:p>
        </w:tc>
        <w:tc>
          <w:tcPr>
            <w:tcW w:w="2218" w:type="dxa"/>
            <w:tcBorders>
              <w:top w:val="single" w:sz="4" w:space="0" w:color="auto"/>
              <w:bottom w:val="nil"/>
            </w:tcBorders>
            <w:shd w:val="clear" w:color="auto" w:fill="auto"/>
            <w:vAlign w:val="bottom"/>
          </w:tcPr>
          <w:p w14:paraId="54CE515C" w14:textId="77777777" w:rsidR="003F5DC9" w:rsidRPr="00DA4360" w:rsidRDefault="003F5DC9" w:rsidP="003F6F1A">
            <w:pPr>
              <w:spacing w:after="0" w:line="240" w:lineRule="auto"/>
              <w:jc w:val="right"/>
              <w:rPr>
                <w:rFonts w:ascii="Arial" w:hAnsi="Arial" w:cs="Arial"/>
                <w:bCs/>
                <w:sz w:val="20"/>
                <w:szCs w:val="20"/>
                <w:lang w:val="en-CA"/>
              </w:rPr>
            </w:pPr>
            <w:r w:rsidRPr="00DA4360">
              <w:rPr>
                <w:rFonts w:ascii="Arial" w:hAnsi="Arial" w:cs="Arial"/>
                <w:bCs/>
                <w:sz w:val="20"/>
                <w:szCs w:val="20"/>
                <w:lang w:val="en-CA"/>
              </w:rPr>
              <w:t>(1,243,579)</w:t>
            </w:r>
          </w:p>
        </w:tc>
      </w:tr>
      <w:tr w:rsidR="003E0848" w:rsidRPr="00DA4360" w14:paraId="78D3E982" w14:textId="77777777" w:rsidTr="004A1755">
        <w:tc>
          <w:tcPr>
            <w:tcW w:w="4128" w:type="dxa"/>
            <w:tcBorders>
              <w:top w:val="nil"/>
              <w:bottom w:val="nil"/>
            </w:tcBorders>
            <w:shd w:val="clear" w:color="auto" w:fill="auto"/>
          </w:tcPr>
          <w:p w14:paraId="40B1F5A3" w14:textId="77777777" w:rsidR="00A5074B" w:rsidRPr="00DA4360" w:rsidRDefault="00A5074B" w:rsidP="003F6F1A">
            <w:pPr>
              <w:spacing w:after="0" w:line="240" w:lineRule="auto"/>
              <w:jc w:val="both"/>
              <w:rPr>
                <w:rFonts w:ascii="Arial" w:hAnsi="Arial" w:cs="Arial"/>
                <w:sz w:val="20"/>
                <w:szCs w:val="20"/>
                <w:lang w:val="en-CA"/>
              </w:rPr>
            </w:pPr>
          </w:p>
        </w:tc>
        <w:tc>
          <w:tcPr>
            <w:tcW w:w="328" w:type="dxa"/>
            <w:tcBorders>
              <w:top w:val="nil"/>
              <w:bottom w:val="nil"/>
            </w:tcBorders>
            <w:shd w:val="clear" w:color="auto" w:fill="auto"/>
          </w:tcPr>
          <w:p w14:paraId="06295791" w14:textId="77777777" w:rsidR="00A5074B" w:rsidRPr="00DA4360" w:rsidRDefault="00A5074B" w:rsidP="003F6F1A">
            <w:pPr>
              <w:spacing w:after="0" w:line="240" w:lineRule="auto"/>
              <w:jc w:val="both"/>
              <w:rPr>
                <w:rFonts w:ascii="Arial" w:hAnsi="Arial" w:cs="Arial"/>
                <w:b/>
                <w:sz w:val="20"/>
                <w:szCs w:val="20"/>
                <w:lang w:val="en-CA"/>
              </w:rPr>
            </w:pPr>
          </w:p>
        </w:tc>
        <w:tc>
          <w:tcPr>
            <w:tcW w:w="2358" w:type="dxa"/>
            <w:tcBorders>
              <w:top w:val="nil"/>
              <w:bottom w:val="nil"/>
            </w:tcBorders>
            <w:shd w:val="clear" w:color="auto" w:fill="auto"/>
            <w:vAlign w:val="bottom"/>
          </w:tcPr>
          <w:p w14:paraId="7B1117FC" w14:textId="77777777" w:rsidR="00A5074B" w:rsidRPr="00DA4360" w:rsidRDefault="00A5074B" w:rsidP="003F6F1A">
            <w:pPr>
              <w:spacing w:after="0" w:line="240" w:lineRule="auto"/>
              <w:jc w:val="right"/>
              <w:rPr>
                <w:rFonts w:ascii="Arial" w:hAnsi="Arial" w:cs="Arial"/>
                <w:b/>
                <w:sz w:val="20"/>
                <w:szCs w:val="20"/>
                <w:lang w:val="en-CA"/>
              </w:rPr>
            </w:pPr>
          </w:p>
        </w:tc>
        <w:tc>
          <w:tcPr>
            <w:tcW w:w="328" w:type="dxa"/>
            <w:tcBorders>
              <w:top w:val="nil"/>
              <w:bottom w:val="nil"/>
            </w:tcBorders>
            <w:shd w:val="clear" w:color="auto" w:fill="auto"/>
            <w:vAlign w:val="bottom"/>
          </w:tcPr>
          <w:p w14:paraId="59D2153B" w14:textId="77777777" w:rsidR="00A5074B" w:rsidRPr="00DA4360" w:rsidRDefault="00A5074B" w:rsidP="003F6F1A">
            <w:pPr>
              <w:spacing w:after="0" w:line="240" w:lineRule="auto"/>
              <w:jc w:val="both"/>
              <w:rPr>
                <w:rFonts w:ascii="Arial" w:hAnsi="Arial" w:cs="Arial"/>
                <w:b/>
                <w:sz w:val="20"/>
                <w:szCs w:val="20"/>
                <w:lang w:val="en-CA"/>
              </w:rPr>
            </w:pPr>
          </w:p>
        </w:tc>
        <w:tc>
          <w:tcPr>
            <w:tcW w:w="2218" w:type="dxa"/>
            <w:tcBorders>
              <w:top w:val="nil"/>
              <w:bottom w:val="nil"/>
            </w:tcBorders>
            <w:shd w:val="clear" w:color="auto" w:fill="auto"/>
            <w:vAlign w:val="bottom"/>
          </w:tcPr>
          <w:p w14:paraId="6B856DD8" w14:textId="77777777" w:rsidR="00A5074B" w:rsidRPr="00DA4360" w:rsidRDefault="00A5074B" w:rsidP="003F6F1A">
            <w:pPr>
              <w:spacing w:after="0" w:line="240" w:lineRule="auto"/>
              <w:jc w:val="right"/>
              <w:rPr>
                <w:rFonts w:ascii="Arial" w:hAnsi="Arial" w:cs="Arial"/>
                <w:bCs/>
                <w:sz w:val="20"/>
                <w:szCs w:val="20"/>
                <w:lang w:val="en-CA"/>
              </w:rPr>
            </w:pPr>
          </w:p>
        </w:tc>
      </w:tr>
      <w:tr w:rsidR="003E0848" w:rsidRPr="00DA4360" w14:paraId="18CF1200" w14:textId="77777777" w:rsidTr="004A1755">
        <w:tc>
          <w:tcPr>
            <w:tcW w:w="4128" w:type="dxa"/>
            <w:tcBorders>
              <w:top w:val="nil"/>
              <w:bottom w:val="single" w:sz="4" w:space="0" w:color="auto"/>
            </w:tcBorders>
            <w:shd w:val="clear" w:color="auto" w:fill="auto"/>
          </w:tcPr>
          <w:p w14:paraId="74B20BBF" w14:textId="77777777" w:rsidR="003F5DC9" w:rsidRPr="00DA4360" w:rsidRDefault="003F5DC9" w:rsidP="003F6F1A">
            <w:pPr>
              <w:spacing w:after="0" w:line="240" w:lineRule="auto"/>
              <w:jc w:val="both"/>
              <w:rPr>
                <w:rFonts w:ascii="Arial" w:hAnsi="Arial" w:cs="Arial"/>
                <w:sz w:val="20"/>
                <w:szCs w:val="20"/>
                <w:lang w:val="en-CA"/>
              </w:rPr>
            </w:pPr>
            <w:r w:rsidRPr="00DA4360">
              <w:rPr>
                <w:rFonts w:ascii="Arial" w:hAnsi="Arial" w:cs="Arial"/>
                <w:sz w:val="20"/>
                <w:szCs w:val="20"/>
                <w:lang w:val="en-CA"/>
              </w:rPr>
              <w:t xml:space="preserve">Less: cash </w:t>
            </w:r>
          </w:p>
        </w:tc>
        <w:tc>
          <w:tcPr>
            <w:tcW w:w="328" w:type="dxa"/>
            <w:tcBorders>
              <w:top w:val="nil"/>
              <w:bottom w:val="single" w:sz="4" w:space="0" w:color="auto"/>
            </w:tcBorders>
            <w:shd w:val="clear" w:color="auto" w:fill="auto"/>
          </w:tcPr>
          <w:p w14:paraId="6D799166" w14:textId="77777777" w:rsidR="003F5DC9" w:rsidRPr="00DA4360" w:rsidRDefault="003F5DC9" w:rsidP="003F6F1A">
            <w:pPr>
              <w:spacing w:after="0" w:line="240" w:lineRule="auto"/>
              <w:jc w:val="both"/>
              <w:rPr>
                <w:rFonts w:ascii="Arial" w:hAnsi="Arial" w:cs="Arial"/>
                <w:b/>
                <w:sz w:val="20"/>
                <w:szCs w:val="20"/>
                <w:lang w:val="en-CA"/>
              </w:rPr>
            </w:pPr>
          </w:p>
        </w:tc>
        <w:tc>
          <w:tcPr>
            <w:tcW w:w="2358" w:type="dxa"/>
            <w:tcBorders>
              <w:top w:val="nil"/>
              <w:bottom w:val="single" w:sz="4" w:space="0" w:color="auto"/>
            </w:tcBorders>
            <w:shd w:val="clear" w:color="auto" w:fill="auto"/>
            <w:vAlign w:val="bottom"/>
          </w:tcPr>
          <w:p w14:paraId="6BCBEF5C" w14:textId="23302ADB" w:rsidR="003F5DC9" w:rsidRPr="00DA4360" w:rsidRDefault="005265E3" w:rsidP="004A1755">
            <w:pPr>
              <w:spacing w:after="0" w:line="240" w:lineRule="auto"/>
              <w:jc w:val="right"/>
              <w:rPr>
                <w:rFonts w:ascii="Arial" w:hAnsi="Arial" w:cs="Arial"/>
                <w:b/>
                <w:sz w:val="20"/>
                <w:szCs w:val="20"/>
                <w:lang w:val="en-CA"/>
              </w:rPr>
            </w:pPr>
            <w:r w:rsidRPr="00DA4360">
              <w:rPr>
                <w:rFonts w:ascii="Arial" w:hAnsi="Arial" w:cs="Arial"/>
                <w:b/>
                <w:sz w:val="20"/>
                <w:szCs w:val="20"/>
                <w:lang w:val="en-CA"/>
              </w:rPr>
              <w:t xml:space="preserve">                       </w:t>
            </w:r>
            <w:r w:rsidR="003F5DC9" w:rsidRPr="00DA4360">
              <w:rPr>
                <w:rFonts w:ascii="Arial" w:hAnsi="Arial" w:cs="Arial"/>
                <w:b/>
                <w:sz w:val="20"/>
                <w:szCs w:val="20"/>
                <w:lang w:val="en-CA"/>
              </w:rPr>
              <w:t>(</w:t>
            </w:r>
            <w:r w:rsidRPr="00DA4360">
              <w:rPr>
                <w:rFonts w:ascii="Arial" w:hAnsi="Arial" w:cs="Arial"/>
                <w:b/>
                <w:sz w:val="20"/>
                <w:szCs w:val="20"/>
                <w:lang w:val="en-CA"/>
              </w:rPr>
              <w:t xml:space="preserve">817,168)                                                                                                                                                                                                                                                                                                                                                                                                                                                                                       </w:t>
            </w:r>
          </w:p>
        </w:tc>
        <w:tc>
          <w:tcPr>
            <w:tcW w:w="328" w:type="dxa"/>
            <w:tcBorders>
              <w:top w:val="nil"/>
              <w:bottom w:val="single" w:sz="4" w:space="0" w:color="auto"/>
            </w:tcBorders>
            <w:shd w:val="clear" w:color="auto" w:fill="auto"/>
          </w:tcPr>
          <w:p w14:paraId="09AA9FA0" w14:textId="77777777" w:rsidR="003F5DC9" w:rsidRPr="00DA4360" w:rsidRDefault="003F5DC9" w:rsidP="003F6F1A">
            <w:pPr>
              <w:spacing w:after="0" w:line="240" w:lineRule="auto"/>
              <w:jc w:val="both"/>
              <w:rPr>
                <w:rFonts w:ascii="Arial" w:hAnsi="Arial" w:cs="Arial"/>
                <w:sz w:val="20"/>
                <w:szCs w:val="20"/>
                <w:lang w:val="en-CA"/>
              </w:rPr>
            </w:pPr>
          </w:p>
        </w:tc>
        <w:tc>
          <w:tcPr>
            <w:tcW w:w="2218" w:type="dxa"/>
            <w:tcBorders>
              <w:top w:val="nil"/>
              <w:bottom w:val="single" w:sz="4" w:space="0" w:color="auto"/>
            </w:tcBorders>
            <w:shd w:val="clear" w:color="auto" w:fill="auto"/>
            <w:vAlign w:val="bottom"/>
          </w:tcPr>
          <w:p w14:paraId="71BA72B2" w14:textId="77777777" w:rsidR="003F5DC9" w:rsidRPr="00DA4360" w:rsidRDefault="003F5DC9" w:rsidP="003F6F1A">
            <w:pPr>
              <w:spacing w:after="0" w:line="240" w:lineRule="auto"/>
              <w:jc w:val="right"/>
              <w:rPr>
                <w:rFonts w:ascii="Arial" w:hAnsi="Arial" w:cs="Arial"/>
                <w:bCs/>
                <w:sz w:val="20"/>
                <w:szCs w:val="20"/>
                <w:lang w:val="en-CA"/>
              </w:rPr>
            </w:pPr>
            <w:r w:rsidRPr="00DA4360">
              <w:rPr>
                <w:rFonts w:ascii="Arial" w:hAnsi="Arial" w:cs="Arial"/>
                <w:bCs/>
                <w:sz w:val="20"/>
                <w:szCs w:val="20"/>
                <w:lang w:val="en-CA"/>
              </w:rPr>
              <w:t>(157,668)</w:t>
            </w:r>
          </w:p>
        </w:tc>
      </w:tr>
      <w:tr w:rsidR="003E0848" w:rsidRPr="00DA4360" w14:paraId="747E5FB2" w14:textId="77777777" w:rsidTr="004A1755">
        <w:tc>
          <w:tcPr>
            <w:tcW w:w="4128" w:type="dxa"/>
            <w:tcBorders>
              <w:top w:val="single" w:sz="4" w:space="0" w:color="auto"/>
              <w:bottom w:val="nil"/>
            </w:tcBorders>
            <w:shd w:val="clear" w:color="auto" w:fill="auto"/>
          </w:tcPr>
          <w:p w14:paraId="5AF23CE0" w14:textId="77777777" w:rsidR="003F5DC9" w:rsidRPr="00DA4360" w:rsidRDefault="003F5DC9" w:rsidP="003F6F1A">
            <w:pPr>
              <w:spacing w:after="0" w:line="240" w:lineRule="auto"/>
              <w:jc w:val="both"/>
              <w:rPr>
                <w:rFonts w:ascii="Arial" w:hAnsi="Arial" w:cs="Arial"/>
                <w:sz w:val="20"/>
                <w:szCs w:val="20"/>
                <w:lang w:val="en-CA"/>
              </w:rPr>
            </w:pPr>
          </w:p>
        </w:tc>
        <w:tc>
          <w:tcPr>
            <w:tcW w:w="328" w:type="dxa"/>
            <w:tcBorders>
              <w:top w:val="single" w:sz="4" w:space="0" w:color="auto"/>
              <w:bottom w:val="nil"/>
            </w:tcBorders>
            <w:shd w:val="clear" w:color="auto" w:fill="auto"/>
          </w:tcPr>
          <w:p w14:paraId="1A164408" w14:textId="77777777" w:rsidR="003F5DC9" w:rsidRPr="00DA4360" w:rsidRDefault="003F5DC9" w:rsidP="003F6F1A">
            <w:pPr>
              <w:spacing w:after="0" w:line="240" w:lineRule="auto"/>
              <w:jc w:val="both"/>
              <w:rPr>
                <w:rFonts w:ascii="Arial" w:hAnsi="Arial" w:cs="Arial"/>
                <w:b/>
                <w:sz w:val="20"/>
                <w:szCs w:val="20"/>
                <w:lang w:val="en-CA"/>
              </w:rPr>
            </w:pPr>
          </w:p>
        </w:tc>
        <w:tc>
          <w:tcPr>
            <w:tcW w:w="2358" w:type="dxa"/>
            <w:tcBorders>
              <w:top w:val="single" w:sz="4" w:space="0" w:color="auto"/>
              <w:bottom w:val="nil"/>
            </w:tcBorders>
            <w:shd w:val="clear" w:color="auto" w:fill="auto"/>
            <w:vAlign w:val="bottom"/>
          </w:tcPr>
          <w:p w14:paraId="633C9489" w14:textId="77777777" w:rsidR="003F5DC9" w:rsidRPr="00DA4360" w:rsidRDefault="003F5DC9" w:rsidP="003F6F1A">
            <w:pPr>
              <w:spacing w:after="0" w:line="240" w:lineRule="auto"/>
              <w:jc w:val="right"/>
              <w:rPr>
                <w:rFonts w:ascii="Arial" w:hAnsi="Arial" w:cs="Arial"/>
                <w:b/>
                <w:sz w:val="20"/>
                <w:szCs w:val="20"/>
                <w:lang w:val="en-CA"/>
              </w:rPr>
            </w:pPr>
          </w:p>
        </w:tc>
        <w:tc>
          <w:tcPr>
            <w:tcW w:w="328" w:type="dxa"/>
            <w:tcBorders>
              <w:top w:val="single" w:sz="4" w:space="0" w:color="auto"/>
              <w:bottom w:val="nil"/>
            </w:tcBorders>
            <w:shd w:val="clear" w:color="auto" w:fill="auto"/>
          </w:tcPr>
          <w:p w14:paraId="261B3D5D" w14:textId="77777777" w:rsidR="003F5DC9" w:rsidRPr="00DA4360" w:rsidRDefault="003F5DC9" w:rsidP="003F6F1A">
            <w:pPr>
              <w:spacing w:after="0" w:line="240" w:lineRule="auto"/>
              <w:jc w:val="both"/>
              <w:rPr>
                <w:rFonts w:ascii="Arial" w:hAnsi="Arial" w:cs="Arial"/>
                <w:sz w:val="20"/>
                <w:szCs w:val="20"/>
                <w:lang w:val="en-CA"/>
              </w:rPr>
            </w:pPr>
          </w:p>
        </w:tc>
        <w:tc>
          <w:tcPr>
            <w:tcW w:w="2218" w:type="dxa"/>
            <w:tcBorders>
              <w:top w:val="single" w:sz="4" w:space="0" w:color="auto"/>
              <w:bottom w:val="nil"/>
            </w:tcBorders>
            <w:shd w:val="clear" w:color="auto" w:fill="auto"/>
            <w:vAlign w:val="bottom"/>
          </w:tcPr>
          <w:p w14:paraId="7E0DDA58" w14:textId="77777777" w:rsidR="003F5DC9" w:rsidRPr="00DA4360" w:rsidRDefault="003F5DC9" w:rsidP="003F6F1A">
            <w:pPr>
              <w:spacing w:after="0" w:line="240" w:lineRule="auto"/>
              <w:jc w:val="right"/>
              <w:rPr>
                <w:rFonts w:ascii="Arial" w:hAnsi="Arial" w:cs="Arial"/>
                <w:bCs/>
                <w:sz w:val="20"/>
                <w:szCs w:val="20"/>
                <w:lang w:val="en-CA"/>
              </w:rPr>
            </w:pPr>
          </w:p>
        </w:tc>
      </w:tr>
      <w:tr w:rsidR="003E0848" w:rsidRPr="00DA4360" w14:paraId="6317CA68" w14:textId="77777777" w:rsidTr="004A1755">
        <w:tc>
          <w:tcPr>
            <w:tcW w:w="4128" w:type="dxa"/>
            <w:tcBorders>
              <w:top w:val="nil"/>
              <w:bottom w:val="single" w:sz="18" w:space="0" w:color="auto"/>
            </w:tcBorders>
            <w:shd w:val="clear" w:color="auto" w:fill="auto"/>
          </w:tcPr>
          <w:p w14:paraId="2F2A2813" w14:textId="77777777" w:rsidR="003F5DC9" w:rsidRPr="00DA4360" w:rsidRDefault="003F5DC9" w:rsidP="003F6F1A">
            <w:pPr>
              <w:spacing w:after="0" w:line="240" w:lineRule="auto"/>
              <w:jc w:val="both"/>
              <w:rPr>
                <w:rFonts w:ascii="Arial" w:hAnsi="Arial" w:cs="Arial"/>
                <w:sz w:val="20"/>
                <w:szCs w:val="20"/>
                <w:lang w:val="en-CA"/>
              </w:rPr>
            </w:pPr>
          </w:p>
        </w:tc>
        <w:tc>
          <w:tcPr>
            <w:tcW w:w="328" w:type="dxa"/>
            <w:tcBorders>
              <w:top w:val="nil"/>
              <w:bottom w:val="single" w:sz="18" w:space="0" w:color="auto"/>
            </w:tcBorders>
            <w:shd w:val="clear" w:color="auto" w:fill="auto"/>
          </w:tcPr>
          <w:p w14:paraId="7F5036D7" w14:textId="77777777" w:rsidR="003F5DC9" w:rsidRPr="00DA4360" w:rsidRDefault="003F5DC9" w:rsidP="003F6F1A">
            <w:pPr>
              <w:spacing w:after="0" w:line="240" w:lineRule="auto"/>
              <w:jc w:val="both"/>
              <w:rPr>
                <w:rFonts w:ascii="Arial" w:hAnsi="Arial" w:cs="Arial"/>
                <w:b/>
                <w:sz w:val="20"/>
                <w:szCs w:val="20"/>
                <w:lang w:val="en-CA"/>
              </w:rPr>
            </w:pPr>
            <w:r w:rsidRPr="00DA4360">
              <w:rPr>
                <w:rFonts w:ascii="Arial" w:hAnsi="Arial" w:cs="Arial"/>
                <w:b/>
                <w:sz w:val="20"/>
                <w:szCs w:val="20"/>
                <w:lang w:val="en-CA"/>
              </w:rPr>
              <w:t>$</w:t>
            </w:r>
          </w:p>
        </w:tc>
        <w:tc>
          <w:tcPr>
            <w:tcW w:w="2358" w:type="dxa"/>
            <w:tcBorders>
              <w:top w:val="nil"/>
              <w:bottom w:val="single" w:sz="18" w:space="0" w:color="auto"/>
            </w:tcBorders>
            <w:shd w:val="clear" w:color="auto" w:fill="auto"/>
            <w:vAlign w:val="bottom"/>
          </w:tcPr>
          <w:p w14:paraId="4354E36C" w14:textId="77777777" w:rsidR="003F5DC9" w:rsidRPr="00DA4360" w:rsidRDefault="005265E3" w:rsidP="003F6F1A">
            <w:pPr>
              <w:spacing w:after="0" w:line="240" w:lineRule="auto"/>
              <w:jc w:val="right"/>
              <w:rPr>
                <w:rFonts w:ascii="Arial" w:hAnsi="Arial" w:cs="Arial"/>
                <w:b/>
                <w:sz w:val="20"/>
                <w:szCs w:val="20"/>
                <w:lang w:val="en-CA"/>
              </w:rPr>
            </w:pPr>
            <w:r w:rsidRPr="00DA4360">
              <w:rPr>
                <w:rFonts w:ascii="Arial" w:hAnsi="Arial" w:cs="Arial"/>
                <w:b/>
                <w:sz w:val="20"/>
                <w:szCs w:val="20"/>
                <w:lang w:val="en-CA"/>
              </w:rPr>
              <w:t>1,91</w:t>
            </w:r>
            <w:r w:rsidR="005C15D5" w:rsidRPr="00DA4360">
              <w:rPr>
                <w:rFonts w:ascii="Arial" w:hAnsi="Arial" w:cs="Arial"/>
                <w:b/>
                <w:sz w:val="20"/>
                <w:szCs w:val="20"/>
                <w:lang w:val="en-CA"/>
              </w:rPr>
              <w:t>0,760</w:t>
            </w:r>
          </w:p>
        </w:tc>
        <w:tc>
          <w:tcPr>
            <w:tcW w:w="328" w:type="dxa"/>
            <w:tcBorders>
              <w:top w:val="nil"/>
              <w:bottom w:val="single" w:sz="18" w:space="0" w:color="auto"/>
            </w:tcBorders>
            <w:shd w:val="clear" w:color="auto" w:fill="auto"/>
          </w:tcPr>
          <w:p w14:paraId="2AA56FE4" w14:textId="77777777" w:rsidR="003F5DC9" w:rsidRPr="00DA4360" w:rsidRDefault="003F5DC9" w:rsidP="003F6F1A">
            <w:pPr>
              <w:spacing w:after="0" w:line="240" w:lineRule="auto"/>
              <w:jc w:val="both"/>
              <w:rPr>
                <w:rFonts w:ascii="Arial" w:hAnsi="Arial" w:cs="Arial"/>
                <w:sz w:val="20"/>
                <w:szCs w:val="20"/>
                <w:lang w:val="en-CA"/>
              </w:rPr>
            </w:pPr>
            <w:r w:rsidRPr="00DA4360">
              <w:rPr>
                <w:rFonts w:ascii="Arial" w:hAnsi="Arial" w:cs="Arial"/>
                <w:sz w:val="20"/>
                <w:szCs w:val="20"/>
                <w:lang w:val="en-CA"/>
              </w:rPr>
              <w:t>$</w:t>
            </w:r>
          </w:p>
        </w:tc>
        <w:tc>
          <w:tcPr>
            <w:tcW w:w="2218" w:type="dxa"/>
            <w:tcBorders>
              <w:top w:val="nil"/>
              <w:bottom w:val="single" w:sz="18" w:space="0" w:color="auto"/>
            </w:tcBorders>
            <w:shd w:val="clear" w:color="auto" w:fill="auto"/>
            <w:vAlign w:val="bottom"/>
          </w:tcPr>
          <w:p w14:paraId="27C24683" w14:textId="77777777" w:rsidR="003F5DC9" w:rsidRPr="00DA4360" w:rsidRDefault="003F5DC9" w:rsidP="003F6F1A">
            <w:pPr>
              <w:spacing w:after="0" w:line="240" w:lineRule="auto"/>
              <w:jc w:val="right"/>
              <w:rPr>
                <w:rFonts w:ascii="Arial" w:hAnsi="Arial" w:cs="Arial"/>
                <w:bCs/>
                <w:sz w:val="20"/>
                <w:szCs w:val="20"/>
                <w:lang w:val="en-CA"/>
              </w:rPr>
            </w:pPr>
            <w:r w:rsidRPr="00DA4360">
              <w:rPr>
                <w:rFonts w:ascii="Arial" w:hAnsi="Arial" w:cs="Arial"/>
                <w:bCs/>
                <w:sz w:val="20"/>
                <w:szCs w:val="20"/>
                <w:lang w:val="en-CA"/>
              </w:rPr>
              <w:t>(1,401,247)</w:t>
            </w:r>
          </w:p>
        </w:tc>
      </w:tr>
    </w:tbl>
    <w:p w14:paraId="22BCE82D" w14:textId="77777777" w:rsidR="00A353D2" w:rsidRDefault="00A353D2" w:rsidP="003F6F1A">
      <w:pPr>
        <w:tabs>
          <w:tab w:val="left" w:pos="360"/>
        </w:tabs>
        <w:suppressAutoHyphens/>
        <w:spacing w:after="0"/>
        <w:rPr>
          <w:rFonts w:ascii="Arial" w:hAnsi="Arial" w:cs="Arial"/>
          <w:sz w:val="20"/>
          <w:szCs w:val="20"/>
        </w:rPr>
      </w:pPr>
    </w:p>
    <w:p w14:paraId="4423CB82" w14:textId="77777777" w:rsidR="001A7E6B" w:rsidRDefault="001A7E6B" w:rsidP="003F6F1A">
      <w:pPr>
        <w:tabs>
          <w:tab w:val="left" w:pos="360"/>
        </w:tabs>
        <w:suppressAutoHyphens/>
        <w:spacing w:after="0"/>
        <w:jc w:val="both"/>
        <w:rPr>
          <w:rFonts w:ascii="Arial" w:hAnsi="Arial" w:cs="Arial"/>
          <w:sz w:val="20"/>
          <w:szCs w:val="20"/>
        </w:rPr>
      </w:pPr>
      <w:r w:rsidRPr="0061123D">
        <w:rPr>
          <w:rFonts w:ascii="Arial" w:hAnsi="Arial" w:cs="Arial"/>
          <w:sz w:val="20"/>
          <w:szCs w:val="20"/>
        </w:rPr>
        <w:t>The board of directors of the Company has overall responsibility for the establishment and oversight of the Company’s risk management policies on an annual basis. The Company’s board of directors identifies and evaluates the Company’s financial risks and is charged with the responsibility of establishing controls and procedures to</w:t>
      </w:r>
      <w:r w:rsidR="00B2083A">
        <w:rPr>
          <w:rFonts w:ascii="Arial" w:hAnsi="Arial" w:cs="Arial"/>
          <w:sz w:val="20"/>
          <w:szCs w:val="20"/>
        </w:rPr>
        <w:t xml:space="preserve"> </w:t>
      </w:r>
      <w:r w:rsidRPr="0061123D">
        <w:rPr>
          <w:rFonts w:ascii="Arial" w:hAnsi="Arial" w:cs="Arial"/>
          <w:sz w:val="20"/>
          <w:szCs w:val="20"/>
        </w:rPr>
        <w:t>ensure financial risks are mitigated.</w:t>
      </w:r>
    </w:p>
    <w:p w14:paraId="2C4306CE" w14:textId="77777777" w:rsidR="00B2083A" w:rsidRPr="00007ADF" w:rsidRDefault="00B2083A" w:rsidP="003F6F1A">
      <w:pPr>
        <w:tabs>
          <w:tab w:val="left" w:pos="360"/>
        </w:tabs>
        <w:suppressAutoHyphens/>
        <w:spacing w:after="0"/>
        <w:jc w:val="both"/>
        <w:rPr>
          <w:rFonts w:ascii="Arial" w:hAnsi="Arial" w:cs="Arial"/>
          <w:sz w:val="20"/>
          <w:szCs w:val="20"/>
        </w:rPr>
      </w:pPr>
    </w:p>
    <w:p w14:paraId="015CD0AB" w14:textId="77777777" w:rsidR="00524611" w:rsidRDefault="00524611" w:rsidP="003F6F1A">
      <w:pPr>
        <w:autoSpaceDE w:val="0"/>
        <w:autoSpaceDN w:val="0"/>
        <w:adjustRightInd w:val="0"/>
        <w:spacing w:after="0"/>
        <w:jc w:val="both"/>
        <w:rPr>
          <w:rFonts w:ascii="Arial" w:hAnsi="Arial" w:cs="Arial"/>
          <w:sz w:val="20"/>
          <w:szCs w:val="20"/>
        </w:rPr>
      </w:pPr>
    </w:p>
    <w:p w14:paraId="6FCE5662" w14:textId="77777777" w:rsidR="00524611" w:rsidRDefault="00524611" w:rsidP="003F6F1A">
      <w:pPr>
        <w:autoSpaceDE w:val="0"/>
        <w:autoSpaceDN w:val="0"/>
        <w:adjustRightInd w:val="0"/>
        <w:spacing w:after="0"/>
        <w:jc w:val="both"/>
        <w:rPr>
          <w:rFonts w:ascii="Arial" w:hAnsi="Arial" w:cs="Arial"/>
          <w:sz w:val="20"/>
          <w:szCs w:val="20"/>
        </w:rPr>
      </w:pPr>
    </w:p>
    <w:p w14:paraId="5538B1AC" w14:textId="77777777" w:rsidR="00524611" w:rsidRDefault="00524611" w:rsidP="003F6F1A">
      <w:pPr>
        <w:autoSpaceDE w:val="0"/>
        <w:autoSpaceDN w:val="0"/>
        <w:adjustRightInd w:val="0"/>
        <w:spacing w:after="0"/>
        <w:jc w:val="both"/>
        <w:rPr>
          <w:rFonts w:ascii="Arial" w:hAnsi="Arial" w:cs="Arial"/>
          <w:sz w:val="20"/>
          <w:szCs w:val="20"/>
        </w:rPr>
      </w:pPr>
    </w:p>
    <w:p w14:paraId="5E2B6E80" w14:textId="77777777" w:rsidR="007F667C" w:rsidRDefault="007F667C" w:rsidP="003F6F1A">
      <w:pPr>
        <w:autoSpaceDE w:val="0"/>
        <w:autoSpaceDN w:val="0"/>
        <w:adjustRightInd w:val="0"/>
        <w:spacing w:after="0"/>
        <w:jc w:val="both"/>
        <w:rPr>
          <w:rFonts w:ascii="Arial" w:hAnsi="Arial" w:cs="Arial"/>
          <w:sz w:val="20"/>
          <w:szCs w:val="20"/>
        </w:rPr>
      </w:pPr>
    </w:p>
    <w:p w14:paraId="2268D8BE" w14:textId="6BA61974" w:rsidR="001A7E6B" w:rsidRDefault="001A7E6B" w:rsidP="003F6F1A">
      <w:pPr>
        <w:autoSpaceDE w:val="0"/>
        <w:autoSpaceDN w:val="0"/>
        <w:adjustRightInd w:val="0"/>
        <w:spacing w:after="0"/>
        <w:jc w:val="both"/>
        <w:rPr>
          <w:rFonts w:ascii="Arial" w:hAnsi="Arial" w:cs="Arial"/>
          <w:sz w:val="20"/>
          <w:szCs w:val="20"/>
        </w:rPr>
      </w:pPr>
      <w:r w:rsidRPr="00007ADF">
        <w:rPr>
          <w:rFonts w:ascii="Arial" w:hAnsi="Arial" w:cs="Arial"/>
          <w:sz w:val="20"/>
          <w:szCs w:val="20"/>
        </w:rPr>
        <w:t>The Company’s objectives when managing capital are to pursue and complete the identification and evaluation of assets, properties or businesses with a view to acquisition. The Company does not have any externally imposed capital requirements to which it is subject.</w:t>
      </w:r>
    </w:p>
    <w:p w14:paraId="2B4FA493" w14:textId="77777777" w:rsidR="004E17E1" w:rsidRDefault="004E17E1" w:rsidP="003F6F1A">
      <w:pPr>
        <w:autoSpaceDE w:val="0"/>
        <w:autoSpaceDN w:val="0"/>
        <w:adjustRightInd w:val="0"/>
        <w:spacing w:after="0"/>
        <w:jc w:val="both"/>
        <w:rPr>
          <w:rFonts w:ascii="Arial" w:hAnsi="Arial" w:cs="Arial"/>
          <w:sz w:val="20"/>
          <w:szCs w:val="20"/>
        </w:rPr>
      </w:pPr>
    </w:p>
    <w:p w14:paraId="2969740B" w14:textId="77777777" w:rsidR="001A7E6B" w:rsidRPr="00007ADF" w:rsidRDefault="001A7E6B" w:rsidP="003F6F1A">
      <w:pPr>
        <w:autoSpaceDE w:val="0"/>
        <w:autoSpaceDN w:val="0"/>
        <w:adjustRightInd w:val="0"/>
        <w:spacing w:after="0"/>
        <w:jc w:val="both"/>
        <w:rPr>
          <w:rFonts w:ascii="Arial" w:hAnsi="Arial" w:cs="Arial"/>
          <w:sz w:val="20"/>
          <w:szCs w:val="20"/>
        </w:rPr>
      </w:pPr>
      <w:r w:rsidRPr="0061123D">
        <w:rPr>
          <w:rFonts w:ascii="Arial" w:hAnsi="Arial" w:cs="Arial"/>
          <w:sz w:val="20"/>
          <w:szCs w:val="20"/>
        </w:rPr>
        <w:t xml:space="preserve">The Company manages the capital structure and makes adjustments to it in light of changes in economic conditions and the risk characteristics of the underlying assets. To maintain or adjust the capital structure, the Company may </w:t>
      </w:r>
      <w:r w:rsidRPr="00007ADF">
        <w:rPr>
          <w:rFonts w:ascii="Arial" w:hAnsi="Arial" w:cs="Arial"/>
          <w:sz w:val="20"/>
          <w:szCs w:val="20"/>
        </w:rPr>
        <w:t>attempt to issue new</w:t>
      </w:r>
      <w:r w:rsidR="00546001">
        <w:rPr>
          <w:rFonts w:ascii="Arial" w:hAnsi="Arial" w:cs="Arial"/>
          <w:sz w:val="20"/>
          <w:szCs w:val="20"/>
        </w:rPr>
        <w:t xml:space="preserve"> common</w:t>
      </w:r>
      <w:r w:rsidRPr="00007ADF">
        <w:rPr>
          <w:rFonts w:ascii="Arial" w:hAnsi="Arial" w:cs="Arial"/>
          <w:sz w:val="20"/>
          <w:szCs w:val="20"/>
        </w:rPr>
        <w:t xml:space="preserve"> shares or adjust the amount of cash.</w:t>
      </w:r>
    </w:p>
    <w:p w14:paraId="4D959F44" w14:textId="77777777" w:rsidR="001A7E6B" w:rsidRPr="00007ADF" w:rsidRDefault="001A7E6B" w:rsidP="003F6F1A">
      <w:pPr>
        <w:autoSpaceDE w:val="0"/>
        <w:autoSpaceDN w:val="0"/>
        <w:adjustRightInd w:val="0"/>
        <w:spacing w:after="0"/>
        <w:jc w:val="both"/>
        <w:rPr>
          <w:rFonts w:ascii="Arial" w:hAnsi="Arial" w:cs="Arial"/>
          <w:sz w:val="20"/>
          <w:szCs w:val="20"/>
        </w:rPr>
      </w:pPr>
    </w:p>
    <w:p w14:paraId="000BC24F" w14:textId="77777777" w:rsidR="001A7E6B" w:rsidRDefault="001A7E6B" w:rsidP="003F6F1A">
      <w:pPr>
        <w:autoSpaceDE w:val="0"/>
        <w:autoSpaceDN w:val="0"/>
        <w:adjustRightInd w:val="0"/>
        <w:spacing w:after="0"/>
        <w:jc w:val="both"/>
        <w:rPr>
          <w:rFonts w:ascii="Arial" w:hAnsi="Arial" w:cs="Arial"/>
          <w:sz w:val="20"/>
          <w:szCs w:val="20"/>
        </w:rPr>
      </w:pPr>
      <w:r w:rsidRPr="00007ADF">
        <w:rPr>
          <w:rFonts w:ascii="Arial" w:hAnsi="Arial" w:cs="Arial"/>
          <w:sz w:val="20"/>
          <w:szCs w:val="20"/>
        </w:rPr>
        <w:t>The Company’s investment policy is to invest excess cash in investment instruments at high credit, quality financial institutions with terms to maturity selected with regards to the expected time of expenditures from continuing operations.</w:t>
      </w:r>
    </w:p>
    <w:p w14:paraId="5E29F291" w14:textId="77777777" w:rsidR="00BE1DF8" w:rsidRDefault="00BE1DF8" w:rsidP="003F6F1A">
      <w:pPr>
        <w:autoSpaceDE w:val="0"/>
        <w:autoSpaceDN w:val="0"/>
        <w:adjustRightInd w:val="0"/>
        <w:spacing w:after="0"/>
        <w:jc w:val="both"/>
        <w:rPr>
          <w:rFonts w:ascii="Arial" w:hAnsi="Arial" w:cs="Arial"/>
          <w:sz w:val="20"/>
          <w:szCs w:val="20"/>
        </w:rPr>
      </w:pPr>
    </w:p>
    <w:p w14:paraId="0A4B826B" w14:textId="77777777" w:rsidR="001A7E6B" w:rsidRPr="00BE1DF8" w:rsidRDefault="00A353D2" w:rsidP="003F6F1A">
      <w:pPr>
        <w:pStyle w:val="NormalWeb"/>
        <w:pBdr>
          <w:bottom w:val="single" w:sz="12" w:space="1" w:color="auto"/>
        </w:pBdr>
        <w:spacing w:before="0" w:beforeAutospacing="0" w:after="0" w:afterAutospacing="0"/>
        <w:rPr>
          <w:rFonts w:ascii="Arial" w:hAnsi="Arial" w:cs="Arial"/>
          <w:b/>
          <w:bCs/>
          <w:color w:val="000000"/>
          <w:sz w:val="20"/>
          <w:szCs w:val="20"/>
        </w:rPr>
      </w:pPr>
      <w:r w:rsidRPr="00BE1DF8">
        <w:rPr>
          <w:rFonts w:ascii="Arial" w:hAnsi="Arial" w:cs="Arial"/>
          <w:b/>
          <w:bCs/>
          <w:color w:val="000000"/>
          <w:sz w:val="20"/>
          <w:szCs w:val="20"/>
        </w:rPr>
        <w:t>OFF-BALANCE SHEET ARRANGEMENTS</w:t>
      </w:r>
    </w:p>
    <w:p w14:paraId="0DD6E68A" w14:textId="77777777" w:rsidR="00BE1DF8" w:rsidRDefault="00BE1DF8" w:rsidP="003F6F1A">
      <w:pPr>
        <w:tabs>
          <w:tab w:val="left" w:pos="360"/>
        </w:tabs>
        <w:suppressAutoHyphens/>
        <w:spacing w:after="0"/>
        <w:jc w:val="both"/>
        <w:rPr>
          <w:rFonts w:ascii="Arial" w:hAnsi="Arial" w:cs="Arial"/>
          <w:sz w:val="20"/>
          <w:szCs w:val="20"/>
        </w:rPr>
      </w:pPr>
    </w:p>
    <w:p w14:paraId="0857014C" w14:textId="77777777" w:rsidR="00B96480" w:rsidRDefault="001A7E6B" w:rsidP="003F6F1A">
      <w:pPr>
        <w:tabs>
          <w:tab w:val="left" w:pos="360"/>
        </w:tabs>
        <w:suppressAutoHyphens/>
        <w:spacing w:after="0"/>
        <w:jc w:val="both"/>
        <w:rPr>
          <w:rFonts w:ascii="Arial" w:hAnsi="Arial" w:cs="Arial"/>
          <w:sz w:val="20"/>
          <w:szCs w:val="20"/>
        </w:rPr>
      </w:pPr>
      <w:r w:rsidRPr="00007ADF">
        <w:rPr>
          <w:rFonts w:ascii="Arial" w:hAnsi="Arial" w:cs="Arial"/>
          <w:sz w:val="20"/>
          <w:szCs w:val="20"/>
        </w:rPr>
        <w:t>The Company has not entered into any material off-balance sheet arrangements such as guarantee contracts, contingent interests in assets transferred to unconsolidated entities, derivative financial obligations or arrangements with respect to any obligations under a variable interest equity arrangement.</w:t>
      </w:r>
    </w:p>
    <w:p w14:paraId="0CD966D4" w14:textId="77777777" w:rsidR="00546001" w:rsidRDefault="00546001" w:rsidP="003F6F1A">
      <w:pPr>
        <w:pStyle w:val="NormalWeb"/>
        <w:pBdr>
          <w:bottom w:val="single" w:sz="12" w:space="1" w:color="auto"/>
        </w:pBdr>
        <w:spacing w:before="0" w:beforeAutospacing="0" w:after="0" w:afterAutospacing="0"/>
        <w:rPr>
          <w:rFonts w:ascii="Arial" w:hAnsi="Arial" w:cs="Arial"/>
          <w:b/>
          <w:bCs/>
          <w:color w:val="000000"/>
          <w:sz w:val="20"/>
          <w:szCs w:val="20"/>
        </w:rPr>
      </w:pPr>
    </w:p>
    <w:p w14:paraId="0B4A788F" w14:textId="77777777" w:rsidR="00FA6D64" w:rsidRDefault="00A353D2" w:rsidP="003F6F1A">
      <w:pPr>
        <w:pStyle w:val="NormalWeb"/>
        <w:pBdr>
          <w:bottom w:val="single" w:sz="12" w:space="1" w:color="auto"/>
        </w:pBdr>
        <w:spacing w:before="0" w:beforeAutospacing="0" w:after="0" w:afterAutospacing="0"/>
        <w:rPr>
          <w:rFonts w:ascii="Arial" w:hAnsi="Arial" w:cs="Arial"/>
          <w:b/>
          <w:bCs/>
          <w:color w:val="000000"/>
          <w:sz w:val="20"/>
          <w:szCs w:val="20"/>
        </w:rPr>
      </w:pPr>
      <w:r>
        <w:rPr>
          <w:rFonts w:ascii="Arial" w:hAnsi="Arial" w:cs="Arial"/>
          <w:b/>
          <w:bCs/>
          <w:color w:val="000000"/>
          <w:sz w:val="20"/>
          <w:szCs w:val="20"/>
        </w:rPr>
        <w:t>RELATED PARTY TRANSACTIONS</w:t>
      </w:r>
    </w:p>
    <w:p w14:paraId="42FFB980" w14:textId="77777777" w:rsidR="00B96480" w:rsidRPr="00B96480" w:rsidRDefault="00B96480" w:rsidP="003F6F1A">
      <w:pPr>
        <w:pStyle w:val="NormalWeb"/>
        <w:spacing w:before="0" w:beforeAutospacing="0" w:after="0" w:afterAutospacing="0"/>
        <w:jc w:val="both"/>
        <w:rPr>
          <w:rFonts w:ascii="Arial" w:hAnsi="Arial" w:cs="Arial"/>
          <w:color w:val="000000"/>
          <w:sz w:val="20"/>
          <w:szCs w:val="20"/>
        </w:rPr>
      </w:pPr>
    </w:p>
    <w:p w14:paraId="677C3C23" w14:textId="77777777" w:rsidR="00FA6D64" w:rsidRPr="00C90A0A" w:rsidRDefault="00FA6D64" w:rsidP="003F6F1A">
      <w:pPr>
        <w:spacing w:after="0"/>
        <w:jc w:val="both"/>
        <w:rPr>
          <w:rFonts w:ascii="Arial" w:hAnsi="Arial" w:cs="Arial"/>
          <w:sz w:val="20"/>
          <w:szCs w:val="20"/>
        </w:rPr>
      </w:pPr>
      <w:r w:rsidRPr="00C90A0A">
        <w:rPr>
          <w:rFonts w:ascii="Arial" w:hAnsi="Arial" w:cs="Arial"/>
          <w:sz w:val="20"/>
          <w:szCs w:val="20"/>
        </w:rPr>
        <w:t xml:space="preserve">The aggregate value of transactions and outstanding balances relating to key management personnel were as follows: </w:t>
      </w:r>
    </w:p>
    <w:p w14:paraId="241C0659" w14:textId="77777777" w:rsidR="00A353D2" w:rsidRPr="007F7BF4" w:rsidRDefault="00A353D2" w:rsidP="003F6F1A">
      <w:pPr>
        <w:spacing w:after="0"/>
        <w:jc w:val="both"/>
        <w:rPr>
          <w:rFonts w:ascii="Arial" w:hAnsi="Arial" w:cs="Arial"/>
          <w:sz w:val="20"/>
          <w:szCs w:val="20"/>
        </w:rPr>
      </w:pPr>
    </w:p>
    <w:p w14:paraId="622C52EE" w14:textId="4A24EA72" w:rsidR="007F7BF4" w:rsidRPr="007F7BF4" w:rsidRDefault="007F7BF4" w:rsidP="003F6F1A">
      <w:pPr>
        <w:spacing w:after="0"/>
        <w:jc w:val="both"/>
        <w:rPr>
          <w:rFonts w:ascii="Arial" w:hAnsi="Arial" w:cs="Arial"/>
          <w:sz w:val="20"/>
          <w:szCs w:val="20"/>
        </w:rPr>
      </w:pPr>
      <w:r w:rsidRPr="007F7BF4">
        <w:rPr>
          <w:rFonts w:ascii="Arial" w:hAnsi="Arial" w:cs="Arial"/>
          <w:sz w:val="20"/>
          <w:szCs w:val="20"/>
        </w:rPr>
        <w:t xml:space="preserve">The Company’s related parties include key management personnel and any transactions with such parties for goods and/or services that are made on regular commercial terms. During the </w:t>
      </w:r>
      <w:r w:rsidR="000A24FE">
        <w:rPr>
          <w:rFonts w:ascii="Arial" w:hAnsi="Arial" w:cs="Arial"/>
          <w:sz w:val="20"/>
          <w:szCs w:val="20"/>
        </w:rPr>
        <w:t xml:space="preserve">three and </w:t>
      </w:r>
      <w:r w:rsidR="004B4490">
        <w:rPr>
          <w:rFonts w:ascii="Arial" w:hAnsi="Arial" w:cs="Arial"/>
          <w:sz w:val="20"/>
          <w:szCs w:val="20"/>
        </w:rPr>
        <w:t xml:space="preserve">six months </w:t>
      </w:r>
      <w:r w:rsidRPr="007F7BF4">
        <w:rPr>
          <w:rFonts w:ascii="Arial" w:hAnsi="Arial" w:cs="Arial"/>
          <w:sz w:val="20"/>
          <w:szCs w:val="20"/>
        </w:rPr>
        <w:t xml:space="preserve">ended </w:t>
      </w:r>
      <w:r w:rsidR="004B4490">
        <w:rPr>
          <w:rFonts w:ascii="Arial" w:hAnsi="Arial" w:cs="Arial"/>
          <w:sz w:val="20"/>
          <w:szCs w:val="20"/>
        </w:rPr>
        <w:t>June 30</w:t>
      </w:r>
      <w:r w:rsidR="003C5740">
        <w:rPr>
          <w:rFonts w:ascii="Arial" w:hAnsi="Arial" w:cs="Arial"/>
          <w:sz w:val="20"/>
          <w:szCs w:val="20"/>
        </w:rPr>
        <w:t xml:space="preserve">, </w:t>
      </w:r>
      <w:r w:rsidRPr="007F7BF4">
        <w:rPr>
          <w:rFonts w:ascii="Arial" w:hAnsi="Arial" w:cs="Arial"/>
          <w:sz w:val="20"/>
          <w:szCs w:val="20"/>
        </w:rPr>
        <w:t>201</w:t>
      </w:r>
      <w:r w:rsidR="003C5740">
        <w:rPr>
          <w:rFonts w:ascii="Arial" w:hAnsi="Arial" w:cs="Arial"/>
          <w:sz w:val="20"/>
          <w:szCs w:val="20"/>
        </w:rPr>
        <w:t>9</w:t>
      </w:r>
      <w:r w:rsidRPr="007F7BF4">
        <w:rPr>
          <w:rFonts w:ascii="Arial" w:hAnsi="Arial" w:cs="Arial"/>
          <w:sz w:val="20"/>
          <w:szCs w:val="20"/>
        </w:rPr>
        <w:t xml:space="preserve"> and 2018, the Company did not enter into any transactions with related parties outside of compensation to key management personnel as disclosed below.</w:t>
      </w:r>
    </w:p>
    <w:p w14:paraId="5976630E" w14:textId="77777777" w:rsidR="007F7BF4" w:rsidRPr="007F7BF4" w:rsidRDefault="007F7BF4" w:rsidP="003F6F1A">
      <w:pPr>
        <w:spacing w:after="0"/>
        <w:jc w:val="both"/>
        <w:rPr>
          <w:rFonts w:ascii="Arial" w:hAnsi="Arial" w:cs="Arial"/>
          <w:sz w:val="20"/>
          <w:szCs w:val="20"/>
        </w:rPr>
      </w:pPr>
    </w:p>
    <w:p w14:paraId="2DC2EDD3" w14:textId="77777777" w:rsidR="007F7BF4" w:rsidRPr="00FD6918" w:rsidRDefault="007F7BF4" w:rsidP="003F6F1A">
      <w:pPr>
        <w:spacing w:after="0"/>
        <w:jc w:val="both"/>
        <w:rPr>
          <w:rFonts w:ascii="Arial" w:hAnsi="Arial" w:cs="Arial"/>
          <w:sz w:val="20"/>
          <w:szCs w:val="20"/>
        </w:rPr>
      </w:pPr>
      <w:r w:rsidRPr="007F7BF4">
        <w:rPr>
          <w:rFonts w:ascii="Arial" w:hAnsi="Arial" w:cs="Arial"/>
          <w:sz w:val="20"/>
          <w:szCs w:val="20"/>
        </w:rPr>
        <w:t xml:space="preserve">Key management are those personnel having the authority and responsibility for planning, directing, and controlling the Company. </w:t>
      </w:r>
      <w:r w:rsidRPr="00FD6918">
        <w:rPr>
          <w:rFonts w:ascii="Arial" w:hAnsi="Arial" w:cs="Arial"/>
          <w:sz w:val="20"/>
          <w:szCs w:val="20"/>
        </w:rPr>
        <w:t>Salaries and benefits, bonuses, and termination benefits are included in operating expenses and share-based payments are recorded as share-based payment expense or share capital.</w:t>
      </w:r>
    </w:p>
    <w:p w14:paraId="2A2A740C" w14:textId="77777777" w:rsidR="007F7BF4" w:rsidRPr="00FD6918" w:rsidRDefault="007F7BF4" w:rsidP="003F6F1A">
      <w:pPr>
        <w:spacing w:after="0"/>
        <w:jc w:val="both"/>
        <w:rPr>
          <w:rFonts w:ascii="Arial" w:hAnsi="Arial" w:cs="Arial"/>
          <w:sz w:val="20"/>
          <w:szCs w:val="20"/>
        </w:rPr>
      </w:pPr>
    </w:p>
    <w:p w14:paraId="39B2B345" w14:textId="77777777" w:rsidR="007F7BF4" w:rsidRPr="00FD6918" w:rsidRDefault="007F7BF4" w:rsidP="003F6F1A">
      <w:pPr>
        <w:spacing w:after="0"/>
        <w:jc w:val="both"/>
        <w:rPr>
          <w:rFonts w:ascii="Arial" w:hAnsi="Arial" w:cs="Arial"/>
          <w:sz w:val="20"/>
          <w:szCs w:val="20"/>
        </w:rPr>
      </w:pPr>
      <w:r w:rsidRPr="00FD6918">
        <w:rPr>
          <w:rFonts w:ascii="Arial" w:hAnsi="Arial" w:cs="Arial"/>
          <w:sz w:val="20"/>
          <w:szCs w:val="20"/>
        </w:rPr>
        <w:t>Key management compensation includes:</w:t>
      </w:r>
    </w:p>
    <w:p w14:paraId="17943FC7" w14:textId="77777777" w:rsidR="007F7BF4" w:rsidRPr="004B4490" w:rsidRDefault="007F7BF4" w:rsidP="003F6F1A">
      <w:pPr>
        <w:pStyle w:val="NormalWeb"/>
        <w:spacing w:before="0" w:beforeAutospacing="0" w:after="0" w:afterAutospacing="0"/>
        <w:rPr>
          <w:rFonts w:ascii="Arial" w:hAnsi="Arial" w:cs="Arial"/>
          <w:b/>
          <w:bCs/>
          <w:color w:val="000000"/>
          <w:sz w:val="20"/>
          <w:szCs w:val="20"/>
          <w:highlight w:val="yellow"/>
        </w:rPr>
      </w:pPr>
    </w:p>
    <w:tbl>
      <w:tblPr>
        <w:tblW w:w="9368" w:type="dxa"/>
        <w:tblInd w:w="18" w:type="dxa"/>
        <w:tblBorders>
          <w:top w:val="single" w:sz="18" w:space="0" w:color="auto"/>
          <w:bottom w:val="single" w:sz="18" w:space="0" w:color="auto"/>
        </w:tblBorders>
        <w:tblLook w:val="04A0" w:firstRow="1" w:lastRow="0" w:firstColumn="1" w:lastColumn="0" w:noHBand="0" w:noVBand="1"/>
      </w:tblPr>
      <w:tblGrid>
        <w:gridCol w:w="2496"/>
        <w:gridCol w:w="328"/>
        <w:gridCol w:w="1496"/>
        <w:gridCol w:w="328"/>
        <w:gridCol w:w="1472"/>
        <w:gridCol w:w="328"/>
        <w:gridCol w:w="1253"/>
        <w:gridCol w:w="328"/>
        <w:gridCol w:w="1339"/>
      </w:tblGrid>
      <w:tr w:rsidR="005C15D5" w:rsidRPr="00DA4360" w14:paraId="6BCCA0D9" w14:textId="77777777" w:rsidTr="004A1755">
        <w:tc>
          <w:tcPr>
            <w:tcW w:w="2496" w:type="dxa"/>
            <w:tcBorders>
              <w:top w:val="single" w:sz="4" w:space="0" w:color="auto"/>
              <w:bottom w:val="nil"/>
            </w:tcBorders>
            <w:shd w:val="clear" w:color="auto" w:fill="auto"/>
          </w:tcPr>
          <w:p w14:paraId="2D5F6360" w14:textId="77777777" w:rsidR="005C15D5" w:rsidRPr="00DA4360" w:rsidRDefault="005C15D5" w:rsidP="003F6F1A">
            <w:pPr>
              <w:spacing w:after="0" w:line="240" w:lineRule="auto"/>
              <w:jc w:val="both"/>
              <w:rPr>
                <w:rFonts w:ascii="Arial" w:hAnsi="Arial" w:cs="Arial"/>
                <w:sz w:val="20"/>
                <w:szCs w:val="20"/>
                <w:lang w:val="en-CA"/>
              </w:rPr>
            </w:pPr>
          </w:p>
        </w:tc>
        <w:tc>
          <w:tcPr>
            <w:tcW w:w="3624" w:type="dxa"/>
            <w:gridSpan w:val="4"/>
            <w:tcBorders>
              <w:top w:val="single" w:sz="4" w:space="0" w:color="auto"/>
              <w:bottom w:val="nil"/>
            </w:tcBorders>
            <w:shd w:val="clear" w:color="auto" w:fill="auto"/>
            <w:vAlign w:val="bottom"/>
          </w:tcPr>
          <w:p w14:paraId="3F74288D" w14:textId="77777777" w:rsidR="005C15D5" w:rsidRPr="000A24FE" w:rsidRDefault="005C15D5" w:rsidP="003F6F1A">
            <w:pPr>
              <w:spacing w:after="0" w:line="240" w:lineRule="auto"/>
              <w:jc w:val="right"/>
              <w:rPr>
                <w:rFonts w:ascii="Arial" w:hAnsi="Arial" w:cs="Arial"/>
                <w:bCs/>
                <w:sz w:val="20"/>
                <w:szCs w:val="20"/>
                <w:lang w:val="en-CA"/>
              </w:rPr>
            </w:pPr>
            <w:r w:rsidRPr="000A24FE">
              <w:rPr>
                <w:rFonts w:ascii="Arial" w:hAnsi="Arial" w:cs="Arial"/>
                <w:bCs/>
                <w:sz w:val="20"/>
                <w:szCs w:val="20"/>
                <w:lang w:val="en-CA"/>
              </w:rPr>
              <w:t>Three months ended June 30</w:t>
            </w:r>
          </w:p>
        </w:tc>
        <w:tc>
          <w:tcPr>
            <w:tcW w:w="3248" w:type="dxa"/>
            <w:gridSpan w:val="4"/>
            <w:tcBorders>
              <w:top w:val="single" w:sz="4" w:space="0" w:color="auto"/>
              <w:bottom w:val="nil"/>
            </w:tcBorders>
            <w:shd w:val="clear" w:color="auto" w:fill="auto"/>
            <w:vAlign w:val="bottom"/>
          </w:tcPr>
          <w:p w14:paraId="6644786B" w14:textId="77777777" w:rsidR="005C15D5" w:rsidRPr="000A24FE" w:rsidRDefault="005C15D5" w:rsidP="003F6F1A">
            <w:pPr>
              <w:spacing w:after="0" w:line="240" w:lineRule="auto"/>
              <w:jc w:val="right"/>
              <w:rPr>
                <w:rFonts w:ascii="Arial" w:hAnsi="Arial" w:cs="Arial"/>
                <w:bCs/>
                <w:sz w:val="20"/>
                <w:szCs w:val="20"/>
                <w:lang w:val="en-CA"/>
              </w:rPr>
            </w:pPr>
            <w:r w:rsidRPr="000A24FE">
              <w:rPr>
                <w:rFonts w:ascii="Arial" w:hAnsi="Arial" w:cs="Arial"/>
                <w:bCs/>
                <w:sz w:val="20"/>
                <w:szCs w:val="20"/>
                <w:lang w:val="en-CA"/>
              </w:rPr>
              <w:t>Six months ended June 30</w:t>
            </w:r>
          </w:p>
        </w:tc>
      </w:tr>
      <w:tr w:rsidR="003E0848" w:rsidRPr="00DA4360" w14:paraId="73E78250" w14:textId="77777777" w:rsidTr="004A1755">
        <w:tc>
          <w:tcPr>
            <w:tcW w:w="2496" w:type="dxa"/>
            <w:tcBorders>
              <w:top w:val="nil"/>
              <w:bottom w:val="single" w:sz="12" w:space="0" w:color="auto"/>
            </w:tcBorders>
            <w:shd w:val="clear" w:color="auto" w:fill="auto"/>
          </w:tcPr>
          <w:p w14:paraId="244387F7" w14:textId="77777777" w:rsidR="005C15D5" w:rsidRPr="00DA4360" w:rsidRDefault="005C15D5" w:rsidP="003F6F1A">
            <w:pPr>
              <w:spacing w:after="0" w:line="240" w:lineRule="auto"/>
              <w:jc w:val="both"/>
              <w:rPr>
                <w:rFonts w:ascii="Arial" w:hAnsi="Arial" w:cs="Arial"/>
                <w:sz w:val="20"/>
                <w:szCs w:val="20"/>
                <w:lang w:val="en-CA"/>
              </w:rPr>
            </w:pPr>
          </w:p>
        </w:tc>
        <w:tc>
          <w:tcPr>
            <w:tcW w:w="328" w:type="dxa"/>
            <w:tcBorders>
              <w:top w:val="nil"/>
              <w:bottom w:val="single" w:sz="12" w:space="0" w:color="auto"/>
            </w:tcBorders>
            <w:shd w:val="clear" w:color="auto" w:fill="auto"/>
          </w:tcPr>
          <w:p w14:paraId="4DC3CE32" w14:textId="77777777" w:rsidR="005C15D5" w:rsidRPr="00DA4360" w:rsidRDefault="005C15D5" w:rsidP="003F6F1A">
            <w:pPr>
              <w:spacing w:after="0" w:line="240" w:lineRule="auto"/>
              <w:jc w:val="both"/>
              <w:rPr>
                <w:rFonts w:ascii="Arial" w:hAnsi="Arial" w:cs="Arial"/>
                <w:b/>
                <w:bCs/>
                <w:sz w:val="20"/>
                <w:szCs w:val="20"/>
                <w:lang w:val="en-CA"/>
              </w:rPr>
            </w:pPr>
          </w:p>
        </w:tc>
        <w:tc>
          <w:tcPr>
            <w:tcW w:w="1496" w:type="dxa"/>
            <w:tcBorders>
              <w:top w:val="nil"/>
              <w:bottom w:val="single" w:sz="12" w:space="0" w:color="auto"/>
            </w:tcBorders>
            <w:shd w:val="clear" w:color="auto" w:fill="auto"/>
            <w:vAlign w:val="bottom"/>
          </w:tcPr>
          <w:p w14:paraId="6BCA283B" w14:textId="77777777" w:rsidR="005C15D5" w:rsidRPr="00DA4360" w:rsidRDefault="005C15D5" w:rsidP="003F6F1A">
            <w:pPr>
              <w:spacing w:after="0" w:line="240" w:lineRule="auto"/>
              <w:jc w:val="right"/>
              <w:rPr>
                <w:rFonts w:ascii="Arial" w:hAnsi="Arial" w:cs="Arial"/>
                <w:b/>
                <w:bCs/>
                <w:sz w:val="20"/>
                <w:szCs w:val="20"/>
                <w:lang w:val="en-CA"/>
              </w:rPr>
            </w:pPr>
            <w:r w:rsidRPr="00DA4360">
              <w:rPr>
                <w:rFonts w:ascii="Arial" w:hAnsi="Arial" w:cs="Arial"/>
                <w:b/>
                <w:bCs/>
                <w:sz w:val="20"/>
                <w:szCs w:val="20"/>
                <w:lang w:val="en-CA"/>
              </w:rPr>
              <w:t>2019</w:t>
            </w:r>
          </w:p>
        </w:tc>
        <w:tc>
          <w:tcPr>
            <w:tcW w:w="328" w:type="dxa"/>
            <w:tcBorders>
              <w:top w:val="nil"/>
              <w:bottom w:val="single" w:sz="12" w:space="0" w:color="auto"/>
            </w:tcBorders>
            <w:shd w:val="clear" w:color="auto" w:fill="auto"/>
          </w:tcPr>
          <w:p w14:paraId="457657FE" w14:textId="77777777" w:rsidR="005C15D5" w:rsidRPr="00DA4360" w:rsidRDefault="005C15D5" w:rsidP="003F6F1A">
            <w:pPr>
              <w:spacing w:after="0" w:line="240" w:lineRule="auto"/>
              <w:jc w:val="right"/>
              <w:rPr>
                <w:rFonts w:ascii="Arial" w:hAnsi="Arial" w:cs="Arial"/>
                <w:sz w:val="20"/>
                <w:szCs w:val="20"/>
                <w:lang w:val="en-CA"/>
              </w:rPr>
            </w:pPr>
          </w:p>
        </w:tc>
        <w:tc>
          <w:tcPr>
            <w:tcW w:w="1472" w:type="dxa"/>
            <w:tcBorders>
              <w:top w:val="nil"/>
              <w:bottom w:val="single" w:sz="12" w:space="0" w:color="auto"/>
            </w:tcBorders>
            <w:shd w:val="clear" w:color="auto" w:fill="auto"/>
            <w:vAlign w:val="bottom"/>
          </w:tcPr>
          <w:p w14:paraId="681A8F27" w14:textId="77777777" w:rsidR="005C15D5" w:rsidRPr="00DA4360" w:rsidRDefault="005C15D5" w:rsidP="003F6F1A">
            <w:pPr>
              <w:spacing w:after="0" w:line="240" w:lineRule="auto"/>
              <w:jc w:val="right"/>
              <w:rPr>
                <w:rFonts w:ascii="Arial" w:hAnsi="Arial" w:cs="Arial"/>
                <w:sz w:val="20"/>
                <w:szCs w:val="20"/>
                <w:lang w:val="en-CA"/>
              </w:rPr>
            </w:pPr>
            <w:r w:rsidRPr="00DA4360">
              <w:rPr>
                <w:rFonts w:ascii="Arial" w:hAnsi="Arial" w:cs="Arial"/>
                <w:sz w:val="20"/>
                <w:szCs w:val="20"/>
                <w:lang w:val="en-CA"/>
              </w:rPr>
              <w:t>2018</w:t>
            </w:r>
          </w:p>
        </w:tc>
        <w:tc>
          <w:tcPr>
            <w:tcW w:w="328" w:type="dxa"/>
            <w:tcBorders>
              <w:top w:val="nil"/>
              <w:bottom w:val="single" w:sz="12" w:space="0" w:color="auto"/>
            </w:tcBorders>
            <w:shd w:val="clear" w:color="auto" w:fill="auto"/>
          </w:tcPr>
          <w:p w14:paraId="5DF2A9E0" w14:textId="77777777" w:rsidR="005C15D5" w:rsidRPr="00DA4360" w:rsidRDefault="005C15D5" w:rsidP="003F6F1A">
            <w:pPr>
              <w:spacing w:after="0" w:line="240" w:lineRule="auto"/>
              <w:jc w:val="right"/>
              <w:rPr>
                <w:rFonts w:ascii="Arial" w:hAnsi="Arial" w:cs="Arial"/>
                <w:sz w:val="20"/>
                <w:szCs w:val="20"/>
                <w:lang w:val="en-CA"/>
              </w:rPr>
            </w:pPr>
          </w:p>
        </w:tc>
        <w:tc>
          <w:tcPr>
            <w:tcW w:w="1253" w:type="dxa"/>
            <w:tcBorders>
              <w:top w:val="nil"/>
              <w:bottom w:val="single" w:sz="12" w:space="0" w:color="auto"/>
            </w:tcBorders>
            <w:shd w:val="clear" w:color="auto" w:fill="auto"/>
            <w:vAlign w:val="bottom"/>
          </w:tcPr>
          <w:p w14:paraId="416BE6FE" w14:textId="77777777" w:rsidR="005C15D5" w:rsidRPr="00DA4360" w:rsidRDefault="005C15D5" w:rsidP="003F6F1A">
            <w:pPr>
              <w:spacing w:after="0" w:line="240" w:lineRule="auto"/>
              <w:jc w:val="right"/>
              <w:rPr>
                <w:rFonts w:ascii="Arial" w:hAnsi="Arial" w:cs="Arial"/>
                <w:b/>
                <w:sz w:val="20"/>
                <w:szCs w:val="20"/>
                <w:lang w:val="en-CA"/>
              </w:rPr>
            </w:pPr>
            <w:r w:rsidRPr="00DA4360">
              <w:rPr>
                <w:rFonts w:ascii="Arial" w:hAnsi="Arial" w:cs="Arial"/>
                <w:b/>
                <w:sz w:val="20"/>
                <w:szCs w:val="20"/>
                <w:lang w:val="en-CA"/>
              </w:rPr>
              <w:t>2019</w:t>
            </w:r>
          </w:p>
        </w:tc>
        <w:tc>
          <w:tcPr>
            <w:tcW w:w="328" w:type="dxa"/>
            <w:tcBorders>
              <w:top w:val="nil"/>
              <w:bottom w:val="single" w:sz="12" w:space="0" w:color="auto"/>
            </w:tcBorders>
            <w:shd w:val="clear" w:color="auto" w:fill="auto"/>
          </w:tcPr>
          <w:p w14:paraId="63897856" w14:textId="77777777" w:rsidR="005C15D5" w:rsidRPr="00DA4360" w:rsidRDefault="005C15D5" w:rsidP="003F6F1A">
            <w:pPr>
              <w:spacing w:after="0" w:line="240" w:lineRule="auto"/>
              <w:jc w:val="right"/>
              <w:rPr>
                <w:rFonts w:ascii="Arial" w:hAnsi="Arial" w:cs="Arial"/>
                <w:sz w:val="20"/>
                <w:szCs w:val="20"/>
                <w:lang w:val="en-CA"/>
              </w:rPr>
            </w:pPr>
          </w:p>
        </w:tc>
        <w:tc>
          <w:tcPr>
            <w:tcW w:w="1339" w:type="dxa"/>
            <w:tcBorders>
              <w:top w:val="nil"/>
              <w:bottom w:val="single" w:sz="12" w:space="0" w:color="auto"/>
            </w:tcBorders>
            <w:shd w:val="clear" w:color="auto" w:fill="auto"/>
            <w:vAlign w:val="bottom"/>
          </w:tcPr>
          <w:p w14:paraId="2BDA61D2" w14:textId="77777777" w:rsidR="005C15D5" w:rsidRPr="00DA4360" w:rsidRDefault="005C15D5" w:rsidP="003F6F1A">
            <w:pPr>
              <w:spacing w:after="0" w:line="240" w:lineRule="auto"/>
              <w:jc w:val="right"/>
              <w:rPr>
                <w:rFonts w:ascii="Arial" w:hAnsi="Arial" w:cs="Arial"/>
                <w:sz w:val="20"/>
                <w:szCs w:val="20"/>
                <w:lang w:val="en-CA"/>
              </w:rPr>
            </w:pPr>
            <w:r w:rsidRPr="00DA4360">
              <w:rPr>
                <w:rFonts w:ascii="Arial" w:hAnsi="Arial" w:cs="Arial"/>
                <w:sz w:val="20"/>
                <w:szCs w:val="20"/>
                <w:lang w:val="en-CA"/>
              </w:rPr>
              <w:t>2018</w:t>
            </w:r>
          </w:p>
        </w:tc>
      </w:tr>
      <w:tr w:rsidR="003E0848" w:rsidRPr="00DA4360" w14:paraId="2F21C41F" w14:textId="77777777" w:rsidTr="004A1755">
        <w:tc>
          <w:tcPr>
            <w:tcW w:w="2496" w:type="dxa"/>
            <w:tcBorders>
              <w:top w:val="single" w:sz="12" w:space="0" w:color="auto"/>
              <w:bottom w:val="nil"/>
            </w:tcBorders>
            <w:shd w:val="clear" w:color="auto" w:fill="auto"/>
          </w:tcPr>
          <w:p w14:paraId="137F2CC7" w14:textId="77777777" w:rsidR="005C15D5" w:rsidRPr="00DA4360" w:rsidRDefault="005C15D5" w:rsidP="003F6F1A">
            <w:pPr>
              <w:spacing w:after="0" w:line="240" w:lineRule="auto"/>
              <w:jc w:val="both"/>
              <w:rPr>
                <w:rFonts w:ascii="Arial" w:hAnsi="Arial" w:cs="Arial"/>
                <w:sz w:val="20"/>
                <w:szCs w:val="20"/>
                <w:lang w:val="en-CA"/>
              </w:rPr>
            </w:pPr>
            <w:r w:rsidRPr="00DA4360">
              <w:rPr>
                <w:rFonts w:ascii="Arial" w:hAnsi="Arial" w:cs="Arial"/>
                <w:sz w:val="20"/>
                <w:szCs w:val="20"/>
                <w:lang w:val="en-CA"/>
              </w:rPr>
              <w:t>Salaries and benefits</w:t>
            </w:r>
          </w:p>
        </w:tc>
        <w:tc>
          <w:tcPr>
            <w:tcW w:w="328" w:type="dxa"/>
            <w:tcBorders>
              <w:top w:val="single" w:sz="12" w:space="0" w:color="auto"/>
              <w:bottom w:val="nil"/>
            </w:tcBorders>
            <w:shd w:val="clear" w:color="auto" w:fill="auto"/>
          </w:tcPr>
          <w:p w14:paraId="10E58F8F" w14:textId="77777777" w:rsidR="005C15D5" w:rsidRPr="00DA4360" w:rsidRDefault="005C15D5" w:rsidP="003F6F1A">
            <w:pPr>
              <w:spacing w:after="0" w:line="240" w:lineRule="auto"/>
              <w:jc w:val="both"/>
              <w:rPr>
                <w:rFonts w:ascii="Arial" w:hAnsi="Arial" w:cs="Arial"/>
                <w:b/>
                <w:bCs/>
                <w:sz w:val="20"/>
                <w:szCs w:val="20"/>
                <w:lang w:val="en-CA"/>
              </w:rPr>
            </w:pPr>
            <w:r w:rsidRPr="00DA4360">
              <w:rPr>
                <w:rFonts w:ascii="Arial" w:hAnsi="Arial" w:cs="Arial"/>
                <w:b/>
                <w:bCs/>
                <w:sz w:val="20"/>
                <w:szCs w:val="20"/>
                <w:lang w:val="en-CA"/>
              </w:rPr>
              <w:t>$</w:t>
            </w:r>
          </w:p>
        </w:tc>
        <w:tc>
          <w:tcPr>
            <w:tcW w:w="1496" w:type="dxa"/>
            <w:tcBorders>
              <w:top w:val="single" w:sz="12" w:space="0" w:color="auto"/>
              <w:bottom w:val="nil"/>
            </w:tcBorders>
            <w:shd w:val="clear" w:color="auto" w:fill="auto"/>
            <w:vAlign w:val="bottom"/>
          </w:tcPr>
          <w:p w14:paraId="51C11C71" w14:textId="77777777" w:rsidR="005C15D5" w:rsidRPr="00DA4360" w:rsidRDefault="005C15D5" w:rsidP="003F6F1A">
            <w:pPr>
              <w:spacing w:after="0" w:line="240" w:lineRule="auto"/>
              <w:jc w:val="right"/>
              <w:rPr>
                <w:rFonts w:ascii="Arial" w:hAnsi="Arial" w:cs="Arial"/>
                <w:b/>
                <w:bCs/>
                <w:sz w:val="20"/>
                <w:szCs w:val="20"/>
                <w:lang w:val="en-CA"/>
              </w:rPr>
            </w:pPr>
            <w:r w:rsidRPr="00DA4360">
              <w:rPr>
                <w:rFonts w:ascii="Arial" w:hAnsi="Arial" w:cs="Arial"/>
                <w:b/>
                <w:bCs/>
                <w:sz w:val="20"/>
                <w:szCs w:val="20"/>
                <w:lang w:val="en-CA"/>
              </w:rPr>
              <w:t>255,096</w:t>
            </w:r>
          </w:p>
        </w:tc>
        <w:tc>
          <w:tcPr>
            <w:tcW w:w="328" w:type="dxa"/>
            <w:tcBorders>
              <w:top w:val="single" w:sz="12" w:space="0" w:color="auto"/>
              <w:bottom w:val="nil"/>
            </w:tcBorders>
            <w:shd w:val="clear" w:color="auto" w:fill="auto"/>
          </w:tcPr>
          <w:p w14:paraId="786CFD6E" w14:textId="77777777" w:rsidR="005C15D5" w:rsidRPr="00DA4360" w:rsidRDefault="005C15D5" w:rsidP="003F6F1A">
            <w:pPr>
              <w:spacing w:after="0" w:line="240" w:lineRule="auto"/>
              <w:jc w:val="right"/>
              <w:rPr>
                <w:rFonts w:ascii="Arial" w:hAnsi="Arial" w:cs="Arial"/>
                <w:b/>
                <w:sz w:val="20"/>
                <w:szCs w:val="20"/>
                <w:lang w:val="en-CA"/>
              </w:rPr>
            </w:pPr>
            <w:r w:rsidRPr="00DA4360">
              <w:rPr>
                <w:rFonts w:ascii="Arial" w:hAnsi="Arial" w:cs="Arial"/>
                <w:sz w:val="20"/>
                <w:szCs w:val="20"/>
                <w:lang w:val="en-CA"/>
              </w:rPr>
              <w:t>$</w:t>
            </w:r>
          </w:p>
        </w:tc>
        <w:tc>
          <w:tcPr>
            <w:tcW w:w="1472" w:type="dxa"/>
            <w:tcBorders>
              <w:top w:val="single" w:sz="12" w:space="0" w:color="auto"/>
              <w:bottom w:val="nil"/>
            </w:tcBorders>
            <w:shd w:val="clear" w:color="auto" w:fill="auto"/>
            <w:vAlign w:val="bottom"/>
          </w:tcPr>
          <w:p w14:paraId="084351C3" w14:textId="77777777" w:rsidR="005C15D5" w:rsidRPr="00DA4360" w:rsidRDefault="005C15D5" w:rsidP="003F6F1A">
            <w:pPr>
              <w:spacing w:after="0" w:line="240" w:lineRule="auto"/>
              <w:jc w:val="right"/>
              <w:rPr>
                <w:rFonts w:ascii="Arial" w:hAnsi="Arial" w:cs="Arial"/>
                <w:b/>
                <w:sz w:val="20"/>
                <w:szCs w:val="20"/>
                <w:lang w:val="en-CA"/>
              </w:rPr>
            </w:pPr>
            <w:r w:rsidRPr="00DA4360">
              <w:rPr>
                <w:rFonts w:ascii="Arial" w:hAnsi="Arial" w:cs="Arial"/>
                <w:sz w:val="20"/>
                <w:szCs w:val="20"/>
                <w:lang w:val="en-CA"/>
              </w:rPr>
              <w:t>497,180</w:t>
            </w:r>
          </w:p>
        </w:tc>
        <w:tc>
          <w:tcPr>
            <w:tcW w:w="328" w:type="dxa"/>
            <w:tcBorders>
              <w:top w:val="single" w:sz="12" w:space="0" w:color="auto"/>
              <w:bottom w:val="nil"/>
            </w:tcBorders>
            <w:shd w:val="clear" w:color="auto" w:fill="auto"/>
          </w:tcPr>
          <w:p w14:paraId="19A44F6D" w14:textId="77777777" w:rsidR="005C15D5" w:rsidRPr="00DA4360" w:rsidRDefault="005C15D5" w:rsidP="003F6F1A">
            <w:pPr>
              <w:spacing w:after="0" w:line="240" w:lineRule="auto"/>
              <w:jc w:val="both"/>
              <w:rPr>
                <w:rFonts w:ascii="Arial" w:hAnsi="Arial" w:cs="Arial"/>
                <w:b/>
                <w:bCs/>
                <w:sz w:val="20"/>
                <w:szCs w:val="20"/>
                <w:lang w:val="en-CA"/>
              </w:rPr>
            </w:pPr>
            <w:r w:rsidRPr="00DA4360">
              <w:rPr>
                <w:rFonts w:ascii="Arial" w:hAnsi="Arial" w:cs="Arial"/>
                <w:b/>
                <w:bCs/>
                <w:sz w:val="20"/>
                <w:szCs w:val="20"/>
                <w:lang w:val="en-CA"/>
              </w:rPr>
              <w:t>$</w:t>
            </w:r>
          </w:p>
        </w:tc>
        <w:tc>
          <w:tcPr>
            <w:tcW w:w="1253" w:type="dxa"/>
            <w:tcBorders>
              <w:top w:val="single" w:sz="12" w:space="0" w:color="auto"/>
              <w:bottom w:val="nil"/>
            </w:tcBorders>
            <w:shd w:val="clear" w:color="auto" w:fill="auto"/>
            <w:vAlign w:val="bottom"/>
          </w:tcPr>
          <w:p w14:paraId="4F87DB2B" w14:textId="77777777" w:rsidR="005C15D5" w:rsidRPr="00DA4360" w:rsidRDefault="005C15D5" w:rsidP="003F6F1A">
            <w:pPr>
              <w:spacing w:after="0" w:line="240" w:lineRule="auto"/>
              <w:jc w:val="right"/>
              <w:rPr>
                <w:rFonts w:ascii="Arial" w:hAnsi="Arial" w:cs="Arial"/>
                <w:b/>
                <w:bCs/>
                <w:sz w:val="20"/>
                <w:szCs w:val="20"/>
                <w:lang w:val="en-CA"/>
              </w:rPr>
            </w:pPr>
            <w:r w:rsidRPr="00DA4360">
              <w:rPr>
                <w:rFonts w:ascii="Arial" w:hAnsi="Arial" w:cs="Arial"/>
                <w:b/>
                <w:bCs/>
                <w:sz w:val="20"/>
                <w:szCs w:val="20"/>
                <w:lang w:val="en-CA"/>
              </w:rPr>
              <w:t>321,346</w:t>
            </w:r>
          </w:p>
        </w:tc>
        <w:tc>
          <w:tcPr>
            <w:tcW w:w="328" w:type="dxa"/>
            <w:tcBorders>
              <w:top w:val="single" w:sz="12" w:space="0" w:color="auto"/>
              <w:bottom w:val="nil"/>
            </w:tcBorders>
            <w:shd w:val="clear" w:color="auto" w:fill="auto"/>
          </w:tcPr>
          <w:p w14:paraId="29EFE0E8" w14:textId="77777777" w:rsidR="005C15D5" w:rsidRPr="00DA4360" w:rsidRDefault="005C15D5" w:rsidP="003F6F1A">
            <w:pPr>
              <w:spacing w:after="0" w:line="240" w:lineRule="auto"/>
              <w:jc w:val="both"/>
              <w:rPr>
                <w:rFonts w:ascii="Arial" w:hAnsi="Arial" w:cs="Arial"/>
                <w:sz w:val="20"/>
                <w:szCs w:val="20"/>
                <w:lang w:val="en-CA"/>
              </w:rPr>
            </w:pPr>
            <w:r w:rsidRPr="00DA4360">
              <w:rPr>
                <w:rFonts w:ascii="Arial" w:hAnsi="Arial" w:cs="Arial"/>
                <w:sz w:val="20"/>
                <w:szCs w:val="20"/>
                <w:lang w:val="en-CA"/>
              </w:rPr>
              <w:t>$</w:t>
            </w:r>
          </w:p>
        </w:tc>
        <w:tc>
          <w:tcPr>
            <w:tcW w:w="1339" w:type="dxa"/>
            <w:tcBorders>
              <w:top w:val="single" w:sz="12" w:space="0" w:color="auto"/>
              <w:bottom w:val="nil"/>
            </w:tcBorders>
            <w:shd w:val="clear" w:color="auto" w:fill="auto"/>
            <w:vAlign w:val="bottom"/>
          </w:tcPr>
          <w:p w14:paraId="7293E76A" w14:textId="77777777" w:rsidR="005C15D5" w:rsidRPr="00DA4360" w:rsidRDefault="005C15D5" w:rsidP="003F6F1A">
            <w:pPr>
              <w:spacing w:after="0" w:line="240" w:lineRule="auto"/>
              <w:jc w:val="right"/>
              <w:rPr>
                <w:rFonts w:ascii="Arial" w:hAnsi="Arial" w:cs="Arial"/>
                <w:sz w:val="20"/>
                <w:szCs w:val="20"/>
                <w:lang w:val="en-CA"/>
              </w:rPr>
            </w:pPr>
            <w:r w:rsidRPr="00DA4360">
              <w:rPr>
                <w:rFonts w:ascii="Arial" w:hAnsi="Arial" w:cs="Arial"/>
                <w:sz w:val="20"/>
                <w:szCs w:val="20"/>
                <w:lang w:val="en-CA"/>
              </w:rPr>
              <w:t>527,180</w:t>
            </w:r>
          </w:p>
        </w:tc>
      </w:tr>
      <w:tr w:rsidR="003E0848" w:rsidRPr="00DA4360" w14:paraId="1003B82D" w14:textId="77777777" w:rsidTr="004A1755">
        <w:tc>
          <w:tcPr>
            <w:tcW w:w="2496" w:type="dxa"/>
            <w:tcBorders>
              <w:top w:val="nil"/>
              <w:bottom w:val="single" w:sz="4" w:space="0" w:color="auto"/>
            </w:tcBorders>
            <w:shd w:val="clear" w:color="auto" w:fill="auto"/>
          </w:tcPr>
          <w:p w14:paraId="3D6DA16B" w14:textId="77777777" w:rsidR="005C15D5" w:rsidRPr="00DA4360" w:rsidRDefault="005C15D5" w:rsidP="003F6F1A">
            <w:pPr>
              <w:spacing w:after="0" w:line="240" w:lineRule="auto"/>
              <w:jc w:val="both"/>
              <w:rPr>
                <w:rFonts w:ascii="Arial" w:hAnsi="Arial" w:cs="Arial"/>
                <w:sz w:val="20"/>
                <w:szCs w:val="20"/>
                <w:lang w:val="en-CA"/>
              </w:rPr>
            </w:pPr>
            <w:r w:rsidRPr="00DA4360">
              <w:rPr>
                <w:rFonts w:ascii="Arial" w:hAnsi="Arial" w:cs="Arial"/>
                <w:sz w:val="20"/>
                <w:szCs w:val="20"/>
                <w:lang w:val="en-CA"/>
              </w:rPr>
              <w:t>Share-based payments</w:t>
            </w:r>
          </w:p>
        </w:tc>
        <w:tc>
          <w:tcPr>
            <w:tcW w:w="328" w:type="dxa"/>
            <w:tcBorders>
              <w:top w:val="nil"/>
              <w:bottom w:val="single" w:sz="4" w:space="0" w:color="auto"/>
            </w:tcBorders>
            <w:shd w:val="clear" w:color="auto" w:fill="auto"/>
          </w:tcPr>
          <w:p w14:paraId="31D65CA4" w14:textId="77777777" w:rsidR="005C15D5" w:rsidRPr="00DA4360" w:rsidRDefault="005C15D5" w:rsidP="003F6F1A">
            <w:pPr>
              <w:spacing w:after="0" w:line="240" w:lineRule="auto"/>
              <w:jc w:val="both"/>
              <w:rPr>
                <w:rFonts w:ascii="Arial" w:hAnsi="Arial" w:cs="Arial"/>
                <w:b/>
                <w:bCs/>
                <w:sz w:val="20"/>
                <w:szCs w:val="20"/>
                <w:lang w:val="en-CA"/>
              </w:rPr>
            </w:pPr>
          </w:p>
        </w:tc>
        <w:tc>
          <w:tcPr>
            <w:tcW w:w="1496" w:type="dxa"/>
            <w:tcBorders>
              <w:top w:val="nil"/>
              <w:bottom w:val="single" w:sz="4" w:space="0" w:color="auto"/>
            </w:tcBorders>
            <w:shd w:val="clear" w:color="auto" w:fill="auto"/>
            <w:vAlign w:val="bottom"/>
          </w:tcPr>
          <w:p w14:paraId="07ACC018" w14:textId="77777777" w:rsidR="005C15D5" w:rsidRPr="00DA4360" w:rsidRDefault="005C15D5" w:rsidP="003F6F1A">
            <w:pPr>
              <w:spacing w:after="0" w:line="240" w:lineRule="auto"/>
              <w:jc w:val="right"/>
              <w:rPr>
                <w:rFonts w:ascii="Arial" w:hAnsi="Arial" w:cs="Arial"/>
                <w:b/>
                <w:bCs/>
                <w:sz w:val="20"/>
                <w:szCs w:val="20"/>
                <w:lang w:val="en-CA"/>
              </w:rPr>
            </w:pPr>
            <w:r w:rsidRPr="00DA4360">
              <w:rPr>
                <w:rFonts w:ascii="Arial" w:hAnsi="Arial" w:cs="Arial"/>
                <w:b/>
                <w:bCs/>
                <w:sz w:val="20"/>
                <w:szCs w:val="20"/>
                <w:lang w:val="en-CA"/>
              </w:rPr>
              <w:t>457,160</w:t>
            </w:r>
          </w:p>
        </w:tc>
        <w:tc>
          <w:tcPr>
            <w:tcW w:w="328" w:type="dxa"/>
            <w:tcBorders>
              <w:top w:val="nil"/>
              <w:bottom w:val="single" w:sz="4" w:space="0" w:color="auto"/>
            </w:tcBorders>
            <w:shd w:val="clear" w:color="auto" w:fill="auto"/>
          </w:tcPr>
          <w:p w14:paraId="09521B42" w14:textId="77777777" w:rsidR="005C15D5" w:rsidRPr="00DA4360" w:rsidRDefault="005C15D5" w:rsidP="003F6F1A">
            <w:pPr>
              <w:spacing w:after="0" w:line="240" w:lineRule="auto"/>
              <w:jc w:val="right"/>
              <w:rPr>
                <w:rFonts w:ascii="Arial" w:hAnsi="Arial" w:cs="Arial"/>
                <w:b/>
                <w:sz w:val="20"/>
                <w:szCs w:val="20"/>
                <w:lang w:val="en-CA"/>
              </w:rPr>
            </w:pPr>
          </w:p>
        </w:tc>
        <w:tc>
          <w:tcPr>
            <w:tcW w:w="1472" w:type="dxa"/>
            <w:tcBorders>
              <w:top w:val="nil"/>
              <w:bottom w:val="single" w:sz="4" w:space="0" w:color="auto"/>
            </w:tcBorders>
            <w:shd w:val="clear" w:color="auto" w:fill="auto"/>
            <w:vAlign w:val="bottom"/>
          </w:tcPr>
          <w:p w14:paraId="2DEC71D8" w14:textId="77777777" w:rsidR="005C15D5" w:rsidRPr="00DA4360" w:rsidRDefault="005C15D5" w:rsidP="003F6F1A">
            <w:pPr>
              <w:spacing w:after="0" w:line="240" w:lineRule="auto"/>
              <w:jc w:val="right"/>
              <w:rPr>
                <w:rFonts w:ascii="Arial" w:hAnsi="Arial" w:cs="Arial"/>
                <w:b/>
                <w:sz w:val="20"/>
                <w:szCs w:val="20"/>
                <w:lang w:val="en-CA"/>
              </w:rPr>
            </w:pPr>
            <w:r w:rsidRPr="00DA4360">
              <w:rPr>
                <w:rFonts w:ascii="Arial" w:hAnsi="Arial" w:cs="Arial"/>
                <w:sz w:val="20"/>
                <w:szCs w:val="20"/>
                <w:lang w:val="en-CA"/>
              </w:rPr>
              <w:t>892,417</w:t>
            </w:r>
          </w:p>
        </w:tc>
        <w:tc>
          <w:tcPr>
            <w:tcW w:w="328" w:type="dxa"/>
            <w:tcBorders>
              <w:top w:val="nil"/>
              <w:bottom w:val="single" w:sz="4" w:space="0" w:color="auto"/>
            </w:tcBorders>
            <w:shd w:val="clear" w:color="auto" w:fill="auto"/>
          </w:tcPr>
          <w:p w14:paraId="62D82E27" w14:textId="77777777" w:rsidR="005C15D5" w:rsidRPr="00DA4360" w:rsidRDefault="005C15D5" w:rsidP="003F6F1A">
            <w:pPr>
              <w:spacing w:after="0" w:line="240" w:lineRule="auto"/>
              <w:jc w:val="both"/>
              <w:rPr>
                <w:rFonts w:ascii="Arial" w:hAnsi="Arial" w:cs="Arial"/>
                <w:b/>
                <w:bCs/>
                <w:sz w:val="20"/>
                <w:szCs w:val="20"/>
                <w:lang w:val="en-CA"/>
              </w:rPr>
            </w:pPr>
          </w:p>
        </w:tc>
        <w:tc>
          <w:tcPr>
            <w:tcW w:w="1253" w:type="dxa"/>
            <w:tcBorders>
              <w:top w:val="nil"/>
              <w:bottom w:val="single" w:sz="4" w:space="0" w:color="auto"/>
            </w:tcBorders>
            <w:shd w:val="clear" w:color="auto" w:fill="auto"/>
            <w:vAlign w:val="bottom"/>
          </w:tcPr>
          <w:p w14:paraId="1A6F8156" w14:textId="77777777" w:rsidR="005C15D5" w:rsidRPr="00DA4360" w:rsidRDefault="005C15D5" w:rsidP="003F6F1A">
            <w:pPr>
              <w:spacing w:after="0" w:line="240" w:lineRule="auto"/>
              <w:jc w:val="right"/>
              <w:rPr>
                <w:rFonts w:ascii="Arial" w:hAnsi="Arial" w:cs="Arial"/>
                <w:b/>
                <w:bCs/>
                <w:sz w:val="20"/>
                <w:szCs w:val="20"/>
                <w:lang w:val="en-CA"/>
              </w:rPr>
            </w:pPr>
            <w:r w:rsidRPr="00DA4360">
              <w:rPr>
                <w:rFonts w:ascii="Arial" w:hAnsi="Arial" w:cs="Arial"/>
                <w:b/>
                <w:bCs/>
                <w:sz w:val="20"/>
                <w:szCs w:val="20"/>
                <w:lang w:val="en-CA"/>
              </w:rPr>
              <w:t>472,120</w:t>
            </w:r>
          </w:p>
        </w:tc>
        <w:tc>
          <w:tcPr>
            <w:tcW w:w="328" w:type="dxa"/>
            <w:tcBorders>
              <w:top w:val="nil"/>
              <w:bottom w:val="single" w:sz="4" w:space="0" w:color="auto"/>
            </w:tcBorders>
            <w:shd w:val="clear" w:color="auto" w:fill="auto"/>
          </w:tcPr>
          <w:p w14:paraId="42C17AB0" w14:textId="77777777" w:rsidR="005C15D5" w:rsidRPr="00DA4360" w:rsidRDefault="005C15D5" w:rsidP="003F6F1A">
            <w:pPr>
              <w:spacing w:after="0" w:line="240" w:lineRule="auto"/>
              <w:jc w:val="both"/>
              <w:rPr>
                <w:rFonts w:ascii="Arial" w:hAnsi="Arial" w:cs="Arial"/>
                <w:sz w:val="20"/>
                <w:szCs w:val="20"/>
                <w:lang w:val="en-CA"/>
              </w:rPr>
            </w:pPr>
          </w:p>
        </w:tc>
        <w:tc>
          <w:tcPr>
            <w:tcW w:w="1339" w:type="dxa"/>
            <w:tcBorders>
              <w:top w:val="nil"/>
              <w:bottom w:val="single" w:sz="4" w:space="0" w:color="auto"/>
            </w:tcBorders>
            <w:shd w:val="clear" w:color="auto" w:fill="auto"/>
            <w:vAlign w:val="bottom"/>
          </w:tcPr>
          <w:p w14:paraId="138C7F7E" w14:textId="77777777" w:rsidR="005C15D5" w:rsidRPr="00DA4360" w:rsidRDefault="005C15D5" w:rsidP="003F6F1A">
            <w:pPr>
              <w:spacing w:after="0" w:line="240" w:lineRule="auto"/>
              <w:jc w:val="right"/>
              <w:rPr>
                <w:rFonts w:ascii="Arial" w:hAnsi="Arial" w:cs="Arial"/>
                <w:sz w:val="20"/>
                <w:szCs w:val="20"/>
                <w:lang w:val="en-CA"/>
              </w:rPr>
            </w:pPr>
            <w:r w:rsidRPr="00DA4360">
              <w:rPr>
                <w:rFonts w:ascii="Arial" w:hAnsi="Arial" w:cs="Arial"/>
                <w:sz w:val="20"/>
                <w:szCs w:val="20"/>
                <w:lang w:val="en-CA"/>
              </w:rPr>
              <w:t>892,417</w:t>
            </w:r>
          </w:p>
        </w:tc>
      </w:tr>
      <w:tr w:rsidR="003E0848" w:rsidRPr="00DA4360" w14:paraId="6FF0043B" w14:textId="77777777" w:rsidTr="004A1755">
        <w:tc>
          <w:tcPr>
            <w:tcW w:w="2496" w:type="dxa"/>
            <w:tcBorders>
              <w:top w:val="nil"/>
            </w:tcBorders>
            <w:shd w:val="clear" w:color="auto" w:fill="auto"/>
          </w:tcPr>
          <w:p w14:paraId="79BD610C" w14:textId="77777777" w:rsidR="005C15D5" w:rsidRPr="00DA4360" w:rsidRDefault="005C15D5" w:rsidP="003F6F1A">
            <w:pPr>
              <w:spacing w:after="0" w:line="240" w:lineRule="auto"/>
              <w:jc w:val="both"/>
              <w:rPr>
                <w:rFonts w:ascii="Arial" w:hAnsi="Arial" w:cs="Arial"/>
                <w:sz w:val="20"/>
                <w:szCs w:val="20"/>
                <w:lang w:val="en-CA"/>
              </w:rPr>
            </w:pPr>
          </w:p>
        </w:tc>
        <w:tc>
          <w:tcPr>
            <w:tcW w:w="328" w:type="dxa"/>
            <w:tcBorders>
              <w:top w:val="nil"/>
            </w:tcBorders>
            <w:shd w:val="clear" w:color="auto" w:fill="auto"/>
          </w:tcPr>
          <w:p w14:paraId="71410D3B" w14:textId="77777777" w:rsidR="005C15D5" w:rsidRPr="00DA4360" w:rsidRDefault="005C15D5" w:rsidP="003F6F1A">
            <w:pPr>
              <w:spacing w:after="0" w:line="240" w:lineRule="auto"/>
              <w:jc w:val="both"/>
              <w:rPr>
                <w:rFonts w:ascii="Arial" w:hAnsi="Arial" w:cs="Arial"/>
                <w:b/>
                <w:bCs/>
                <w:sz w:val="20"/>
                <w:szCs w:val="20"/>
                <w:lang w:val="en-CA"/>
              </w:rPr>
            </w:pPr>
            <w:r w:rsidRPr="00DA4360">
              <w:rPr>
                <w:rFonts w:ascii="Arial" w:hAnsi="Arial" w:cs="Arial"/>
                <w:b/>
                <w:bCs/>
                <w:sz w:val="20"/>
                <w:szCs w:val="20"/>
                <w:lang w:val="en-CA"/>
              </w:rPr>
              <w:t>$</w:t>
            </w:r>
          </w:p>
        </w:tc>
        <w:tc>
          <w:tcPr>
            <w:tcW w:w="1496" w:type="dxa"/>
            <w:tcBorders>
              <w:top w:val="nil"/>
            </w:tcBorders>
            <w:shd w:val="clear" w:color="auto" w:fill="auto"/>
            <w:vAlign w:val="bottom"/>
          </w:tcPr>
          <w:p w14:paraId="67A584A5" w14:textId="77777777" w:rsidR="005C15D5" w:rsidRPr="00DA4360" w:rsidRDefault="005C15D5" w:rsidP="003F6F1A">
            <w:pPr>
              <w:spacing w:after="0" w:line="240" w:lineRule="auto"/>
              <w:jc w:val="right"/>
              <w:rPr>
                <w:rFonts w:ascii="Arial" w:hAnsi="Arial" w:cs="Arial"/>
                <w:b/>
                <w:bCs/>
                <w:sz w:val="20"/>
                <w:szCs w:val="20"/>
                <w:lang w:val="en-CA"/>
              </w:rPr>
            </w:pPr>
            <w:r w:rsidRPr="00DA4360">
              <w:rPr>
                <w:rFonts w:ascii="Arial" w:hAnsi="Arial" w:cs="Arial"/>
                <w:b/>
                <w:bCs/>
                <w:sz w:val="20"/>
                <w:szCs w:val="20"/>
                <w:lang w:val="en-CA"/>
              </w:rPr>
              <w:t>712,256</w:t>
            </w:r>
          </w:p>
        </w:tc>
        <w:tc>
          <w:tcPr>
            <w:tcW w:w="328" w:type="dxa"/>
            <w:tcBorders>
              <w:top w:val="nil"/>
            </w:tcBorders>
            <w:shd w:val="clear" w:color="auto" w:fill="auto"/>
          </w:tcPr>
          <w:p w14:paraId="53DEA3A7" w14:textId="77777777" w:rsidR="005C15D5" w:rsidRPr="00DA4360" w:rsidRDefault="005C15D5" w:rsidP="003F6F1A">
            <w:pPr>
              <w:spacing w:after="0" w:line="240" w:lineRule="auto"/>
              <w:jc w:val="right"/>
              <w:rPr>
                <w:rFonts w:ascii="Arial" w:hAnsi="Arial" w:cs="Arial"/>
                <w:b/>
                <w:sz w:val="20"/>
                <w:szCs w:val="20"/>
                <w:lang w:val="en-CA"/>
              </w:rPr>
            </w:pPr>
            <w:r w:rsidRPr="00DA4360">
              <w:rPr>
                <w:rFonts w:ascii="Arial" w:hAnsi="Arial" w:cs="Arial"/>
                <w:sz w:val="20"/>
                <w:szCs w:val="20"/>
                <w:lang w:val="en-CA"/>
              </w:rPr>
              <w:t>$</w:t>
            </w:r>
          </w:p>
        </w:tc>
        <w:tc>
          <w:tcPr>
            <w:tcW w:w="1472" w:type="dxa"/>
            <w:tcBorders>
              <w:top w:val="nil"/>
            </w:tcBorders>
            <w:shd w:val="clear" w:color="auto" w:fill="auto"/>
            <w:vAlign w:val="bottom"/>
          </w:tcPr>
          <w:p w14:paraId="1F392539" w14:textId="77777777" w:rsidR="005C15D5" w:rsidRPr="00DA4360" w:rsidRDefault="005C15D5" w:rsidP="003F6F1A">
            <w:pPr>
              <w:spacing w:after="0" w:line="240" w:lineRule="auto"/>
              <w:jc w:val="right"/>
              <w:rPr>
                <w:rFonts w:ascii="Arial" w:hAnsi="Arial" w:cs="Arial"/>
                <w:b/>
                <w:sz w:val="20"/>
                <w:szCs w:val="20"/>
                <w:lang w:val="en-CA"/>
              </w:rPr>
            </w:pPr>
            <w:r w:rsidRPr="00DA4360">
              <w:rPr>
                <w:rFonts w:ascii="Arial" w:hAnsi="Arial" w:cs="Arial"/>
                <w:sz w:val="20"/>
                <w:szCs w:val="20"/>
                <w:lang w:val="en-CA"/>
              </w:rPr>
              <w:t>1,389,597</w:t>
            </w:r>
          </w:p>
        </w:tc>
        <w:tc>
          <w:tcPr>
            <w:tcW w:w="328" w:type="dxa"/>
            <w:tcBorders>
              <w:top w:val="nil"/>
            </w:tcBorders>
            <w:shd w:val="clear" w:color="auto" w:fill="auto"/>
          </w:tcPr>
          <w:p w14:paraId="6E55B03B" w14:textId="77777777" w:rsidR="005C15D5" w:rsidRPr="00DA4360" w:rsidRDefault="005C15D5" w:rsidP="003F6F1A">
            <w:pPr>
              <w:spacing w:after="0" w:line="240" w:lineRule="auto"/>
              <w:jc w:val="both"/>
              <w:rPr>
                <w:rFonts w:ascii="Arial" w:hAnsi="Arial" w:cs="Arial"/>
                <w:b/>
                <w:bCs/>
                <w:sz w:val="20"/>
                <w:szCs w:val="20"/>
                <w:lang w:val="en-CA"/>
              </w:rPr>
            </w:pPr>
            <w:r w:rsidRPr="00DA4360">
              <w:rPr>
                <w:rFonts w:ascii="Arial" w:hAnsi="Arial" w:cs="Arial"/>
                <w:b/>
                <w:bCs/>
                <w:sz w:val="20"/>
                <w:szCs w:val="20"/>
                <w:lang w:val="en-CA"/>
              </w:rPr>
              <w:t>$</w:t>
            </w:r>
          </w:p>
        </w:tc>
        <w:tc>
          <w:tcPr>
            <w:tcW w:w="1253" w:type="dxa"/>
            <w:tcBorders>
              <w:top w:val="nil"/>
            </w:tcBorders>
            <w:shd w:val="clear" w:color="auto" w:fill="auto"/>
            <w:vAlign w:val="bottom"/>
          </w:tcPr>
          <w:p w14:paraId="6856ADEF" w14:textId="77777777" w:rsidR="005C15D5" w:rsidRPr="00DA4360" w:rsidRDefault="005C15D5" w:rsidP="003F6F1A">
            <w:pPr>
              <w:spacing w:after="0" w:line="240" w:lineRule="auto"/>
              <w:jc w:val="right"/>
              <w:rPr>
                <w:rFonts w:ascii="Arial" w:hAnsi="Arial" w:cs="Arial"/>
                <w:b/>
                <w:bCs/>
                <w:sz w:val="20"/>
                <w:szCs w:val="20"/>
                <w:lang w:val="en-CA"/>
              </w:rPr>
            </w:pPr>
            <w:r w:rsidRPr="00DA4360">
              <w:rPr>
                <w:rFonts w:ascii="Arial" w:hAnsi="Arial" w:cs="Arial"/>
                <w:b/>
                <w:bCs/>
                <w:sz w:val="20"/>
                <w:szCs w:val="20"/>
                <w:lang w:val="en-CA"/>
              </w:rPr>
              <w:t>793,466</w:t>
            </w:r>
          </w:p>
        </w:tc>
        <w:tc>
          <w:tcPr>
            <w:tcW w:w="328" w:type="dxa"/>
            <w:tcBorders>
              <w:top w:val="nil"/>
            </w:tcBorders>
            <w:shd w:val="clear" w:color="auto" w:fill="auto"/>
          </w:tcPr>
          <w:p w14:paraId="605B963E" w14:textId="77777777" w:rsidR="005C15D5" w:rsidRPr="00DA4360" w:rsidRDefault="005C15D5" w:rsidP="003F6F1A">
            <w:pPr>
              <w:spacing w:after="0" w:line="240" w:lineRule="auto"/>
              <w:jc w:val="both"/>
              <w:rPr>
                <w:rFonts w:ascii="Arial" w:hAnsi="Arial" w:cs="Arial"/>
                <w:sz w:val="20"/>
                <w:szCs w:val="20"/>
                <w:lang w:val="en-CA"/>
              </w:rPr>
            </w:pPr>
            <w:r w:rsidRPr="00DA4360">
              <w:rPr>
                <w:rFonts w:ascii="Arial" w:hAnsi="Arial" w:cs="Arial"/>
                <w:sz w:val="20"/>
                <w:szCs w:val="20"/>
                <w:lang w:val="en-CA"/>
              </w:rPr>
              <w:t>$</w:t>
            </w:r>
          </w:p>
        </w:tc>
        <w:tc>
          <w:tcPr>
            <w:tcW w:w="1339" w:type="dxa"/>
            <w:tcBorders>
              <w:top w:val="nil"/>
            </w:tcBorders>
            <w:shd w:val="clear" w:color="auto" w:fill="auto"/>
            <w:vAlign w:val="bottom"/>
          </w:tcPr>
          <w:p w14:paraId="349FC25C" w14:textId="77777777" w:rsidR="005C15D5" w:rsidRPr="00DA4360" w:rsidRDefault="005C15D5" w:rsidP="003F6F1A">
            <w:pPr>
              <w:spacing w:after="0" w:line="240" w:lineRule="auto"/>
              <w:jc w:val="right"/>
              <w:rPr>
                <w:rFonts w:ascii="Arial" w:hAnsi="Arial" w:cs="Arial"/>
                <w:sz w:val="20"/>
                <w:szCs w:val="20"/>
                <w:lang w:val="en-CA"/>
              </w:rPr>
            </w:pPr>
            <w:r w:rsidRPr="00DA4360">
              <w:rPr>
                <w:rFonts w:ascii="Arial" w:hAnsi="Arial" w:cs="Arial"/>
                <w:sz w:val="20"/>
                <w:szCs w:val="20"/>
                <w:lang w:val="en-CA"/>
              </w:rPr>
              <w:t>1,419,597</w:t>
            </w:r>
          </w:p>
        </w:tc>
      </w:tr>
    </w:tbl>
    <w:p w14:paraId="65DF5034" w14:textId="77777777" w:rsidR="007F7BF4" w:rsidRPr="004B4490" w:rsidRDefault="007F7BF4" w:rsidP="003F6F1A">
      <w:pPr>
        <w:pStyle w:val="NormalWeb"/>
        <w:spacing w:before="0" w:beforeAutospacing="0" w:after="0" w:afterAutospacing="0"/>
        <w:rPr>
          <w:rFonts w:ascii="Arial" w:hAnsi="Arial" w:cs="Arial"/>
          <w:b/>
          <w:bCs/>
          <w:color w:val="000000"/>
          <w:sz w:val="20"/>
          <w:szCs w:val="20"/>
          <w:highlight w:val="yellow"/>
        </w:rPr>
      </w:pPr>
    </w:p>
    <w:p w14:paraId="69D11547" w14:textId="5E35BE0D" w:rsidR="001F6127" w:rsidRDefault="001F6127" w:rsidP="003F6F1A">
      <w:pPr>
        <w:autoSpaceDE w:val="0"/>
        <w:autoSpaceDN w:val="0"/>
        <w:adjustRightInd w:val="0"/>
        <w:jc w:val="both"/>
        <w:rPr>
          <w:rFonts w:ascii="Arial" w:hAnsi="Arial" w:cs="Arial"/>
          <w:sz w:val="20"/>
          <w:szCs w:val="20"/>
        </w:rPr>
      </w:pPr>
      <w:r w:rsidRPr="001F6127">
        <w:rPr>
          <w:rFonts w:ascii="Arial" w:hAnsi="Arial" w:cs="Arial"/>
          <w:sz w:val="20"/>
          <w:szCs w:val="20"/>
        </w:rPr>
        <w:t>Included in salaries and benefits for the three and six months ended June 30, 2019 is share based compensation of $208,846 (2018 - $477,180) related to common shares awarded to the CEO.</w:t>
      </w:r>
    </w:p>
    <w:p w14:paraId="11628230" w14:textId="70AAF6F5" w:rsidR="00FD6918" w:rsidRDefault="00FD6918" w:rsidP="003F6F1A">
      <w:pPr>
        <w:autoSpaceDE w:val="0"/>
        <w:autoSpaceDN w:val="0"/>
        <w:adjustRightInd w:val="0"/>
        <w:jc w:val="both"/>
        <w:rPr>
          <w:rFonts w:ascii="Arial" w:hAnsi="Arial" w:cs="Arial"/>
          <w:sz w:val="20"/>
          <w:szCs w:val="20"/>
        </w:rPr>
      </w:pPr>
      <w:r w:rsidRPr="00FD6918">
        <w:rPr>
          <w:rFonts w:ascii="Arial" w:hAnsi="Arial" w:cs="Arial"/>
          <w:sz w:val="20"/>
          <w:szCs w:val="20"/>
        </w:rPr>
        <w:t>As at June 30, 2019, $12,57</w:t>
      </w:r>
      <w:r w:rsidR="005265E3">
        <w:rPr>
          <w:rFonts w:ascii="Arial" w:hAnsi="Arial" w:cs="Arial"/>
          <w:sz w:val="20"/>
          <w:szCs w:val="20"/>
        </w:rPr>
        <w:t>5</w:t>
      </w:r>
      <w:r w:rsidRPr="00FD6918">
        <w:rPr>
          <w:rFonts w:ascii="Arial" w:hAnsi="Arial" w:cs="Arial"/>
          <w:sz w:val="20"/>
          <w:szCs w:val="20"/>
        </w:rPr>
        <w:t xml:space="preserve"> (December 31, 2018 - $12,57</w:t>
      </w:r>
      <w:r w:rsidR="005265E3">
        <w:rPr>
          <w:rFonts w:ascii="Arial" w:hAnsi="Arial" w:cs="Arial"/>
          <w:sz w:val="20"/>
          <w:szCs w:val="20"/>
        </w:rPr>
        <w:t>5</w:t>
      </w:r>
      <w:r w:rsidRPr="00FD6918">
        <w:rPr>
          <w:rFonts w:ascii="Arial" w:hAnsi="Arial" w:cs="Arial"/>
          <w:sz w:val="20"/>
          <w:szCs w:val="20"/>
        </w:rPr>
        <w:t xml:space="preserve">) is due to related parties for final settlement of the purchase of Presto operations. The outstanding balance is non-interest bearing, unsecured and due on demand. </w:t>
      </w:r>
    </w:p>
    <w:p w14:paraId="02C46A87" w14:textId="1FCF90EE" w:rsidR="00524611" w:rsidRDefault="00524611" w:rsidP="003F6F1A">
      <w:pPr>
        <w:autoSpaceDE w:val="0"/>
        <w:autoSpaceDN w:val="0"/>
        <w:adjustRightInd w:val="0"/>
        <w:jc w:val="both"/>
        <w:rPr>
          <w:rFonts w:ascii="Arial" w:hAnsi="Arial" w:cs="Arial"/>
          <w:sz w:val="20"/>
          <w:szCs w:val="20"/>
        </w:rPr>
      </w:pPr>
    </w:p>
    <w:p w14:paraId="5D3C4FAA" w14:textId="77777777" w:rsidR="00524611" w:rsidRPr="00FD6918" w:rsidRDefault="00524611" w:rsidP="003F6F1A">
      <w:pPr>
        <w:autoSpaceDE w:val="0"/>
        <w:autoSpaceDN w:val="0"/>
        <w:adjustRightInd w:val="0"/>
        <w:jc w:val="both"/>
        <w:rPr>
          <w:rFonts w:ascii="Arial" w:hAnsi="Arial" w:cs="Arial"/>
          <w:sz w:val="20"/>
          <w:szCs w:val="20"/>
        </w:rPr>
      </w:pPr>
    </w:p>
    <w:p w14:paraId="0B292A28" w14:textId="78F7C323" w:rsidR="00A353D2" w:rsidRDefault="00524611" w:rsidP="003F6F1A">
      <w:pPr>
        <w:pStyle w:val="NormalWeb"/>
        <w:pBdr>
          <w:bottom w:val="single" w:sz="12" w:space="1" w:color="auto"/>
        </w:pBdr>
        <w:spacing w:before="0" w:beforeAutospacing="0" w:after="0" w:afterAutospacing="0"/>
        <w:rPr>
          <w:rFonts w:ascii="Arial" w:hAnsi="Arial" w:cs="Arial"/>
          <w:b/>
          <w:bCs/>
          <w:color w:val="000000"/>
          <w:sz w:val="20"/>
          <w:szCs w:val="20"/>
        </w:rPr>
      </w:pPr>
      <w:r>
        <w:rPr>
          <w:rFonts w:ascii="Arial" w:hAnsi="Arial" w:cs="Arial"/>
          <w:b/>
          <w:bCs/>
          <w:color w:val="000000"/>
          <w:sz w:val="20"/>
          <w:szCs w:val="20"/>
        </w:rPr>
        <w:lastRenderedPageBreak/>
        <w:br/>
      </w:r>
      <w:r w:rsidR="00A353D2">
        <w:rPr>
          <w:rFonts w:ascii="Arial" w:hAnsi="Arial" w:cs="Arial"/>
          <w:b/>
          <w:bCs/>
          <w:color w:val="000000"/>
          <w:sz w:val="20"/>
          <w:szCs w:val="20"/>
        </w:rPr>
        <w:t>INTERNATIONAL FINANCIAL REPORTING STANDARDS</w:t>
      </w:r>
    </w:p>
    <w:p w14:paraId="4542F548" w14:textId="77777777" w:rsidR="00A353D2" w:rsidRDefault="00A353D2" w:rsidP="003F6F1A">
      <w:pPr>
        <w:pStyle w:val="NormalWeb"/>
        <w:spacing w:before="0" w:beforeAutospacing="0" w:after="0" w:afterAutospacing="0"/>
        <w:rPr>
          <w:rFonts w:ascii="Arial" w:hAnsi="Arial" w:cs="Arial"/>
          <w:b/>
          <w:bCs/>
          <w:color w:val="000000"/>
          <w:sz w:val="20"/>
          <w:szCs w:val="20"/>
        </w:rPr>
      </w:pPr>
    </w:p>
    <w:p w14:paraId="34C8A033" w14:textId="77777777" w:rsidR="00A353D2" w:rsidRPr="00A353D2" w:rsidRDefault="00A353D2" w:rsidP="003F6F1A">
      <w:pPr>
        <w:spacing w:after="0"/>
        <w:jc w:val="both"/>
        <w:rPr>
          <w:rFonts w:ascii="Arial" w:hAnsi="Arial" w:cs="Arial"/>
          <w:sz w:val="20"/>
          <w:szCs w:val="20"/>
        </w:rPr>
      </w:pPr>
      <w:r w:rsidRPr="00A353D2">
        <w:rPr>
          <w:rFonts w:ascii="Arial" w:hAnsi="Arial" w:cs="Arial"/>
          <w:sz w:val="20"/>
          <w:szCs w:val="20"/>
        </w:rPr>
        <w:t xml:space="preserve">The </w:t>
      </w:r>
      <w:r w:rsidR="004B4490">
        <w:rPr>
          <w:rFonts w:ascii="Arial" w:hAnsi="Arial" w:cs="Arial"/>
          <w:sz w:val="20"/>
          <w:szCs w:val="20"/>
        </w:rPr>
        <w:t>c</w:t>
      </w:r>
      <w:r w:rsidRPr="00A353D2">
        <w:rPr>
          <w:rFonts w:ascii="Arial" w:hAnsi="Arial" w:cs="Arial"/>
          <w:sz w:val="20"/>
          <w:szCs w:val="20"/>
        </w:rPr>
        <w:t xml:space="preserve">onsolidated financial statements have been prepared in accordance with IFRS as issued by the IASB, effective as of </w:t>
      </w:r>
      <w:r w:rsidR="004B4490">
        <w:rPr>
          <w:rFonts w:ascii="Arial" w:hAnsi="Arial" w:cs="Arial"/>
          <w:sz w:val="20"/>
          <w:szCs w:val="20"/>
        </w:rPr>
        <w:t>June 30</w:t>
      </w:r>
      <w:r w:rsidR="003C5740">
        <w:rPr>
          <w:rFonts w:ascii="Arial" w:hAnsi="Arial" w:cs="Arial"/>
          <w:sz w:val="20"/>
          <w:szCs w:val="20"/>
        </w:rPr>
        <w:t>, 2019</w:t>
      </w:r>
      <w:r w:rsidRPr="00A353D2">
        <w:rPr>
          <w:rFonts w:ascii="Arial" w:hAnsi="Arial" w:cs="Arial"/>
          <w:sz w:val="20"/>
          <w:szCs w:val="20"/>
        </w:rPr>
        <w:t xml:space="preserve">. The Company’s significant accounting policies are described in note </w:t>
      </w:r>
      <w:r w:rsidR="00DC37FE">
        <w:rPr>
          <w:rFonts w:ascii="Arial" w:hAnsi="Arial" w:cs="Arial"/>
          <w:sz w:val="20"/>
          <w:szCs w:val="20"/>
        </w:rPr>
        <w:t>3</w:t>
      </w:r>
      <w:r w:rsidRPr="00A353D2">
        <w:rPr>
          <w:rFonts w:ascii="Arial" w:hAnsi="Arial" w:cs="Arial"/>
          <w:sz w:val="20"/>
          <w:szCs w:val="20"/>
        </w:rPr>
        <w:t xml:space="preserve"> of the Company’s consolidated financial statements for the years ended December 31, 201</w:t>
      </w:r>
      <w:r>
        <w:rPr>
          <w:rFonts w:ascii="Arial" w:hAnsi="Arial" w:cs="Arial"/>
          <w:sz w:val="20"/>
          <w:szCs w:val="20"/>
        </w:rPr>
        <w:t>8</w:t>
      </w:r>
      <w:r w:rsidRPr="00A353D2">
        <w:rPr>
          <w:rFonts w:ascii="Arial" w:hAnsi="Arial" w:cs="Arial"/>
          <w:sz w:val="20"/>
          <w:szCs w:val="20"/>
        </w:rPr>
        <w:t xml:space="preserve"> and 201</w:t>
      </w:r>
      <w:r>
        <w:rPr>
          <w:rFonts w:ascii="Arial" w:hAnsi="Arial" w:cs="Arial"/>
          <w:sz w:val="20"/>
          <w:szCs w:val="20"/>
        </w:rPr>
        <w:t>7</w:t>
      </w:r>
      <w:r w:rsidR="00F56B6B">
        <w:rPr>
          <w:rFonts w:ascii="Arial" w:hAnsi="Arial" w:cs="Arial"/>
          <w:sz w:val="20"/>
          <w:szCs w:val="20"/>
        </w:rPr>
        <w:t xml:space="preserve"> and note 3 to the </w:t>
      </w:r>
      <w:r w:rsidR="004B4490">
        <w:rPr>
          <w:rFonts w:ascii="Arial" w:hAnsi="Arial" w:cs="Arial"/>
          <w:sz w:val="20"/>
          <w:szCs w:val="20"/>
        </w:rPr>
        <w:t>June 30</w:t>
      </w:r>
      <w:r w:rsidR="00F56B6B">
        <w:rPr>
          <w:rFonts w:ascii="Arial" w:hAnsi="Arial" w:cs="Arial"/>
          <w:sz w:val="20"/>
          <w:szCs w:val="20"/>
        </w:rPr>
        <w:t>, 2019 unaudited interim condensed consolidated financial statements.</w:t>
      </w:r>
    </w:p>
    <w:p w14:paraId="6CD4E315" w14:textId="77777777" w:rsidR="001D7767" w:rsidRDefault="001D7767" w:rsidP="003F6F1A">
      <w:pPr>
        <w:pStyle w:val="NormalWeb"/>
        <w:pBdr>
          <w:bottom w:val="single" w:sz="12" w:space="1" w:color="auto"/>
        </w:pBdr>
        <w:spacing w:before="0" w:beforeAutospacing="0" w:after="0" w:afterAutospacing="0"/>
        <w:rPr>
          <w:rFonts w:ascii="Arial" w:hAnsi="Arial" w:cs="Arial"/>
          <w:b/>
          <w:bCs/>
          <w:color w:val="000000"/>
          <w:sz w:val="20"/>
          <w:szCs w:val="20"/>
        </w:rPr>
      </w:pPr>
    </w:p>
    <w:p w14:paraId="3E189F9B" w14:textId="77777777" w:rsidR="00B96480" w:rsidRPr="00BE1DF8" w:rsidRDefault="00A353D2" w:rsidP="003F6F1A">
      <w:pPr>
        <w:pStyle w:val="NormalWeb"/>
        <w:pBdr>
          <w:bottom w:val="single" w:sz="12" w:space="1" w:color="auto"/>
        </w:pBdr>
        <w:spacing w:before="0" w:beforeAutospacing="0" w:after="0" w:afterAutospacing="0"/>
        <w:rPr>
          <w:rFonts w:ascii="Arial" w:hAnsi="Arial" w:cs="Arial"/>
          <w:b/>
          <w:bCs/>
          <w:color w:val="000000"/>
          <w:sz w:val="20"/>
          <w:szCs w:val="20"/>
        </w:rPr>
      </w:pPr>
      <w:r w:rsidRPr="00BE1DF8">
        <w:rPr>
          <w:rFonts w:ascii="Arial" w:hAnsi="Arial" w:cs="Arial"/>
          <w:b/>
          <w:bCs/>
          <w:color w:val="000000"/>
          <w:sz w:val="20"/>
          <w:szCs w:val="20"/>
        </w:rPr>
        <w:t>CRITICAL ACCOUNTING POLICIES AND ESTIMATES</w:t>
      </w:r>
    </w:p>
    <w:p w14:paraId="51AFC444" w14:textId="77777777" w:rsidR="00BE1DF8" w:rsidRDefault="00BE1DF8" w:rsidP="003F6F1A">
      <w:pPr>
        <w:spacing w:after="0"/>
        <w:jc w:val="both"/>
        <w:rPr>
          <w:rFonts w:ascii="Arial" w:hAnsi="Arial" w:cs="Arial"/>
          <w:sz w:val="20"/>
          <w:szCs w:val="20"/>
        </w:rPr>
      </w:pPr>
    </w:p>
    <w:p w14:paraId="5F093F11" w14:textId="77777777" w:rsidR="00413B6E" w:rsidRDefault="00413B6E" w:rsidP="003F6F1A">
      <w:pPr>
        <w:spacing w:after="0"/>
        <w:jc w:val="both"/>
        <w:rPr>
          <w:rFonts w:ascii="Arial" w:hAnsi="Arial" w:cs="Arial"/>
          <w:sz w:val="20"/>
          <w:szCs w:val="20"/>
        </w:rPr>
      </w:pPr>
      <w:r w:rsidRPr="00413B6E">
        <w:rPr>
          <w:rFonts w:ascii="Arial" w:hAnsi="Arial" w:cs="Arial"/>
          <w:sz w:val="20"/>
          <w:szCs w:val="20"/>
        </w:rPr>
        <w:t>The preparation of the Company’s consolidated financial statements in conformity with IFRS requires management to make estimates based on assumptions about future events that affect the reported amounts of assets and liabilities and disclosures of contingent assets and liabilities at the date of the financial statements and the reported amounts of revenues and expenses during the reporting period.</w:t>
      </w:r>
    </w:p>
    <w:p w14:paraId="00C54B44" w14:textId="77777777" w:rsidR="00413B6E" w:rsidRDefault="00413B6E" w:rsidP="003F6F1A">
      <w:pPr>
        <w:spacing w:after="0"/>
        <w:jc w:val="both"/>
        <w:rPr>
          <w:rFonts w:ascii="Arial" w:hAnsi="Arial" w:cs="Arial"/>
          <w:sz w:val="20"/>
          <w:szCs w:val="20"/>
        </w:rPr>
      </w:pPr>
    </w:p>
    <w:p w14:paraId="2BE52C3F" w14:textId="77777777" w:rsidR="00413B6E" w:rsidRDefault="00413B6E" w:rsidP="003F6F1A">
      <w:pPr>
        <w:spacing w:after="0"/>
        <w:jc w:val="both"/>
        <w:rPr>
          <w:rFonts w:ascii="Arial" w:hAnsi="Arial" w:cs="Arial"/>
          <w:sz w:val="20"/>
          <w:szCs w:val="20"/>
        </w:rPr>
      </w:pPr>
      <w:r w:rsidRPr="00413B6E">
        <w:rPr>
          <w:rFonts w:ascii="Arial" w:hAnsi="Arial" w:cs="Arial"/>
          <w:sz w:val="20"/>
          <w:szCs w:val="20"/>
        </w:rPr>
        <w:t>The estimates and associated assumptions are based on historical experience and various other factors that are believed to be reasonable under the circumstances, the results of which form the basis of making the judgements about carrying values of assets and liabilities that are not readily apparent from other sources. Actual results could differ from those estimates. The estimates and underlying assumptions are reviewed on an ongoing basis. Revisions to accounting estimates are recognized prospectively in the period in which the estimate is revised. Management has made the following critical judgements and estimates:</w:t>
      </w:r>
    </w:p>
    <w:p w14:paraId="11DF3DBD" w14:textId="77777777" w:rsidR="00D127FC" w:rsidRDefault="00D127FC" w:rsidP="003F6F1A">
      <w:pPr>
        <w:spacing w:after="0"/>
        <w:jc w:val="both"/>
        <w:rPr>
          <w:rFonts w:ascii="Arial" w:hAnsi="Arial" w:cs="Arial"/>
          <w:b/>
          <w:i/>
          <w:sz w:val="20"/>
          <w:szCs w:val="20"/>
          <w:u w:val="single"/>
        </w:rPr>
      </w:pPr>
    </w:p>
    <w:p w14:paraId="3C503A43" w14:textId="77777777" w:rsidR="00413B6E" w:rsidRPr="00413B6E" w:rsidRDefault="00413B6E" w:rsidP="003F6F1A">
      <w:pPr>
        <w:spacing w:after="0"/>
        <w:jc w:val="both"/>
        <w:rPr>
          <w:rFonts w:ascii="Arial" w:hAnsi="Arial" w:cs="Arial"/>
          <w:b/>
          <w:i/>
          <w:sz w:val="20"/>
          <w:szCs w:val="20"/>
          <w:u w:val="single"/>
        </w:rPr>
      </w:pPr>
      <w:r w:rsidRPr="00413B6E">
        <w:rPr>
          <w:rFonts w:ascii="Arial" w:hAnsi="Arial" w:cs="Arial"/>
          <w:b/>
          <w:i/>
          <w:sz w:val="20"/>
          <w:szCs w:val="20"/>
          <w:u w:val="single"/>
        </w:rPr>
        <w:t>Critical judgements in applying accounting policies</w:t>
      </w:r>
    </w:p>
    <w:p w14:paraId="6CD8002E" w14:textId="77777777" w:rsidR="00413B6E" w:rsidRPr="00413B6E" w:rsidRDefault="00413B6E" w:rsidP="003F6F1A">
      <w:pPr>
        <w:spacing w:after="0"/>
        <w:jc w:val="both"/>
        <w:rPr>
          <w:rFonts w:ascii="Arial" w:hAnsi="Arial" w:cs="Arial"/>
          <w:sz w:val="20"/>
          <w:szCs w:val="20"/>
        </w:rPr>
      </w:pPr>
    </w:p>
    <w:p w14:paraId="358BD328" w14:textId="77777777" w:rsidR="00DA05F7" w:rsidRDefault="00413B6E" w:rsidP="003F6F1A">
      <w:pPr>
        <w:spacing w:after="0"/>
        <w:jc w:val="both"/>
        <w:rPr>
          <w:rFonts w:ascii="Arial" w:hAnsi="Arial" w:cs="Arial"/>
          <w:sz w:val="20"/>
          <w:szCs w:val="20"/>
        </w:rPr>
      </w:pPr>
      <w:r w:rsidRPr="00413B6E">
        <w:rPr>
          <w:rFonts w:ascii="Arial" w:hAnsi="Arial" w:cs="Arial"/>
          <w:sz w:val="20"/>
          <w:szCs w:val="20"/>
        </w:rPr>
        <w:t xml:space="preserve">Critical judgements made by management in applying the Company’s accounting policies, apart from those involving estimations, that have the most significant </w:t>
      </w:r>
      <w:r w:rsidR="002D1846" w:rsidRPr="00413B6E">
        <w:rPr>
          <w:rFonts w:ascii="Arial" w:hAnsi="Arial" w:cs="Arial"/>
          <w:sz w:val="20"/>
          <w:szCs w:val="20"/>
        </w:rPr>
        <w:t>effect</w:t>
      </w:r>
      <w:r w:rsidRPr="00413B6E">
        <w:rPr>
          <w:rFonts w:ascii="Arial" w:hAnsi="Arial" w:cs="Arial"/>
          <w:sz w:val="20"/>
          <w:szCs w:val="20"/>
        </w:rPr>
        <w:t xml:space="preserve"> on the amounts recognized in the Company’s consolidated financial statements are as follows: </w:t>
      </w:r>
    </w:p>
    <w:p w14:paraId="5030757B" w14:textId="77777777" w:rsidR="00DA05F7" w:rsidRDefault="00DA05F7" w:rsidP="003F6F1A">
      <w:pPr>
        <w:spacing w:after="0"/>
        <w:jc w:val="both"/>
        <w:rPr>
          <w:rFonts w:ascii="Arial" w:hAnsi="Arial" w:cs="Arial"/>
          <w:sz w:val="20"/>
          <w:szCs w:val="20"/>
        </w:rPr>
      </w:pPr>
    </w:p>
    <w:p w14:paraId="6E17C241" w14:textId="77777777" w:rsidR="00413B6E" w:rsidRDefault="00413B6E" w:rsidP="003F6F1A">
      <w:pPr>
        <w:spacing w:after="0"/>
        <w:jc w:val="both"/>
        <w:rPr>
          <w:rFonts w:ascii="Arial" w:hAnsi="Arial" w:cs="Arial"/>
          <w:sz w:val="20"/>
          <w:szCs w:val="20"/>
          <w:u w:val="single"/>
        </w:rPr>
      </w:pPr>
      <w:r w:rsidRPr="00413B6E">
        <w:rPr>
          <w:rFonts w:ascii="Arial" w:hAnsi="Arial" w:cs="Arial"/>
          <w:sz w:val="20"/>
          <w:szCs w:val="20"/>
          <w:u w:val="single"/>
        </w:rPr>
        <w:t xml:space="preserve">Functional currency </w:t>
      </w:r>
    </w:p>
    <w:p w14:paraId="7FF67BF9" w14:textId="77777777" w:rsidR="00974012" w:rsidRPr="00413B6E" w:rsidRDefault="00974012" w:rsidP="003F6F1A">
      <w:pPr>
        <w:spacing w:after="0"/>
        <w:jc w:val="both"/>
        <w:rPr>
          <w:rFonts w:ascii="Arial" w:hAnsi="Arial" w:cs="Arial"/>
          <w:sz w:val="20"/>
          <w:szCs w:val="20"/>
          <w:u w:val="single"/>
        </w:rPr>
      </w:pPr>
    </w:p>
    <w:p w14:paraId="208417E6" w14:textId="77777777" w:rsidR="00413B6E" w:rsidRDefault="00413B6E" w:rsidP="003F6F1A">
      <w:pPr>
        <w:spacing w:after="0"/>
        <w:jc w:val="both"/>
        <w:rPr>
          <w:rFonts w:ascii="Arial" w:hAnsi="Arial" w:cs="Arial"/>
          <w:sz w:val="20"/>
          <w:szCs w:val="20"/>
        </w:rPr>
      </w:pPr>
      <w:r w:rsidRPr="00413B6E">
        <w:rPr>
          <w:rFonts w:ascii="Arial" w:hAnsi="Arial" w:cs="Arial"/>
          <w:sz w:val="20"/>
          <w:szCs w:val="20"/>
        </w:rPr>
        <w:t>The functional currency for each of the Company’s subsidiaries is the currency of the primary economic environment in which the respective entity operates; the Company has determined the functional currency of each entity to be the US dollar. Such determination involves certain judgements to identify the primary economic environment. The Company reconsiders the functional currency of its subsidiaries if there is a change in events and/or conditions which determine the primary economic environment.</w:t>
      </w:r>
    </w:p>
    <w:p w14:paraId="069595C5" w14:textId="77777777" w:rsidR="000964C8" w:rsidRDefault="000964C8" w:rsidP="003F6F1A">
      <w:pPr>
        <w:spacing w:after="0"/>
        <w:jc w:val="both"/>
        <w:rPr>
          <w:rFonts w:ascii="Arial" w:hAnsi="Arial" w:cs="Arial"/>
          <w:sz w:val="20"/>
          <w:szCs w:val="20"/>
        </w:rPr>
      </w:pPr>
    </w:p>
    <w:p w14:paraId="339F576C" w14:textId="77777777" w:rsidR="000964C8" w:rsidRDefault="000964C8" w:rsidP="003F6F1A">
      <w:pPr>
        <w:spacing w:after="0"/>
        <w:jc w:val="both"/>
        <w:rPr>
          <w:rFonts w:ascii="Arial" w:hAnsi="Arial" w:cs="Arial"/>
          <w:sz w:val="20"/>
          <w:szCs w:val="20"/>
          <w:u w:val="single"/>
        </w:rPr>
      </w:pPr>
      <w:r w:rsidRPr="000964C8">
        <w:rPr>
          <w:rFonts w:ascii="Arial" w:hAnsi="Arial" w:cs="Arial"/>
          <w:sz w:val="20"/>
          <w:szCs w:val="20"/>
          <w:u w:val="single"/>
        </w:rPr>
        <w:t>Assessment of indicators of impairment</w:t>
      </w:r>
    </w:p>
    <w:p w14:paraId="137D36A2" w14:textId="77777777" w:rsidR="00974012" w:rsidRPr="000964C8" w:rsidRDefault="00974012" w:rsidP="003F6F1A">
      <w:pPr>
        <w:spacing w:after="0"/>
        <w:jc w:val="both"/>
        <w:rPr>
          <w:rFonts w:ascii="Arial" w:hAnsi="Arial" w:cs="Arial"/>
          <w:sz w:val="20"/>
          <w:szCs w:val="20"/>
          <w:u w:val="single"/>
        </w:rPr>
      </w:pPr>
    </w:p>
    <w:p w14:paraId="02E98E33" w14:textId="77777777" w:rsidR="000964C8" w:rsidRDefault="000964C8" w:rsidP="003F6F1A">
      <w:pPr>
        <w:spacing w:after="0"/>
        <w:jc w:val="both"/>
        <w:rPr>
          <w:rFonts w:ascii="Arial" w:hAnsi="Arial" w:cs="Arial"/>
          <w:sz w:val="20"/>
          <w:szCs w:val="20"/>
        </w:rPr>
      </w:pPr>
      <w:r w:rsidRPr="000964C8">
        <w:rPr>
          <w:rFonts w:ascii="Arial" w:hAnsi="Arial" w:cs="Arial"/>
          <w:sz w:val="20"/>
          <w:szCs w:val="20"/>
        </w:rPr>
        <w:t>At the end of each reporting period, the Company assesses whether there are any indicators, from external and internal sources of information, that an asset or cash generating unit (“CGU”) may be impaired, thereby requiring adjustment to the carrying value. The Company identified the sustained decrease in market capitalization as an indicator of impairment during the</w:t>
      </w:r>
      <w:r w:rsidR="003C5740">
        <w:rPr>
          <w:rFonts w:ascii="Arial" w:hAnsi="Arial" w:cs="Arial"/>
          <w:sz w:val="20"/>
          <w:szCs w:val="20"/>
        </w:rPr>
        <w:t xml:space="preserve"> period</w:t>
      </w:r>
      <w:r w:rsidRPr="000964C8">
        <w:rPr>
          <w:rFonts w:ascii="Arial" w:hAnsi="Arial" w:cs="Arial"/>
          <w:sz w:val="20"/>
          <w:szCs w:val="20"/>
        </w:rPr>
        <w:t xml:space="preserve"> ended </w:t>
      </w:r>
      <w:r w:rsidR="004B4490">
        <w:rPr>
          <w:rFonts w:ascii="Arial" w:hAnsi="Arial" w:cs="Arial"/>
          <w:sz w:val="20"/>
          <w:szCs w:val="20"/>
        </w:rPr>
        <w:t>June 30</w:t>
      </w:r>
      <w:r w:rsidRPr="000964C8">
        <w:rPr>
          <w:rFonts w:ascii="Arial" w:hAnsi="Arial" w:cs="Arial"/>
          <w:sz w:val="20"/>
          <w:szCs w:val="20"/>
        </w:rPr>
        <w:t>, 201</w:t>
      </w:r>
      <w:r w:rsidR="003C5740">
        <w:rPr>
          <w:rFonts w:ascii="Arial" w:hAnsi="Arial" w:cs="Arial"/>
          <w:sz w:val="20"/>
          <w:szCs w:val="20"/>
        </w:rPr>
        <w:t>9</w:t>
      </w:r>
      <w:r w:rsidRPr="000964C8">
        <w:rPr>
          <w:rFonts w:ascii="Arial" w:hAnsi="Arial" w:cs="Arial"/>
          <w:sz w:val="20"/>
          <w:szCs w:val="20"/>
        </w:rPr>
        <w:t xml:space="preserve">. </w:t>
      </w:r>
    </w:p>
    <w:p w14:paraId="5500E456" w14:textId="77777777" w:rsidR="000964C8" w:rsidRDefault="000964C8" w:rsidP="003F6F1A">
      <w:pPr>
        <w:spacing w:after="0"/>
        <w:jc w:val="both"/>
        <w:rPr>
          <w:rFonts w:ascii="Arial" w:hAnsi="Arial" w:cs="Arial"/>
          <w:sz w:val="20"/>
          <w:szCs w:val="20"/>
        </w:rPr>
      </w:pPr>
    </w:p>
    <w:p w14:paraId="1E449EB9" w14:textId="77777777" w:rsidR="000964C8" w:rsidRPr="000964C8" w:rsidRDefault="000964C8" w:rsidP="003F6F1A">
      <w:pPr>
        <w:spacing w:after="0"/>
        <w:jc w:val="both"/>
        <w:rPr>
          <w:rFonts w:ascii="Arial" w:hAnsi="Arial" w:cs="Arial"/>
          <w:sz w:val="20"/>
          <w:szCs w:val="20"/>
        </w:rPr>
      </w:pPr>
      <w:r w:rsidRPr="000964C8">
        <w:rPr>
          <w:rFonts w:ascii="Arial" w:hAnsi="Arial" w:cs="Arial"/>
          <w:sz w:val="20"/>
          <w:szCs w:val="20"/>
        </w:rPr>
        <w:t>As a result of these impairment indicators, the Company assessed the intangible assets and assets held for sale CGUs for impairment and concluded the recoverable value of each CGU was greater than its carrying value and no impairment was required.</w:t>
      </w:r>
    </w:p>
    <w:p w14:paraId="4989E3C4" w14:textId="77777777" w:rsidR="00FE554B" w:rsidRDefault="00FE554B" w:rsidP="003F6F1A">
      <w:pPr>
        <w:spacing w:after="0"/>
        <w:jc w:val="both"/>
        <w:rPr>
          <w:rFonts w:ascii="Arial" w:hAnsi="Arial" w:cs="Arial"/>
          <w:sz w:val="20"/>
          <w:szCs w:val="20"/>
          <w:highlight w:val="yellow"/>
        </w:rPr>
      </w:pPr>
    </w:p>
    <w:p w14:paraId="7516AA8A" w14:textId="77777777" w:rsidR="00524611" w:rsidRDefault="00524611" w:rsidP="003F6F1A">
      <w:pPr>
        <w:spacing w:after="0"/>
        <w:jc w:val="both"/>
        <w:rPr>
          <w:rFonts w:ascii="Arial" w:hAnsi="Arial" w:cs="Arial"/>
          <w:sz w:val="20"/>
          <w:szCs w:val="20"/>
          <w:u w:val="single"/>
        </w:rPr>
      </w:pPr>
    </w:p>
    <w:p w14:paraId="73DC82FD" w14:textId="77777777" w:rsidR="00524611" w:rsidRDefault="00524611" w:rsidP="003F6F1A">
      <w:pPr>
        <w:spacing w:after="0"/>
        <w:jc w:val="both"/>
        <w:rPr>
          <w:rFonts w:ascii="Arial" w:hAnsi="Arial" w:cs="Arial"/>
          <w:sz w:val="20"/>
          <w:szCs w:val="20"/>
          <w:u w:val="single"/>
        </w:rPr>
      </w:pPr>
    </w:p>
    <w:p w14:paraId="4DEF63AB" w14:textId="05CD30F4" w:rsidR="00524611" w:rsidRDefault="00524611" w:rsidP="003F6F1A">
      <w:pPr>
        <w:spacing w:after="0"/>
        <w:jc w:val="both"/>
        <w:rPr>
          <w:rFonts w:ascii="Arial" w:hAnsi="Arial" w:cs="Arial"/>
          <w:sz w:val="20"/>
          <w:szCs w:val="20"/>
          <w:u w:val="single"/>
        </w:rPr>
      </w:pPr>
    </w:p>
    <w:p w14:paraId="2BDBBB29" w14:textId="77777777" w:rsidR="00524611" w:rsidRDefault="00524611" w:rsidP="003F6F1A">
      <w:pPr>
        <w:spacing w:after="0"/>
        <w:jc w:val="both"/>
        <w:rPr>
          <w:rFonts w:ascii="Arial" w:hAnsi="Arial" w:cs="Arial"/>
          <w:sz w:val="20"/>
          <w:szCs w:val="20"/>
          <w:u w:val="single"/>
        </w:rPr>
      </w:pPr>
    </w:p>
    <w:p w14:paraId="77AEE4BA" w14:textId="77777777" w:rsidR="00524611" w:rsidRDefault="00524611" w:rsidP="003F6F1A">
      <w:pPr>
        <w:spacing w:after="0"/>
        <w:jc w:val="both"/>
        <w:rPr>
          <w:rFonts w:ascii="Arial" w:hAnsi="Arial" w:cs="Arial"/>
          <w:sz w:val="20"/>
          <w:szCs w:val="20"/>
          <w:u w:val="single"/>
        </w:rPr>
      </w:pPr>
    </w:p>
    <w:p w14:paraId="49F3B7C2" w14:textId="2C47142B" w:rsidR="00413B6E" w:rsidRPr="00413B6E" w:rsidRDefault="00413B6E" w:rsidP="003F6F1A">
      <w:pPr>
        <w:spacing w:after="0"/>
        <w:jc w:val="both"/>
        <w:rPr>
          <w:rFonts w:ascii="Arial" w:hAnsi="Arial" w:cs="Arial"/>
          <w:sz w:val="20"/>
          <w:szCs w:val="20"/>
          <w:u w:val="single"/>
        </w:rPr>
      </w:pPr>
      <w:r w:rsidRPr="00413B6E">
        <w:rPr>
          <w:rFonts w:ascii="Arial" w:hAnsi="Arial" w:cs="Arial"/>
          <w:sz w:val="20"/>
          <w:szCs w:val="20"/>
          <w:u w:val="single"/>
        </w:rPr>
        <w:t xml:space="preserve">Revenue recognition as a result of adopting IFRS 15 </w:t>
      </w:r>
    </w:p>
    <w:p w14:paraId="25DD7A59" w14:textId="77777777" w:rsidR="00413B6E" w:rsidRDefault="00413B6E" w:rsidP="003F6F1A">
      <w:pPr>
        <w:spacing w:after="0"/>
        <w:jc w:val="both"/>
        <w:rPr>
          <w:rFonts w:ascii="Arial" w:hAnsi="Arial" w:cs="Arial"/>
          <w:sz w:val="20"/>
          <w:szCs w:val="20"/>
        </w:rPr>
      </w:pPr>
    </w:p>
    <w:p w14:paraId="3CAB7F40" w14:textId="77777777" w:rsidR="00413B6E" w:rsidRPr="00413B6E" w:rsidRDefault="00413B6E" w:rsidP="003F6F1A">
      <w:pPr>
        <w:spacing w:after="0"/>
        <w:jc w:val="both"/>
        <w:rPr>
          <w:rFonts w:ascii="Arial" w:hAnsi="Arial" w:cs="Arial"/>
          <w:i/>
          <w:sz w:val="20"/>
          <w:szCs w:val="20"/>
        </w:rPr>
      </w:pPr>
      <w:r w:rsidRPr="00413B6E">
        <w:rPr>
          <w:rFonts w:ascii="Arial" w:hAnsi="Arial" w:cs="Arial"/>
          <w:i/>
          <w:sz w:val="20"/>
          <w:szCs w:val="20"/>
        </w:rPr>
        <w:t xml:space="preserve">Determination of performance obligations </w:t>
      </w:r>
    </w:p>
    <w:p w14:paraId="1A3D88B4" w14:textId="77777777" w:rsidR="00413B6E" w:rsidRDefault="00413B6E" w:rsidP="003F6F1A">
      <w:pPr>
        <w:spacing w:after="0"/>
        <w:jc w:val="both"/>
        <w:rPr>
          <w:rFonts w:ascii="Arial" w:hAnsi="Arial" w:cs="Arial"/>
          <w:sz w:val="20"/>
          <w:szCs w:val="20"/>
        </w:rPr>
      </w:pPr>
      <w:r w:rsidRPr="00413B6E">
        <w:rPr>
          <w:rFonts w:ascii="Arial" w:hAnsi="Arial" w:cs="Arial"/>
          <w:sz w:val="20"/>
          <w:szCs w:val="20"/>
        </w:rPr>
        <w:t xml:space="preserve">The Company applied judgement to determine if a good or service that is promised to a customer is distinct based on whether the customer can benefit from the good or service on its own or together with other readily available resources and whether the good or service is separately identifiable. Based on these criteria, the Company determined the primary performance obligation relating to its sales contracts is the </w:t>
      </w:r>
      <w:r>
        <w:rPr>
          <w:rFonts w:ascii="Arial" w:hAnsi="Arial" w:cs="Arial"/>
          <w:sz w:val="20"/>
          <w:szCs w:val="20"/>
        </w:rPr>
        <w:t>delivery of service to its patients</w:t>
      </w:r>
      <w:r w:rsidRPr="00413B6E">
        <w:rPr>
          <w:rFonts w:ascii="Arial" w:hAnsi="Arial" w:cs="Arial"/>
          <w:sz w:val="20"/>
          <w:szCs w:val="20"/>
        </w:rPr>
        <w:t>.</w:t>
      </w:r>
    </w:p>
    <w:p w14:paraId="73CA1703" w14:textId="77777777" w:rsidR="001D7767" w:rsidRDefault="001D7767" w:rsidP="003F6F1A">
      <w:pPr>
        <w:spacing w:after="0"/>
        <w:jc w:val="both"/>
        <w:rPr>
          <w:rFonts w:ascii="Arial" w:hAnsi="Arial" w:cs="Arial"/>
          <w:i/>
          <w:sz w:val="20"/>
          <w:szCs w:val="20"/>
        </w:rPr>
      </w:pPr>
    </w:p>
    <w:p w14:paraId="2AE1BFFC" w14:textId="77777777" w:rsidR="00413B6E" w:rsidRPr="00413B6E" w:rsidRDefault="00413B6E" w:rsidP="003F6F1A">
      <w:pPr>
        <w:spacing w:after="0"/>
        <w:jc w:val="both"/>
        <w:rPr>
          <w:rFonts w:ascii="Arial" w:hAnsi="Arial" w:cs="Arial"/>
          <w:i/>
          <w:sz w:val="20"/>
          <w:szCs w:val="20"/>
        </w:rPr>
      </w:pPr>
      <w:r w:rsidRPr="00413B6E">
        <w:rPr>
          <w:rFonts w:ascii="Arial" w:hAnsi="Arial" w:cs="Arial"/>
          <w:i/>
          <w:sz w:val="20"/>
          <w:szCs w:val="20"/>
        </w:rPr>
        <w:t xml:space="preserve">Transfer of control </w:t>
      </w:r>
    </w:p>
    <w:p w14:paraId="318EDD9F" w14:textId="77777777" w:rsidR="00413B6E" w:rsidRDefault="00413B6E" w:rsidP="003F6F1A">
      <w:pPr>
        <w:spacing w:after="0"/>
        <w:jc w:val="both"/>
        <w:rPr>
          <w:rFonts w:ascii="Arial" w:hAnsi="Arial" w:cs="Arial"/>
          <w:sz w:val="20"/>
          <w:szCs w:val="20"/>
        </w:rPr>
      </w:pPr>
      <w:r w:rsidRPr="00413B6E">
        <w:rPr>
          <w:rFonts w:ascii="Arial" w:hAnsi="Arial" w:cs="Arial"/>
          <w:sz w:val="20"/>
          <w:szCs w:val="20"/>
        </w:rPr>
        <w:t xml:space="preserve">Judgement is </w:t>
      </w:r>
      <w:r w:rsidRPr="00EC269B">
        <w:rPr>
          <w:rFonts w:ascii="Arial" w:hAnsi="Arial" w:cs="Arial"/>
          <w:sz w:val="20"/>
          <w:szCs w:val="20"/>
        </w:rPr>
        <w:t xml:space="preserve">required to determine when transfer of control occurs relating to the sale of the Company's </w:t>
      </w:r>
      <w:r w:rsidR="002D1846" w:rsidRPr="00EC269B">
        <w:rPr>
          <w:rFonts w:ascii="Arial" w:hAnsi="Arial" w:cs="Arial"/>
          <w:sz w:val="20"/>
          <w:szCs w:val="20"/>
        </w:rPr>
        <w:t>services</w:t>
      </w:r>
      <w:r w:rsidRPr="00EC269B">
        <w:rPr>
          <w:rFonts w:ascii="Arial" w:hAnsi="Arial" w:cs="Arial"/>
          <w:sz w:val="20"/>
          <w:szCs w:val="20"/>
        </w:rPr>
        <w:t xml:space="preserve"> to its</w:t>
      </w:r>
      <w:r w:rsidR="002D1846" w:rsidRPr="00EC269B">
        <w:rPr>
          <w:rFonts w:ascii="Arial" w:hAnsi="Arial" w:cs="Arial"/>
          <w:sz w:val="20"/>
          <w:szCs w:val="20"/>
        </w:rPr>
        <w:t xml:space="preserve"> patients</w:t>
      </w:r>
      <w:r w:rsidRPr="00EC269B">
        <w:rPr>
          <w:rFonts w:ascii="Arial" w:hAnsi="Arial" w:cs="Arial"/>
          <w:sz w:val="20"/>
          <w:szCs w:val="20"/>
        </w:rPr>
        <w:t>. Management based its assessment on a number of indicators of control, which include, but are not limited to whether the Company has present right of payment, and whether the physical possession of the goods, significant risks and rewards and legal title have been transferred to the customer.</w:t>
      </w:r>
    </w:p>
    <w:p w14:paraId="50D8E3A5" w14:textId="77777777" w:rsidR="00413B6E" w:rsidRDefault="00413B6E" w:rsidP="003F6F1A">
      <w:pPr>
        <w:spacing w:after="0"/>
        <w:jc w:val="both"/>
        <w:rPr>
          <w:rFonts w:ascii="Arial" w:hAnsi="Arial" w:cs="Arial"/>
          <w:sz w:val="20"/>
          <w:szCs w:val="20"/>
        </w:rPr>
      </w:pPr>
    </w:p>
    <w:p w14:paraId="2BA20457" w14:textId="77777777" w:rsidR="002D1846" w:rsidRPr="00413B6E" w:rsidRDefault="002D1846" w:rsidP="003F6F1A">
      <w:pPr>
        <w:spacing w:after="0"/>
        <w:jc w:val="both"/>
        <w:rPr>
          <w:rFonts w:ascii="Arial" w:hAnsi="Arial" w:cs="Arial"/>
          <w:b/>
          <w:i/>
          <w:sz w:val="20"/>
          <w:szCs w:val="20"/>
          <w:u w:val="single"/>
        </w:rPr>
      </w:pPr>
      <w:r>
        <w:rPr>
          <w:rFonts w:ascii="Arial" w:hAnsi="Arial" w:cs="Arial"/>
          <w:b/>
          <w:i/>
          <w:sz w:val="20"/>
          <w:szCs w:val="20"/>
          <w:u w:val="single"/>
        </w:rPr>
        <w:t>Key sources of estimation uncertainty</w:t>
      </w:r>
    </w:p>
    <w:p w14:paraId="018D3774" w14:textId="77777777" w:rsidR="002D1846" w:rsidRPr="00413B6E" w:rsidRDefault="002D1846" w:rsidP="003F6F1A">
      <w:pPr>
        <w:spacing w:after="0"/>
        <w:jc w:val="both"/>
        <w:rPr>
          <w:rFonts w:ascii="Arial" w:hAnsi="Arial" w:cs="Arial"/>
          <w:sz w:val="20"/>
          <w:szCs w:val="20"/>
        </w:rPr>
      </w:pPr>
    </w:p>
    <w:p w14:paraId="2195194F" w14:textId="77777777" w:rsidR="00B96480" w:rsidRDefault="002D1846" w:rsidP="003F6F1A">
      <w:pPr>
        <w:spacing w:after="0"/>
        <w:jc w:val="both"/>
        <w:rPr>
          <w:rFonts w:ascii="Arial" w:hAnsi="Arial" w:cs="Arial"/>
          <w:sz w:val="20"/>
          <w:szCs w:val="20"/>
        </w:rPr>
      </w:pPr>
      <w:r w:rsidRPr="002D1846">
        <w:rPr>
          <w:rFonts w:ascii="Arial" w:hAnsi="Arial" w:cs="Arial"/>
          <w:sz w:val="20"/>
          <w:szCs w:val="20"/>
        </w:rPr>
        <w:t>Significant assumptions about the future and other major sources of estimation uncertainty at the end of the reporting period that may result in a material adjustment to the carrying amounts of the Company’s assets and liabilities are as follows:</w:t>
      </w:r>
    </w:p>
    <w:p w14:paraId="6FF8C011" w14:textId="77777777" w:rsidR="004D46B6" w:rsidRDefault="004D46B6" w:rsidP="003F6F1A">
      <w:pPr>
        <w:spacing w:after="0"/>
        <w:jc w:val="both"/>
        <w:rPr>
          <w:rFonts w:ascii="Arial" w:hAnsi="Arial" w:cs="Arial"/>
          <w:sz w:val="20"/>
          <w:szCs w:val="20"/>
        </w:rPr>
      </w:pPr>
    </w:p>
    <w:p w14:paraId="34ED45BF" w14:textId="77777777" w:rsidR="004D46B6" w:rsidRDefault="004D46B6" w:rsidP="003F6F1A">
      <w:pPr>
        <w:spacing w:after="0"/>
        <w:jc w:val="both"/>
        <w:rPr>
          <w:rFonts w:ascii="Arial" w:hAnsi="Arial" w:cs="Arial"/>
          <w:sz w:val="20"/>
          <w:szCs w:val="20"/>
          <w:u w:val="single"/>
        </w:rPr>
      </w:pPr>
      <w:bookmarkStart w:id="6" w:name="_Hlk6490010"/>
      <w:r w:rsidRPr="004D46B6">
        <w:rPr>
          <w:rFonts w:ascii="Arial" w:hAnsi="Arial" w:cs="Arial"/>
          <w:sz w:val="20"/>
          <w:szCs w:val="20"/>
          <w:u w:val="single"/>
        </w:rPr>
        <w:t xml:space="preserve">Current and deferred taxes </w:t>
      </w:r>
    </w:p>
    <w:p w14:paraId="68507214" w14:textId="77777777" w:rsidR="00974012" w:rsidRPr="004D46B6" w:rsidRDefault="00974012" w:rsidP="003F6F1A">
      <w:pPr>
        <w:spacing w:after="0"/>
        <w:jc w:val="both"/>
        <w:rPr>
          <w:rFonts w:ascii="Arial" w:hAnsi="Arial" w:cs="Arial"/>
          <w:sz w:val="20"/>
          <w:szCs w:val="20"/>
          <w:u w:val="single"/>
        </w:rPr>
      </w:pPr>
    </w:p>
    <w:p w14:paraId="0D999279" w14:textId="77777777" w:rsidR="00CC1970" w:rsidRDefault="004D46B6" w:rsidP="003F6F1A">
      <w:pPr>
        <w:spacing w:after="0"/>
        <w:jc w:val="both"/>
        <w:rPr>
          <w:rFonts w:ascii="Arial" w:hAnsi="Arial" w:cs="Arial"/>
          <w:sz w:val="20"/>
          <w:szCs w:val="20"/>
        </w:rPr>
      </w:pPr>
      <w:r w:rsidRPr="004D46B6">
        <w:rPr>
          <w:rFonts w:ascii="Arial" w:hAnsi="Arial" w:cs="Arial"/>
          <w:sz w:val="20"/>
          <w:szCs w:val="20"/>
        </w:rPr>
        <w:t xml:space="preserve">The Company’s provision for income taxes is estimated based on the expected annual effective tax rates (and tax laws) that have been enacted or substantively enacted by the end of the reporting period. The current and deferred components of income taxes are estimated based on forecasted movements in temporary differences. Changes to the expected annual effective tax rate and differences between the </w:t>
      </w:r>
    </w:p>
    <w:p w14:paraId="5794D684" w14:textId="77777777" w:rsidR="00CC1970" w:rsidRDefault="00CC1970" w:rsidP="003F6F1A">
      <w:pPr>
        <w:spacing w:after="0"/>
        <w:jc w:val="both"/>
        <w:rPr>
          <w:rFonts w:ascii="Arial" w:hAnsi="Arial" w:cs="Arial"/>
          <w:sz w:val="20"/>
          <w:szCs w:val="20"/>
        </w:rPr>
      </w:pPr>
    </w:p>
    <w:p w14:paraId="03F66664" w14:textId="77777777" w:rsidR="004D46B6" w:rsidRDefault="004D46B6" w:rsidP="003F6F1A">
      <w:pPr>
        <w:spacing w:after="0"/>
        <w:jc w:val="both"/>
        <w:rPr>
          <w:rFonts w:ascii="Arial" w:hAnsi="Arial" w:cs="Arial"/>
          <w:sz w:val="20"/>
          <w:szCs w:val="20"/>
        </w:rPr>
      </w:pPr>
      <w:r w:rsidRPr="004D46B6">
        <w:rPr>
          <w:rFonts w:ascii="Arial" w:hAnsi="Arial" w:cs="Arial"/>
          <w:sz w:val="20"/>
          <w:szCs w:val="20"/>
        </w:rPr>
        <w:t xml:space="preserve">actual and expected effective tax rate and between actual and forecasted movements in temporary differences will result in adjustments to the Company’s provision for income taxes in the period changes are made and/or differences are identified. </w:t>
      </w:r>
    </w:p>
    <w:p w14:paraId="1EC2B50A" w14:textId="77777777" w:rsidR="00DA05F7" w:rsidRDefault="00DA05F7" w:rsidP="003F6F1A">
      <w:pPr>
        <w:spacing w:after="0"/>
        <w:jc w:val="both"/>
        <w:rPr>
          <w:rFonts w:ascii="Arial" w:hAnsi="Arial" w:cs="Arial"/>
          <w:sz w:val="20"/>
          <w:szCs w:val="20"/>
        </w:rPr>
      </w:pPr>
    </w:p>
    <w:p w14:paraId="2B2D38E7" w14:textId="6F8C0026" w:rsidR="004D46B6" w:rsidRDefault="004D46B6" w:rsidP="003F6F1A">
      <w:pPr>
        <w:spacing w:after="0"/>
        <w:jc w:val="both"/>
        <w:rPr>
          <w:rFonts w:ascii="Arial" w:hAnsi="Arial" w:cs="Arial"/>
          <w:sz w:val="20"/>
          <w:szCs w:val="20"/>
        </w:rPr>
      </w:pPr>
      <w:r w:rsidRPr="004D46B6">
        <w:rPr>
          <w:rFonts w:ascii="Arial" w:hAnsi="Arial" w:cs="Arial"/>
          <w:sz w:val="20"/>
          <w:szCs w:val="20"/>
        </w:rPr>
        <w:t xml:space="preserve">In assessing the probability of realizing income tax assets recognized, management makes estimates related to expectations of future taxable income, applicable tax planning opportunities, expected timing of reversals of existing temporary differences and the likelihood that tax positions taken will be sustained upon examination by applicable tax authorities. In making its assessments, management gives additional weight to positive and negative evidence that can be objectively verified. Estimates of future taxable income are based on forecasted cash flows from operations and the application of existing tax laws in each jurisdiction. Forecasted cash flows from operations are based on </w:t>
      </w:r>
      <w:r>
        <w:rPr>
          <w:rFonts w:ascii="Arial" w:hAnsi="Arial" w:cs="Arial"/>
          <w:sz w:val="20"/>
          <w:szCs w:val="20"/>
        </w:rPr>
        <w:t>patient visits are</w:t>
      </w:r>
      <w:r w:rsidRPr="004D46B6">
        <w:rPr>
          <w:rFonts w:ascii="Arial" w:hAnsi="Arial" w:cs="Arial"/>
          <w:sz w:val="20"/>
          <w:szCs w:val="20"/>
        </w:rPr>
        <w:t xml:space="preserve"> internally developed and reviewed by management. Weight is attached to tax planning opportunities that are within the Company’s control, and are feasible and implementable without significant obstacles. </w:t>
      </w:r>
    </w:p>
    <w:p w14:paraId="00ECB7C9" w14:textId="77777777" w:rsidR="004D46B6" w:rsidRDefault="004D46B6" w:rsidP="003F6F1A">
      <w:pPr>
        <w:spacing w:after="0"/>
        <w:jc w:val="both"/>
        <w:rPr>
          <w:rFonts w:ascii="Arial" w:hAnsi="Arial" w:cs="Arial"/>
          <w:sz w:val="20"/>
          <w:szCs w:val="20"/>
        </w:rPr>
      </w:pPr>
    </w:p>
    <w:p w14:paraId="14534089" w14:textId="77777777" w:rsidR="004D46B6" w:rsidRDefault="004D46B6" w:rsidP="003F6F1A">
      <w:pPr>
        <w:spacing w:after="0"/>
        <w:jc w:val="both"/>
        <w:rPr>
          <w:rFonts w:ascii="Arial" w:hAnsi="Arial" w:cs="Arial"/>
          <w:sz w:val="20"/>
          <w:szCs w:val="20"/>
        </w:rPr>
      </w:pPr>
      <w:r w:rsidRPr="004D46B6">
        <w:rPr>
          <w:rFonts w:ascii="Arial" w:hAnsi="Arial" w:cs="Arial"/>
          <w:sz w:val="20"/>
          <w:szCs w:val="20"/>
        </w:rPr>
        <w:t xml:space="preserve">The likelihood that tax positions taken will be sustained upon examination by applicable tax authorities is assessed based on individual facts and circumstances of the relevant tax position evaluated in light of all available evidence. </w:t>
      </w:r>
    </w:p>
    <w:bookmarkEnd w:id="6"/>
    <w:p w14:paraId="58DF892F" w14:textId="77777777" w:rsidR="004E17E1" w:rsidRDefault="004E17E1" w:rsidP="003F6F1A">
      <w:pPr>
        <w:spacing w:after="0"/>
        <w:jc w:val="both"/>
        <w:rPr>
          <w:rFonts w:ascii="Arial" w:hAnsi="Arial" w:cs="Arial"/>
          <w:sz w:val="20"/>
          <w:szCs w:val="20"/>
        </w:rPr>
      </w:pPr>
    </w:p>
    <w:p w14:paraId="129EA502" w14:textId="77777777" w:rsidR="004D46B6" w:rsidRDefault="004D46B6" w:rsidP="003F6F1A">
      <w:pPr>
        <w:spacing w:after="0"/>
        <w:jc w:val="both"/>
        <w:rPr>
          <w:rFonts w:ascii="Arial" w:hAnsi="Arial" w:cs="Arial"/>
          <w:sz w:val="20"/>
          <w:szCs w:val="20"/>
        </w:rPr>
      </w:pPr>
      <w:r w:rsidRPr="004D46B6">
        <w:rPr>
          <w:rFonts w:ascii="Arial" w:hAnsi="Arial" w:cs="Arial"/>
          <w:sz w:val="20"/>
          <w:szCs w:val="20"/>
        </w:rPr>
        <w:t xml:space="preserve">Where applicable tax laws and regulations are either unclear or subject to ongoing varying interpretations, it is reasonably possible that changes in these estimates can occur that materially affect the amounts of income tax assets recognized. At the end of each reporting period, the Company reassesses unrecognized income tax assets. </w:t>
      </w:r>
    </w:p>
    <w:p w14:paraId="6B2D001C" w14:textId="77777777" w:rsidR="004D46B6" w:rsidRDefault="004D46B6" w:rsidP="003F6F1A">
      <w:pPr>
        <w:spacing w:after="0"/>
        <w:jc w:val="both"/>
        <w:rPr>
          <w:rFonts w:ascii="Arial" w:hAnsi="Arial" w:cs="Arial"/>
          <w:sz w:val="20"/>
          <w:szCs w:val="20"/>
        </w:rPr>
      </w:pPr>
    </w:p>
    <w:p w14:paraId="386A2FD4" w14:textId="732109B9" w:rsidR="004D46B6" w:rsidRDefault="004D46B6" w:rsidP="003F6F1A">
      <w:pPr>
        <w:spacing w:after="0"/>
        <w:jc w:val="both"/>
        <w:rPr>
          <w:rFonts w:ascii="Arial" w:hAnsi="Arial" w:cs="Arial"/>
          <w:sz w:val="20"/>
          <w:szCs w:val="20"/>
          <w:u w:val="single"/>
        </w:rPr>
      </w:pPr>
      <w:r w:rsidRPr="004D46B6">
        <w:rPr>
          <w:rFonts w:ascii="Arial" w:hAnsi="Arial" w:cs="Arial"/>
          <w:sz w:val="20"/>
          <w:szCs w:val="20"/>
          <w:u w:val="single"/>
        </w:rPr>
        <w:t xml:space="preserve">Equity-settled share-based payments </w:t>
      </w:r>
    </w:p>
    <w:p w14:paraId="2616B50E" w14:textId="77777777" w:rsidR="00974012" w:rsidRPr="004D46B6" w:rsidRDefault="00974012" w:rsidP="003F6F1A">
      <w:pPr>
        <w:spacing w:after="0"/>
        <w:jc w:val="both"/>
        <w:rPr>
          <w:rFonts w:ascii="Arial" w:hAnsi="Arial" w:cs="Arial"/>
          <w:sz w:val="20"/>
          <w:szCs w:val="20"/>
          <w:u w:val="single"/>
        </w:rPr>
      </w:pPr>
    </w:p>
    <w:p w14:paraId="6ADEFA78" w14:textId="32E5551F" w:rsidR="001D7767" w:rsidRDefault="004D46B6" w:rsidP="003F6F1A">
      <w:pPr>
        <w:spacing w:after="0"/>
        <w:jc w:val="both"/>
        <w:rPr>
          <w:rFonts w:ascii="Arial" w:hAnsi="Arial" w:cs="Arial"/>
          <w:sz w:val="20"/>
          <w:szCs w:val="20"/>
        </w:rPr>
      </w:pPr>
      <w:bookmarkStart w:id="7" w:name="_Hlk6490143"/>
      <w:r w:rsidRPr="004D46B6">
        <w:rPr>
          <w:rFonts w:ascii="Arial" w:hAnsi="Arial" w:cs="Arial"/>
          <w:sz w:val="20"/>
          <w:szCs w:val="20"/>
        </w:rPr>
        <w:t>Share-based payments are measured at fair value. Options</w:t>
      </w:r>
      <w:r>
        <w:rPr>
          <w:rFonts w:ascii="Arial" w:hAnsi="Arial" w:cs="Arial"/>
          <w:sz w:val="20"/>
          <w:szCs w:val="20"/>
        </w:rPr>
        <w:t xml:space="preserve"> and warrants</w:t>
      </w:r>
      <w:r w:rsidRPr="004D46B6">
        <w:rPr>
          <w:rFonts w:ascii="Arial" w:hAnsi="Arial" w:cs="Arial"/>
          <w:sz w:val="20"/>
          <w:szCs w:val="20"/>
        </w:rPr>
        <w:t xml:space="preserve"> are measured using the Black-Scholes option pricing model based on estimated fair values of all share-based awards at the date of grant and are expensed to earnings or loss from operations over each award’s vesting period. The Black-Scholes option pricing model utilizes subjective assumptions such as expected price volatility and expected life of the option. Changes in these input assumptions can significantly affect the fair value estimate. </w:t>
      </w:r>
      <w:bookmarkEnd w:id="7"/>
    </w:p>
    <w:p w14:paraId="073BC4BC" w14:textId="77777777" w:rsidR="001D7767" w:rsidRDefault="001D7767" w:rsidP="003F6F1A">
      <w:pPr>
        <w:spacing w:after="0"/>
        <w:jc w:val="both"/>
        <w:rPr>
          <w:rFonts w:ascii="Arial" w:hAnsi="Arial" w:cs="Arial"/>
          <w:sz w:val="20"/>
          <w:szCs w:val="20"/>
        </w:rPr>
      </w:pPr>
    </w:p>
    <w:p w14:paraId="1AF70C95" w14:textId="77777777" w:rsidR="004D46B6" w:rsidRDefault="004D46B6" w:rsidP="003F6F1A">
      <w:pPr>
        <w:spacing w:after="0"/>
        <w:jc w:val="both"/>
        <w:rPr>
          <w:rFonts w:ascii="Arial" w:hAnsi="Arial" w:cs="Arial"/>
          <w:sz w:val="20"/>
          <w:szCs w:val="20"/>
          <w:u w:val="single"/>
        </w:rPr>
      </w:pPr>
      <w:bookmarkStart w:id="8" w:name="_Hlk6490257"/>
      <w:r w:rsidRPr="004D46B6">
        <w:rPr>
          <w:rFonts w:ascii="Arial" w:hAnsi="Arial" w:cs="Arial"/>
          <w:sz w:val="20"/>
          <w:szCs w:val="20"/>
          <w:u w:val="single"/>
        </w:rPr>
        <w:t xml:space="preserve">Contingencies </w:t>
      </w:r>
    </w:p>
    <w:p w14:paraId="5D58A445" w14:textId="77777777" w:rsidR="00974012" w:rsidRPr="004D46B6" w:rsidRDefault="00974012" w:rsidP="003F6F1A">
      <w:pPr>
        <w:spacing w:after="0"/>
        <w:jc w:val="both"/>
        <w:rPr>
          <w:rFonts w:ascii="Arial" w:hAnsi="Arial" w:cs="Arial"/>
          <w:sz w:val="20"/>
          <w:szCs w:val="20"/>
          <w:u w:val="single"/>
        </w:rPr>
      </w:pPr>
    </w:p>
    <w:p w14:paraId="12AA7105" w14:textId="77777777" w:rsidR="004D46B6" w:rsidRPr="002D1846" w:rsidRDefault="004D46B6" w:rsidP="003F6F1A">
      <w:pPr>
        <w:spacing w:after="0"/>
        <w:jc w:val="both"/>
        <w:rPr>
          <w:rFonts w:ascii="Arial" w:hAnsi="Arial" w:cs="Arial"/>
          <w:sz w:val="20"/>
          <w:szCs w:val="20"/>
        </w:rPr>
      </w:pPr>
      <w:r w:rsidRPr="004D46B6">
        <w:rPr>
          <w:rFonts w:ascii="Arial" w:hAnsi="Arial" w:cs="Arial"/>
          <w:sz w:val="20"/>
          <w:szCs w:val="20"/>
        </w:rPr>
        <w:t>Due to the nature of the Company’s operations, various legal and tax matters can arise from time to time. In the event that management’s estimate of the future resolution of these matters changes, the Company will recognize the effects of the changes in its consolidated financial statements for the period in which such changes occur.</w:t>
      </w:r>
    </w:p>
    <w:bookmarkEnd w:id="8"/>
    <w:p w14:paraId="2FBE8BD5" w14:textId="77777777" w:rsidR="00FD6918" w:rsidRDefault="00FD6918" w:rsidP="003F6F1A">
      <w:pPr>
        <w:pStyle w:val="NormalWeb"/>
        <w:pBdr>
          <w:bottom w:val="single" w:sz="12" w:space="1" w:color="auto"/>
        </w:pBdr>
        <w:spacing w:before="0" w:beforeAutospacing="0" w:after="0" w:afterAutospacing="0"/>
        <w:rPr>
          <w:rFonts w:ascii="Arial" w:hAnsi="Arial" w:cs="Arial"/>
          <w:b/>
          <w:bCs/>
          <w:color w:val="000000"/>
          <w:sz w:val="20"/>
          <w:szCs w:val="20"/>
        </w:rPr>
      </w:pPr>
    </w:p>
    <w:p w14:paraId="3C073B01" w14:textId="77777777" w:rsidR="00B96480" w:rsidRPr="00BE1DF8" w:rsidRDefault="004D46B6" w:rsidP="003F6F1A">
      <w:pPr>
        <w:pStyle w:val="NormalWeb"/>
        <w:pBdr>
          <w:bottom w:val="single" w:sz="12" w:space="1" w:color="auto"/>
        </w:pBdr>
        <w:spacing w:before="0" w:beforeAutospacing="0" w:after="0" w:afterAutospacing="0"/>
        <w:rPr>
          <w:rFonts w:ascii="Arial" w:hAnsi="Arial" w:cs="Arial"/>
          <w:b/>
          <w:bCs/>
          <w:color w:val="000000"/>
          <w:sz w:val="20"/>
          <w:szCs w:val="20"/>
        </w:rPr>
      </w:pPr>
      <w:r w:rsidRPr="00BE1DF8">
        <w:rPr>
          <w:rFonts w:ascii="Arial" w:hAnsi="Arial" w:cs="Arial"/>
          <w:b/>
          <w:bCs/>
          <w:color w:val="000000"/>
          <w:sz w:val="20"/>
          <w:szCs w:val="20"/>
        </w:rPr>
        <w:t>CHANGES IN ACCOUNTING STANDARDS</w:t>
      </w:r>
    </w:p>
    <w:p w14:paraId="7C6F59EB" w14:textId="77777777" w:rsidR="00BE1DF8" w:rsidRDefault="00BE1DF8" w:rsidP="003F6F1A">
      <w:pPr>
        <w:spacing w:after="0"/>
        <w:jc w:val="both"/>
        <w:rPr>
          <w:rFonts w:ascii="Arial" w:hAnsi="Arial" w:cs="Arial"/>
          <w:sz w:val="20"/>
          <w:szCs w:val="20"/>
        </w:rPr>
      </w:pPr>
    </w:p>
    <w:p w14:paraId="56D9944A" w14:textId="77777777" w:rsidR="004D46B6" w:rsidRDefault="004D46B6" w:rsidP="003F6F1A">
      <w:pPr>
        <w:spacing w:after="0"/>
        <w:jc w:val="both"/>
        <w:rPr>
          <w:rFonts w:ascii="Arial" w:hAnsi="Arial" w:cs="Arial"/>
          <w:sz w:val="20"/>
          <w:szCs w:val="20"/>
        </w:rPr>
      </w:pPr>
      <w:r w:rsidRPr="004D46B6">
        <w:rPr>
          <w:rFonts w:ascii="Arial" w:hAnsi="Arial" w:cs="Arial"/>
          <w:sz w:val="20"/>
          <w:szCs w:val="20"/>
        </w:rPr>
        <w:t>The accounting policies applied in the preparation of the Company’s annual consolidated financial statements for the years ended December 31, 2018 and 2017, are consistent with new standards and amendments to standards, except for the following:</w:t>
      </w:r>
    </w:p>
    <w:p w14:paraId="741AC7E7" w14:textId="77777777" w:rsidR="004E17E1" w:rsidRDefault="004E17E1" w:rsidP="003F6F1A">
      <w:pPr>
        <w:jc w:val="both"/>
        <w:rPr>
          <w:rFonts w:ascii="Arial" w:hAnsi="Arial" w:cs="Arial"/>
          <w:bCs/>
          <w:iCs/>
          <w:sz w:val="20"/>
          <w:szCs w:val="20"/>
          <w:u w:val="single"/>
        </w:rPr>
      </w:pPr>
      <w:r>
        <w:rPr>
          <w:rFonts w:ascii="Arial" w:hAnsi="Arial" w:cs="Arial"/>
          <w:bCs/>
          <w:iCs/>
          <w:sz w:val="20"/>
          <w:szCs w:val="20"/>
          <w:u w:val="single"/>
        </w:rPr>
        <w:br/>
      </w:r>
      <w:r w:rsidRPr="004E17E1">
        <w:rPr>
          <w:rFonts w:ascii="Arial" w:hAnsi="Arial" w:cs="Arial"/>
          <w:bCs/>
          <w:iCs/>
          <w:sz w:val="20"/>
          <w:szCs w:val="20"/>
          <w:u w:val="single"/>
        </w:rPr>
        <w:t xml:space="preserve">Shares held in </w:t>
      </w:r>
      <w:r w:rsidR="00FE554B">
        <w:rPr>
          <w:rFonts w:ascii="Arial" w:hAnsi="Arial" w:cs="Arial"/>
          <w:bCs/>
          <w:iCs/>
          <w:sz w:val="20"/>
          <w:szCs w:val="20"/>
          <w:u w:val="single"/>
        </w:rPr>
        <w:t>e</w:t>
      </w:r>
      <w:r w:rsidRPr="004E17E1">
        <w:rPr>
          <w:rFonts w:ascii="Arial" w:hAnsi="Arial" w:cs="Arial"/>
          <w:bCs/>
          <w:iCs/>
          <w:sz w:val="20"/>
          <w:szCs w:val="20"/>
          <w:u w:val="single"/>
        </w:rPr>
        <w:t>scrow</w:t>
      </w:r>
    </w:p>
    <w:p w14:paraId="4273CDC6" w14:textId="77777777" w:rsidR="004E17E1" w:rsidRPr="004E17E1" w:rsidRDefault="004E17E1" w:rsidP="003F6F1A">
      <w:pPr>
        <w:jc w:val="both"/>
        <w:rPr>
          <w:rFonts w:ascii="Arial" w:hAnsi="Arial" w:cs="Arial"/>
          <w:bCs/>
          <w:iCs/>
          <w:sz w:val="20"/>
          <w:szCs w:val="20"/>
          <w:u w:val="single"/>
        </w:rPr>
      </w:pPr>
      <w:r w:rsidRPr="004E17E1">
        <w:rPr>
          <w:rFonts w:ascii="Arial" w:hAnsi="Arial" w:cs="Arial"/>
          <w:sz w:val="20"/>
          <w:szCs w:val="20"/>
        </w:rPr>
        <w:t>The Company has issued common shares held in escrow as a part of a compensation arrangement. The fair value of the escrowed shares is recognized as compensation expense with a corresponding credit to reserves, as the common shares vest. Upon release from escrow, the amounts previously recognized in reserves are recorded as an increase to share capital. The Company revises its estimated period over which the compensation expense is recorded if subsequent information indicates this period differs from previous estimates. Any change is accounted for prospectively as a change in estimate</w:t>
      </w:r>
      <w:r w:rsidRPr="00CA4500">
        <w:rPr>
          <w:rFonts w:ascii="Arial" w:hAnsi="Arial" w:cs="Arial"/>
          <w:sz w:val="18"/>
          <w:szCs w:val="18"/>
        </w:rPr>
        <w:t>.</w:t>
      </w:r>
    </w:p>
    <w:p w14:paraId="6FA9EB49" w14:textId="77777777" w:rsidR="004E17E1" w:rsidRPr="004E17E1" w:rsidRDefault="004E17E1" w:rsidP="003F6F1A">
      <w:pPr>
        <w:jc w:val="both"/>
        <w:rPr>
          <w:rFonts w:ascii="Arial" w:hAnsi="Arial" w:cs="Arial"/>
          <w:bCs/>
          <w:iCs/>
          <w:sz w:val="20"/>
          <w:szCs w:val="20"/>
          <w:u w:val="single"/>
        </w:rPr>
      </w:pPr>
      <w:r w:rsidRPr="004E17E1">
        <w:rPr>
          <w:rFonts w:ascii="Arial" w:hAnsi="Arial" w:cs="Arial"/>
          <w:bCs/>
          <w:iCs/>
          <w:sz w:val="20"/>
          <w:szCs w:val="20"/>
          <w:u w:val="single"/>
        </w:rPr>
        <w:t>Leases</w:t>
      </w:r>
    </w:p>
    <w:p w14:paraId="64B43EDC" w14:textId="77777777" w:rsidR="00687F6F" w:rsidRDefault="00F56B6B" w:rsidP="003F6F1A">
      <w:pPr>
        <w:jc w:val="both"/>
        <w:rPr>
          <w:rFonts w:ascii="Arial" w:hAnsi="Arial" w:cs="Arial"/>
          <w:sz w:val="20"/>
          <w:szCs w:val="20"/>
        </w:rPr>
      </w:pPr>
      <w:bookmarkStart w:id="9" w:name="_Hlk6490469"/>
      <w:r>
        <w:rPr>
          <w:rFonts w:ascii="Arial" w:hAnsi="Arial" w:cs="Arial"/>
          <w:sz w:val="20"/>
          <w:szCs w:val="20"/>
        </w:rPr>
        <w:t xml:space="preserve">The Company adopted IFRS 16 using the modified retrospective approach on </w:t>
      </w:r>
      <w:r w:rsidR="00B51F89" w:rsidRPr="00B51F89">
        <w:rPr>
          <w:rFonts w:ascii="Arial" w:hAnsi="Arial" w:cs="Arial"/>
          <w:sz w:val="20"/>
          <w:szCs w:val="20"/>
        </w:rPr>
        <w:t xml:space="preserve">January </w:t>
      </w:r>
      <w:r>
        <w:rPr>
          <w:rFonts w:ascii="Arial" w:hAnsi="Arial" w:cs="Arial"/>
          <w:sz w:val="20"/>
          <w:szCs w:val="20"/>
        </w:rPr>
        <w:t xml:space="preserve">1, </w:t>
      </w:r>
      <w:r w:rsidR="00B51F89" w:rsidRPr="00B51F89">
        <w:rPr>
          <w:rFonts w:ascii="Arial" w:hAnsi="Arial" w:cs="Arial"/>
          <w:sz w:val="20"/>
          <w:szCs w:val="20"/>
        </w:rPr>
        <w:t>201</w:t>
      </w:r>
      <w:r>
        <w:rPr>
          <w:rFonts w:ascii="Arial" w:hAnsi="Arial" w:cs="Arial"/>
          <w:sz w:val="20"/>
          <w:szCs w:val="20"/>
        </w:rPr>
        <w:t>9. Under this method</w:t>
      </w:r>
      <w:r w:rsidR="00B51F89" w:rsidRPr="00B51F89">
        <w:rPr>
          <w:rFonts w:ascii="Arial" w:hAnsi="Arial" w:cs="Arial"/>
          <w:sz w:val="20"/>
          <w:szCs w:val="20"/>
        </w:rPr>
        <w:t xml:space="preserve">, the </w:t>
      </w:r>
      <w:r>
        <w:rPr>
          <w:rFonts w:ascii="Arial" w:hAnsi="Arial" w:cs="Arial"/>
          <w:sz w:val="20"/>
          <w:szCs w:val="20"/>
        </w:rPr>
        <w:t>cumulative effect of initially applying the standard is recognized in retained earnings at January 1, 2019. Accordingly, the comparative information</w:t>
      </w:r>
      <w:r w:rsidR="007D22F1">
        <w:rPr>
          <w:rFonts w:ascii="Arial" w:hAnsi="Arial" w:cs="Arial"/>
          <w:sz w:val="20"/>
          <w:szCs w:val="20"/>
        </w:rPr>
        <w:t xml:space="preserve"> presented for 2018 has not been restated and is presented as previously reported under IAS 17</w:t>
      </w:r>
      <w:r w:rsidR="00FE554B">
        <w:rPr>
          <w:rFonts w:ascii="Arial" w:hAnsi="Arial" w:cs="Arial"/>
          <w:sz w:val="20"/>
          <w:szCs w:val="20"/>
        </w:rPr>
        <w:t xml:space="preserve"> -</w:t>
      </w:r>
      <w:r w:rsidR="007D22F1">
        <w:rPr>
          <w:rFonts w:ascii="Arial" w:hAnsi="Arial" w:cs="Arial"/>
          <w:sz w:val="20"/>
          <w:szCs w:val="20"/>
        </w:rPr>
        <w:t xml:space="preserve"> </w:t>
      </w:r>
      <w:r w:rsidR="00041AB3" w:rsidRPr="00FE554B">
        <w:rPr>
          <w:rFonts w:ascii="Arial" w:hAnsi="Arial" w:cs="Arial"/>
          <w:i/>
          <w:iCs/>
          <w:sz w:val="20"/>
          <w:szCs w:val="20"/>
        </w:rPr>
        <w:t>Leases</w:t>
      </w:r>
      <w:r w:rsidR="00041AB3">
        <w:rPr>
          <w:rFonts w:ascii="Arial" w:hAnsi="Arial" w:cs="Arial"/>
          <w:sz w:val="20"/>
          <w:szCs w:val="20"/>
        </w:rPr>
        <w:t xml:space="preserve"> </w:t>
      </w:r>
      <w:r w:rsidR="007D22F1">
        <w:rPr>
          <w:rFonts w:ascii="Arial" w:hAnsi="Arial" w:cs="Arial"/>
          <w:sz w:val="20"/>
          <w:szCs w:val="20"/>
        </w:rPr>
        <w:t>a</w:t>
      </w:r>
      <w:r w:rsidR="00041AB3">
        <w:rPr>
          <w:rFonts w:ascii="Arial" w:hAnsi="Arial" w:cs="Arial"/>
          <w:sz w:val="20"/>
          <w:szCs w:val="20"/>
        </w:rPr>
        <w:t>n</w:t>
      </w:r>
      <w:r w:rsidR="007D22F1">
        <w:rPr>
          <w:rFonts w:ascii="Arial" w:hAnsi="Arial" w:cs="Arial"/>
          <w:sz w:val="20"/>
          <w:szCs w:val="20"/>
        </w:rPr>
        <w:t xml:space="preserve">d </w:t>
      </w:r>
      <w:r w:rsidR="00041AB3">
        <w:rPr>
          <w:rFonts w:ascii="Arial" w:hAnsi="Arial" w:cs="Arial"/>
          <w:sz w:val="20"/>
          <w:szCs w:val="20"/>
        </w:rPr>
        <w:t>IFRIC 4</w:t>
      </w:r>
      <w:r w:rsidR="00FE554B">
        <w:rPr>
          <w:rFonts w:ascii="Arial" w:hAnsi="Arial" w:cs="Arial"/>
          <w:sz w:val="20"/>
          <w:szCs w:val="20"/>
        </w:rPr>
        <w:t xml:space="preserve"> -</w:t>
      </w:r>
      <w:r w:rsidR="00041AB3">
        <w:rPr>
          <w:rFonts w:ascii="Arial" w:hAnsi="Arial" w:cs="Arial"/>
          <w:sz w:val="20"/>
          <w:szCs w:val="20"/>
        </w:rPr>
        <w:t xml:space="preserve"> </w:t>
      </w:r>
      <w:r w:rsidR="00041AB3" w:rsidRPr="00FE554B">
        <w:rPr>
          <w:rFonts w:ascii="Arial" w:hAnsi="Arial" w:cs="Arial"/>
          <w:i/>
          <w:iCs/>
          <w:sz w:val="20"/>
          <w:szCs w:val="20"/>
        </w:rPr>
        <w:t>Determining Whether an Arrangement Contains a Lease</w:t>
      </w:r>
      <w:r w:rsidR="00B51F89" w:rsidRPr="00B51F89">
        <w:rPr>
          <w:rFonts w:ascii="Arial" w:hAnsi="Arial" w:cs="Arial"/>
          <w:sz w:val="20"/>
          <w:szCs w:val="20"/>
        </w:rPr>
        <w:t xml:space="preserve">. </w:t>
      </w:r>
      <w:bookmarkEnd w:id="9"/>
    </w:p>
    <w:p w14:paraId="71DC7B20" w14:textId="77777777" w:rsidR="007D22F1" w:rsidRDefault="007D22F1" w:rsidP="003F6F1A">
      <w:pPr>
        <w:spacing w:after="0"/>
        <w:jc w:val="both"/>
        <w:rPr>
          <w:rFonts w:ascii="Arial" w:hAnsi="Arial" w:cs="Arial"/>
          <w:sz w:val="20"/>
          <w:szCs w:val="20"/>
        </w:rPr>
      </w:pPr>
      <w:r>
        <w:rPr>
          <w:rFonts w:ascii="Arial" w:hAnsi="Arial" w:cs="Arial"/>
          <w:sz w:val="20"/>
          <w:szCs w:val="20"/>
        </w:rPr>
        <w:t xml:space="preserve">On transition, the Company elected to apply the transition practical expedient allowing the standard to be applied only to contracts that were previously identified as lease under IAS 17. The Company also elected to use the recognition exemptions for lease contracts that, at the commencement date, have a lease term of 12 months or less and do not contain a purchase option (short-term leases), lease contracts for which the underlying asset is of low value (low-value assets). The transition and impact are further disclosed in note 3 to the </w:t>
      </w:r>
      <w:r w:rsidR="004B4490">
        <w:rPr>
          <w:rFonts w:ascii="Arial" w:hAnsi="Arial" w:cs="Arial"/>
          <w:sz w:val="20"/>
          <w:szCs w:val="20"/>
        </w:rPr>
        <w:t>June 30</w:t>
      </w:r>
      <w:r>
        <w:rPr>
          <w:rFonts w:ascii="Arial" w:hAnsi="Arial" w:cs="Arial"/>
          <w:sz w:val="20"/>
          <w:szCs w:val="20"/>
        </w:rPr>
        <w:t>, 2019 unaudited interim condensed consolidated financial statements.</w:t>
      </w:r>
    </w:p>
    <w:p w14:paraId="326C6879" w14:textId="22FF4AE6" w:rsidR="002D7686" w:rsidRDefault="002D7686" w:rsidP="003F6F1A">
      <w:pPr>
        <w:spacing w:after="0"/>
        <w:jc w:val="both"/>
        <w:rPr>
          <w:rFonts w:ascii="Arial" w:hAnsi="Arial" w:cs="Arial"/>
          <w:sz w:val="20"/>
          <w:szCs w:val="20"/>
        </w:rPr>
      </w:pPr>
    </w:p>
    <w:p w14:paraId="36E92A1A" w14:textId="2A010B67" w:rsidR="00524611" w:rsidRDefault="00524611" w:rsidP="003F6F1A">
      <w:pPr>
        <w:spacing w:after="0"/>
        <w:jc w:val="both"/>
        <w:rPr>
          <w:rFonts w:ascii="Arial" w:hAnsi="Arial" w:cs="Arial"/>
          <w:sz w:val="20"/>
          <w:szCs w:val="20"/>
        </w:rPr>
      </w:pPr>
    </w:p>
    <w:p w14:paraId="051F2DBC" w14:textId="182A4B6F" w:rsidR="00524611" w:rsidRDefault="00524611" w:rsidP="003F6F1A">
      <w:pPr>
        <w:spacing w:after="0"/>
        <w:jc w:val="both"/>
        <w:rPr>
          <w:rFonts w:ascii="Arial" w:hAnsi="Arial" w:cs="Arial"/>
          <w:sz w:val="20"/>
          <w:szCs w:val="20"/>
        </w:rPr>
      </w:pPr>
    </w:p>
    <w:p w14:paraId="299C9567" w14:textId="771C4D1B" w:rsidR="00524611" w:rsidRDefault="00524611" w:rsidP="003F6F1A">
      <w:pPr>
        <w:spacing w:after="0"/>
        <w:jc w:val="both"/>
        <w:rPr>
          <w:rFonts w:ascii="Arial" w:hAnsi="Arial" w:cs="Arial"/>
          <w:sz w:val="20"/>
          <w:szCs w:val="20"/>
        </w:rPr>
      </w:pPr>
    </w:p>
    <w:p w14:paraId="13C709F6" w14:textId="55D5CD4D" w:rsidR="00524611" w:rsidRDefault="00524611" w:rsidP="003F6F1A">
      <w:pPr>
        <w:spacing w:after="0"/>
        <w:jc w:val="both"/>
        <w:rPr>
          <w:rFonts w:ascii="Arial" w:hAnsi="Arial" w:cs="Arial"/>
          <w:sz w:val="20"/>
          <w:szCs w:val="20"/>
        </w:rPr>
      </w:pPr>
    </w:p>
    <w:p w14:paraId="0631DFE3" w14:textId="4266C3EF" w:rsidR="00524611" w:rsidRDefault="00524611" w:rsidP="003F6F1A">
      <w:pPr>
        <w:spacing w:after="0"/>
        <w:jc w:val="both"/>
        <w:rPr>
          <w:rFonts w:ascii="Arial" w:hAnsi="Arial" w:cs="Arial"/>
          <w:sz w:val="20"/>
          <w:szCs w:val="20"/>
        </w:rPr>
      </w:pPr>
    </w:p>
    <w:p w14:paraId="7B7771B3" w14:textId="3051E3FA" w:rsidR="00524611" w:rsidRDefault="00524611" w:rsidP="003F6F1A">
      <w:pPr>
        <w:spacing w:after="0"/>
        <w:jc w:val="both"/>
        <w:rPr>
          <w:rFonts w:ascii="Arial" w:hAnsi="Arial" w:cs="Arial"/>
          <w:sz w:val="20"/>
          <w:szCs w:val="20"/>
        </w:rPr>
      </w:pPr>
    </w:p>
    <w:p w14:paraId="50A3C2B7" w14:textId="3571B89A" w:rsidR="00524611" w:rsidRDefault="00524611" w:rsidP="003F6F1A">
      <w:pPr>
        <w:spacing w:after="0"/>
        <w:jc w:val="both"/>
        <w:rPr>
          <w:rFonts w:ascii="Arial" w:hAnsi="Arial" w:cs="Arial"/>
          <w:sz w:val="20"/>
          <w:szCs w:val="20"/>
        </w:rPr>
      </w:pPr>
    </w:p>
    <w:p w14:paraId="03F0A887" w14:textId="03EFF419" w:rsidR="000E5C02" w:rsidRPr="00413B6E" w:rsidRDefault="000E5C02" w:rsidP="003F6F1A">
      <w:pPr>
        <w:pBdr>
          <w:bottom w:val="single" w:sz="12" w:space="1" w:color="auto"/>
        </w:pBdr>
        <w:autoSpaceDE w:val="0"/>
        <w:autoSpaceDN w:val="0"/>
        <w:adjustRightInd w:val="0"/>
        <w:spacing w:after="0"/>
        <w:jc w:val="both"/>
        <w:rPr>
          <w:rFonts w:ascii="Arial" w:hAnsi="Arial" w:cs="Arial"/>
          <w:b/>
          <w:sz w:val="20"/>
          <w:szCs w:val="20"/>
        </w:rPr>
      </w:pPr>
      <w:r w:rsidRPr="00413B6E">
        <w:rPr>
          <w:rFonts w:ascii="Arial" w:hAnsi="Arial" w:cs="Arial"/>
          <w:b/>
          <w:sz w:val="20"/>
          <w:szCs w:val="20"/>
        </w:rPr>
        <w:t>OUTSTANDING SHARE DATA</w:t>
      </w:r>
    </w:p>
    <w:p w14:paraId="427DE9DB" w14:textId="77777777" w:rsidR="000E5C02" w:rsidRDefault="000E5C02" w:rsidP="003F6F1A">
      <w:pPr>
        <w:autoSpaceDE w:val="0"/>
        <w:autoSpaceDN w:val="0"/>
        <w:adjustRightInd w:val="0"/>
        <w:spacing w:after="0"/>
        <w:jc w:val="both"/>
      </w:pPr>
    </w:p>
    <w:p w14:paraId="738153D7" w14:textId="77777777" w:rsidR="006F5FB2" w:rsidRPr="00537E2E" w:rsidRDefault="00FA6D64" w:rsidP="003F6F1A">
      <w:pPr>
        <w:keepNext/>
        <w:tabs>
          <w:tab w:val="left" w:pos="360"/>
        </w:tabs>
        <w:suppressAutoHyphens/>
        <w:jc w:val="both"/>
        <w:rPr>
          <w:rFonts w:ascii="Arial" w:hAnsi="Arial" w:cs="Arial"/>
          <w:b/>
          <w:sz w:val="20"/>
          <w:szCs w:val="20"/>
        </w:rPr>
      </w:pPr>
      <w:r w:rsidRPr="00C90A0A">
        <w:rPr>
          <w:rFonts w:ascii="Arial" w:hAnsi="Arial" w:cs="Arial"/>
          <w:sz w:val="20"/>
          <w:szCs w:val="20"/>
        </w:rPr>
        <w:t xml:space="preserve">The authorized capital of the Company consists of an unlimited number of common shares without par value. </w:t>
      </w:r>
      <w:r w:rsidR="006F5FB2" w:rsidRPr="00537E2E">
        <w:rPr>
          <w:rFonts w:ascii="Arial" w:hAnsi="Arial" w:cs="Arial"/>
          <w:sz w:val="20"/>
          <w:szCs w:val="20"/>
        </w:rPr>
        <w:t xml:space="preserve">The Company had the following securities outstanding as </w:t>
      </w:r>
      <w:r w:rsidR="000E5C02">
        <w:rPr>
          <w:rFonts w:ascii="Arial" w:hAnsi="Arial" w:cs="Arial"/>
          <w:sz w:val="20"/>
          <w:szCs w:val="20"/>
        </w:rPr>
        <w:t>at the date of this MD&amp;A</w:t>
      </w:r>
      <w:r w:rsidR="006F5FB2" w:rsidRPr="00537E2E">
        <w:rPr>
          <w:rFonts w:ascii="Arial" w:hAnsi="Arial" w:cs="Arial"/>
          <w:sz w:val="20"/>
          <w:szCs w:val="20"/>
        </w:rPr>
        <w:t>:</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590"/>
      </w:tblGrid>
      <w:tr w:rsidR="006F5FB2" w:rsidRPr="00DA4360" w14:paraId="424BE6EB" w14:textId="77777777" w:rsidTr="00524611">
        <w:tc>
          <w:tcPr>
            <w:tcW w:w="4765" w:type="dxa"/>
            <w:tcBorders>
              <w:top w:val="single" w:sz="18" w:space="0" w:color="auto"/>
            </w:tcBorders>
            <w:shd w:val="clear" w:color="auto" w:fill="auto"/>
          </w:tcPr>
          <w:p w14:paraId="437A64C7" w14:textId="77777777" w:rsidR="006F5FB2" w:rsidRPr="00DA4360" w:rsidRDefault="006F5FB2" w:rsidP="003F6F1A">
            <w:pPr>
              <w:keepNext/>
              <w:tabs>
                <w:tab w:val="left" w:pos="360"/>
              </w:tabs>
              <w:suppressAutoHyphens/>
              <w:spacing w:after="0" w:line="240" w:lineRule="auto"/>
              <w:jc w:val="center"/>
              <w:rPr>
                <w:rFonts w:ascii="Arial" w:hAnsi="Arial" w:cs="Arial"/>
                <w:b/>
                <w:sz w:val="20"/>
                <w:szCs w:val="20"/>
                <w:highlight w:val="yellow"/>
                <w:lang w:val="en-CA"/>
              </w:rPr>
            </w:pPr>
            <w:r w:rsidRPr="00DA4360">
              <w:rPr>
                <w:rFonts w:ascii="Arial" w:hAnsi="Arial" w:cs="Arial"/>
                <w:b/>
                <w:sz w:val="20"/>
                <w:szCs w:val="20"/>
                <w:lang w:val="en-CA"/>
              </w:rPr>
              <w:t>Type of Security</w:t>
            </w:r>
          </w:p>
        </w:tc>
        <w:tc>
          <w:tcPr>
            <w:tcW w:w="4590" w:type="dxa"/>
            <w:tcBorders>
              <w:top w:val="single" w:sz="18" w:space="0" w:color="auto"/>
            </w:tcBorders>
            <w:shd w:val="clear" w:color="auto" w:fill="auto"/>
          </w:tcPr>
          <w:p w14:paraId="497901EE" w14:textId="77777777" w:rsidR="006F5FB2" w:rsidRPr="00D242CC" w:rsidRDefault="006F5FB2" w:rsidP="003F6F1A">
            <w:pPr>
              <w:keepNext/>
              <w:tabs>
                <w:tab w:val="left" w:pos="360"/>
              </w:tabs>
              <w:suppressAutoHyphens/>
              <w:spacing w:after="0" w:line="240" w:lineRule="auto"/>
              <w:jc w:val="center"/>
              <w:rPr>
                <w:rFonts w:ascii="Arial" w:hAnsi="Arial" w:cs="Arial"/>
                <w:b/>
                <w:sz w:val="20"/>
                <w:szCs w:val="20"/>
                <w:lang w:val="en-CA"/>
              </w:rPr>
            </w:pPr>
            <w:r w:rsidRPr="00D242CC">
              <w:rPr>
                <w:rFonts w:ascii="Arial" w:hAnsi="Arial" w:cs="Arial"/>
                <w:b/>
                <w:sz w:val="20"/>
                <w:szCs w:val="20"/>
                <w:lang w:val="en-CA"/>
              </w:rPr>
              <w:t>Number Outstanding</w:t>
            </w:r>
          </w:p>
        </w:tc>
      </w:tr>
      <w:tr w:rsidR="00F56B6B" w:rsidRPr="00DA4360" w14:paraId="2F7F4950" w14:textId="77777777" w:rsidTr="00524611">
        <w:tc>
          <w:tcPr>
            <w:tcW w:w="4765" w:type="dxa"/>
            <w:shd w:val="clear" w:color="auto" w:fill="auto"/>
          </w:tcPr>
          <w:p w14:paraId="74E6AEF1" w14:textId="77777777" w:rsidR="00F56B6B" w:rsidRPr="00DA4360" w:rsidRDefault="00F56B6B" w:rsidP="003F6F1A">
            <w:pPr>
              <w:keepNext/>
              <w:tabs>
                <w:tab w:val="left" w:pos="360"/>
              </w:tabs>
              <w:suppressAutoHyphens/>
              <w:spacing w:after="0" w:line="240" w:lineRule="auto"/>
              <w:jc w:val="center"/>
              <w:rPr>
                <w:rFonts w:ascii="Arial" w:hAnsi="Arial" w:cs="Arial"/>
                <w:sz w:val="20"/>
                <w:szCs w:val="20"/>
                <w:lang w:val="en-CA"/>
              </w:rPr>
            </w:pPr>
            <w:r w:rsidRPr="00DA4360">
              <w:rPr>
                <w:rFonts w:ascii="Arial" w:hAnsi="Arial" w:cs="Arial"/>
                <w:sz w:val="20"/>
                <w:szCs w:val="20"/>
                <w:lang w:val="en-CA"/>
              </w:rPr>
              <w:t>Common Shares</w:t>
            </w:r>
          </w:p>
        </w:tc>
        <w:tc>
          <w:tcPr>
            <w:tcW w:w="4590" w:type="dxa"/>
            <w:shd w:val="clear" w:color="auto" w:fill="auto"/>
          </w:tcPr>
          <w:p w14:paraId="50D25121" w14:textId="00D2DD2E" w:rsidR="00F56B6B" w:rsidRPr="00D242CC" w:rsidRDefault="005C15D5" w:rsidP="003F6F1A">
            <w:pPr>
              <w:keepNext/>
              <w:tabs>
                <w:tab w:val="left" w:pos="360"/>
              </w:tabs>
              <w:suppressAutoHyphens/>
              <w:spacing w:after="0" w:line="240" w:lineRule="auto"/>
              <w:jc w:val="center"/>
              <w:rPr>
                <w:rFonts w:ascii="Arial" w:hAnsi="Arial" w:cs="Arial"/>
                <w:sz w:val="20"/>
                <w:szCs w:val="20"/>
                <w:lang w:val="en-CA"/>
              </w:rPr>
            </w:pPr>
            <w:r w:rsidRPr="00D242CC">
              <w:rPr>
                <w:rFonts w:ascii="Arial" w:hAnsi="Arial" w:cs="Arial"/>
                <w:sz w:val="20"/>
                <w:szCs w:val="20"/>
                <w:lang w:val="en-CA"/>
              </w:rPr>
              <w:t>13</w:t>
            </w:r>
            <w:r w:rsidR="00D242CC" w:rsidRPr="00D242CC">
              <w:rPr>
                <w:rFonts w:ascii="Arial" w:hAnsi="Arial" w:cs="Arial"/>
                <w:sz w:val="20"/>
                <w:szCs w:val="20"/>
                <w:lang w:val="en-CA"/>
              </w:rPr>
              <w:t>2,962,290</w:t>
            </w:r>
          </w:p>
        </w:tc>
      </w:tr>
      <w:tr w:rsidR="00F56B6B" w:rsidRPr="00DA4360" w14:paraId="445FE459" w14:textId="77777777" w:rsidTr="00524611">
        <w:tc>
          <w:tcPr>
            <w:tcW w:w="4765" w:type="dxa"/>
            <w:shd w:val="clear" w:color="auto" w:fill="auto"/>
          </w:tcPr>
          <w:p w14:paraId="412C523C" w14:textId="77777777" w:rsidR="00F56B6B" w:rsidRPr="00DA4360" w:rsidRDefault="00F56B6B" w:rsidP="003F6F1A">
            <w:pPr>
              <w:tabs>
                <w:tab w:val="left" w:pos="360"/>
              </w:tabs>
              <w:suppressAutoHyphens/>
              <w:spacing w:after="0" w:line="240" w:lineRule="auto"/>
              <w:jc w:val="center"/>
              <w:rPr>
                <w:rFonts w:ascii="Arial" w:hAnsi="Arial" w:cs="Arial"/>
                <w:sz w:val="20"/>
                <w:szCs w:val="20"/>
                <w:lang w:val="en-CA"/>
              </w:rPr>
            </w:pPr>
            <w:r w:rsidRPr="00DA4360">
              <w:rPr>
                <w:rFonts w:ascii="Arial" w:hAnsi="Arial" w:cs="Arial"/>
                <w:sz w:val="20"/>
                <w:szCs w:val="20"/>
                <w:lang w:val="en-CA"/>
              </w:rPr>
              <w:t>Stock Options</w:t>
            </w:r>
          </w:p>
        </w:tc>
        <w:tc>
          <w:tcPr>
            <w:tcW w:w="4590" w:type="dxa"/>
            <w:shd w:val="clear" w:color="auto" w:fill="auto"/>
          </w:tcPr>
          <w:p w14:paraId="5C5BAF45" w14:textId="77777777" w:rsidR="00F56B6B" w:rsidRPr="00D242CC" w:rsidRDefault="005C15D5" w:rsidP="003F6F1A">
            <w:pPr>
              <w:tabs>
                <w:tab w:val="left" w:pos="360"/>
              </w:tabs>
              <w:suppressAutoHyphens/>
              <w:spacing w:after="0" w:line="240" w:lineRule="auto"/>
              <w:jc w:val="center"/>
              <w:rPr>
                <w:rFonts w:ascii="Arial" w:hAnsi="Arial" w:cs="Arial"/>
                <w:sz w:val="20"/>
                <w:szCs w:val="20"/>
                <w:lang w:val="en-CA"/>
              </w:rPr>
            </w:pPr>
            <w:r w:rsidRPr="00D242CC">
              <w:rPr>
                <w:rFonts w:ascii="Arial" w:hAnsi="Arial" w:cs="Arial"/>
                <w:sz w:val="20"/>
                <w:szCs w:val="20"/>
                <w:lang w:val="en-CA"/>
              </w:rPr>
              <w:t>10,450,000</w:t>
            </w:r>
          </w:p>
        </w:tc>
      </w:tr>
      <w:tr w:rsidR="00F56B6B" w:rsidRPr="00DA4360" w14:paraId="6964F6ED" w14:textId="77777777" w:rsidTr="00524611">
        <w:tc>
          <w:tcPr>
            <w:tcW w:w="4765" w:type="dxa"/>
            <w:tcBorders>
              <w:bottom w:val="single" w:sz="18" w:space="0" w:color="auto"/>
            </w:tcBorders>
            <w:shd w:val="clear" w:color="auto" w:fill="auto"/>
          </w:tcPr>
          <w:p w14:paraId="2DC814F5" w14:textId="77777777" w:rsidR="00F56B6B" w:rsidRPr="00DA4360" w:rsidRDefault="00F56B6B" w:rsidP="003F6F1A">
            <w:pPr>
              <w:tabs>
                <w:tab w:val="left" w:pos="360"/>
              </w:tabs>
              <w:suppressAutoHyphens/>
              <w:spacing w:after="0" w:line="240" w:lineRule="auto"/>
              <w:jc w:val="center"/>
              <w:rPr>
                <w:rFonts w:ascii="Arial" w:hAnsi="Arial" w:cs="Arial"/>
                <w:sz w:val="20"/>
                <w:szCs w:val="20"/>
                <w:lang w:val="en-CA"/>
              </w:rPr>
            </w:pPr>
            <w:r w:rsidRPr="00DA4360">
              <w:rPr>
                <w:rFonts w:ascii="Arial" w:hAnsi="Arial" w:cs="Arial"/>
                <w:sz w:val="20"/>
                <w:szCs w:val="20"/>
                <w:lang w:val="en-CA"/>
              </w:rPr>
              <w:t>Warrants</w:t>
            </w:r>
          </w:p>
        </w:tc>
        <w:tc>
          <w:tcPr>
            <w:tcW w:w="4590" w:type="dxa"/>
            <w:tcBorders>
              <w:bottom w:val="single" w:sz="18" w:space="0" w:color="auto"/>
            </w:tcBorders>
            <w:shd w:val="clear" w:color="auto" w:fill="auto"/>
          </w:tcPr>
          <w:p w14:paraId="6FD8C0AF" w14:textId="347BE802" w:rsidR="00F56B6B" w:rsidRPr="00D242CC" w:rsidRDefault="00D242CC" w:rsidP="003F6F1A">
            <w:pPr>
              <w:tabs>
                <w:tab w:val="left" w:pos="360"/>
              </w:tabs>
              <w:suppressAutoHyphens/>
              <w:spacing w:after="0" w:line="240" w:lineRule="auto"/>
              <w:jc w:val="center"/>
              <w:rPr>
                <w:rFonts w:ascii="Arial" w:hAnsi="Arial" w:cs="Arial"/>
                <w:sz w:val="20"/>
                <w:szCs w:val="20"/>
                <w:lang w:val="en-CA"/>
              </w:rPr>
            </w:pPr>
            <w:r w:rsidRPr="00D242CC">
              <w:rPr>
                <w:rFonts w:ascii="Arial" w:hAnsi="Arial" w:cs="Arial"/>
                <w:sz w:val="20"/>
                <w:szCs w:val="20"/>
                <w:lang w:val="en-CA"/>
              </w:rPr>
              <w:t>45,348,863</w:t>
            </w:r>
          </w:p>
        </w:tc>
      </w:tr>
    </w:tbl>
    <w:p w14:paraId="6E458F21" w14:textId="77777777" w:rsidR="001D7767" w:rsidRDefault="001D7767" w:rsidP="003F6F1A">
      <w:pPr>
        <w:pBdr>
          <w:bottom w:val="single" w:sz="12" w:space="1" w:color="auto"/>
        </w:pBdr>
        <w:autoSpaceDE w:val="0"/>
        <w:autoSpaceDN w:val="0"/>
        <w:adjustRightInd w:val="0"/>
        <w:spacing w:after="0"/>
        <w:jc w:val="both"/>
        <w:rPr>
          <w:rFonts w:ascii="Arial" w:hAnsi="Arial" w:cs="Arial"/>
          <w:b/>
          <w:sz w:val="20"/>
          <w:szCs w:val="20"/>
        </w:rPr>
      </w:pPr>
    </w:p>
    <w:p w14:paraId="7D90D1A2" w14:textId="77777777" w:rsidR="001F1660" w:rsidRPr="000E5C02" w:rsidRDefault="000E5C02" w:rsidP="003F6F1A">
      <w:pPr>
        <w:pBdr>
          <w:bottom w:val="single" w:sz="12" w:space="1" w:color="auto"/>
        </w:pBdr>
        <w:autoSpaceDE w:val="0"/>
        <w:autoSpaceDN w:val="0"/>
        <w:adjustRightInd w:val="0"/>
        <w:spacing w:after="0"/>
        <w:jc w:val="both"/>
        <w:rPr>
          <w:rFonts w:ascii="Arial" w:hAnsi="Arial" w:cs="Arial"/>
          <w:b/>
          <w:sz w:val="20"/>
          <w:szCs w:val="20"/>
        </w:rPr>
      </w:pPr>
      <w:r w:rsidRPr="001A7752">
        <w:rPr>
          <w:rFonts w:ascii="Arial" w:hAnsi="Arial" w:cs="Arial"/>
          <w:b/>
          <w:sz w:val="20"/>
          <w:szCs w:val="20"/>
        </w:rPr>
        <w:t>RISKS AND UNCERTAINTIES</w:t>
      </w:r>
      <w:r w:rsidR="00BE1DF8" w:rsidRPr="001A7752">
        <w:rPr>
          <w:rFonts w:ascii="Arial" w:hAnsi="Arial" w:cs="Arial"/>
          <w:b/>
          <w:sz w:val="20"/>
          <w:szCs w:val="20"/>
        </w:rPr>
        <w:t xml:space="preserve"> </w:t>
      </w:r>
    </w:p>
    <w:p w14:paraId="37C71C61" w14:textId="77777777" w:rsidR="000E5C02" w:rsidRDefault="000E5C02" w:rsidP="003F6F1A">
      <w:pPr>
        <w:spacing w:after="0"/>
        <w:jc w:val="both"/>
        <w:rPr>
          <w:rFonts w:ascii="Arial" w:hAnsi="Arial" w:cs="Arial"/>
          <w:sz w:val="20"/>
          <w:szCs w:val="20"/>
        </w:rPr>
      </w:pPr>
    </w:p>
    <w:p w14:paraId="6C9877B3" w14:textId="77777777" w:rsidR="000E5C02" w:rsidRDefault="009E0B8F" w:rsidP="003F6F1A">
      <w:pPr>
        <w:keepNext/>
        <w:tabs>
          <w:tab w:val="left" w:pos="360"/>
        </w:tabs>
        <w:suppressAutoHyphens/>
        <w:spacing w:after="0"/>
        <w:jc w:val="both"/>
        <w:rPr>
          <w:rFonts w:ascii="Arial" w:hAnsi="Arial" w:cs="Arial"/>
          <w:sz w:val="20"/>
          <w:szCs w:val="20"/>
        </w:rPr>
      </w:pPr>
      <w:r w:rsidRPr="009E0B8F">
        <w:rPr>
          <w:rFonts w:ascii="Arial" w:hAnsi="Arial" w:cs="Arial"/>
          <w:sz w:val="20"/>
          <w:szCs w:val="20"/>
        </w:rPr>
        <w:t>For a detailed listing of the risk factors faced by the Company, please refer to the Company’s MD&amp;A for the year ended December 31, 2018.</w:t>
      </w:r>
    </w:p>
    <w:p w14:paraId="3034EC4A" w14:textId="77777777" w:rsidR="002D7686" w:rsidRDefault="002D7686" w:rsidP="003F6F1A">
      <w:pPr>
        <w:keepNext/>
        <w:tabs>
          <w:tab w:val="left" w:pos="360"/>
        </w:tabs>
        <w:suppressAutoHyphens/>
        <w:spacing w:after="0"/>
        <w:jc w:val="both"/>
        <w:rPr>
          <w:rFonts w:ascii="Arial" w:hAnsi="Arial" w:cs="Arial"/>
          <w:sz w:val="20"/>
          <w:szCs w:val="20"/>
        </w:rPr>
      </w:pPr>
    </w:p>
    <w:p w14:paraId="795999D6" w14:textId="77777777" w:rsidR="00C00F4C" w:rsidRPr="001A7752" w:rsidRDefault="00C00F4C" w:rsidP="003F6F1A">
      <w:pPr>
        <w:pStyle w:val="NormalWeb"/>
        <w:pBdr>
          <w:bottom w:val="single" w:sz="12" w:space="1" w:color="auto"/>
        </w:pBdr>
        <w:spacing w:before="0" w:beforeAutospacing="0" w:after="0" w:afterAutospacing="0"/>
        <w:rPr>
          <w:rFonts w:ascii="Arial" w:hAnsi="Arial" w:cs="Arial"/>
          <w:b/>
          <w:bCs/>
          <w:color w:val="000000"/>
          <w:sz w:val="20"/>
          <w:szCs w:val="20"/>
        </w:rPr>
      </w:pPr>
      <w:r w:rsidRPr="001A7752">
        <w:rPr>
          <w:rFonts w:ascii="Arial" w:hAnsi="Arial" w:cs="Arial"/>
          <w:b/>
          <w:bCs/>
          <w:color w:val="000000"/>
          <w:sz w:val="20"/>
          <w:szCs w:val="20"/>
        </w:rPr>
        <w:t>CAUTIONARY NOTE REGARDING FORWARD LOOKING STATEMENTS</w:t>
      </w:r>
      <w:r w:rsidR="00BE1DF8" w:rsidRPr="001A7752">
        <w:rPr>
          <w:rFonts w:ascii="Arial" w:hAnsi="Arial" w:cs="Arial"/>
          <w:b/>
          <w:bCs/>
          <w:color w:val="000000"/>
          <w:sz w:val="20"/>
          <w:szCs w:val="20"/>
        </w:rPr>
        <w:t xml:space="preserve"> </w:t>
      </w:r>
    </w:p>
    <w:p w14:paraId="7D6FA777" w14:textId="77777777" w:rsidR="00C00F4C" w:rsidRPr="001A7752" w:rsidRDefault="00C00F4C" w:rsidP="003F6F1A">
      <w:pPr>
        <w:pStyle w:val="NormalWeb"/>
        <w:spacing w:before="0" w:beforeAutospacing="0" w:after="0" w:afterAutospacing="0"/>
        <w:rPr>
          <w:rFonts w:ascii="Arial" w:hAnsi="Arial" w:cs="Arial"/>
          <w:sz w:val="20"/>
          <w:szCs w:val="20"/>
        </w:rPr>
      </w:pPr>
    </w:p>
    <w:p w14:paraId="3F7882D5" w14:textId="77777777" w:rsidR="00C00F4C" w:rsidRDefault="00C00F4C" w:rsidP="003F6F1A">
      <w:pPr>
        <w:spacing w:after="0"/>
        <w:jc w:val="both"/>
        <w:rPr>
          <w:rFonts w:ascii="Arial" w:hAnsi="Arial" w:cs="Arial"/>
          <w:sz w:val="20"/>
          <w:szCs w:val="20"/>
        </w:rPr>
      </w:pPr>
      <w:r w:rsidRPr="001A7752">
        <w:rPr>
          <w:rFonts w:ascii="Arial" w:hAnsi="Arial" w:cs="Arial"/>
          <w:sz w:val="20"/>
          <w:szCs w:val="20"/>
        </w:rPr>
        <w:t>This MD&amp;A contains certain information that may constitute “forward-looking information” and “forward-looking statements” (collectively, “</w:t>
      </w:r>
      <w:r w:rsidRPr="001A7752">
        <w:rPr>
          <w:rFonts w:ascii="Arial" w:hAnsi="Arial" w:cs="Arial"/>
          <w:b/>
          <w:bCs/>
          <w:sz w:val="20"/>
          <w:szCs w:val="20"/>
        </w:rPr>
        <w:t>forward-looking statements</w:t>
      </w:r>
      <w:r w:rsidRPr="001A7752">
        <w:rPr>
          <w:rFonts w:ascii="Arial" w:hAnsi="Arial" w:cs="Arial"/>
          <w:sz w:val="20"/>
          <w:szCs w:val="20"/>
        </w:rPr>
        <w:t>”) which are based upon the Company’s current internal expectations, estimates, projections, assumptions and beliefs. Such statements can be identified by the use of forward</w:t>
      </w:r>
      <w:r w:rsidRPr="00C90A0A">
        <w:rPr>
          <w:rFonts w:ascii="Arial" w:hAnsi="Arial" w:cs="Arial"/>
          <w:sz w:val="20"/>
          <w:szCs w:val="20"/>
        </w:rPr>
        <w:t xml:space="preserve">-looking terminology such as "expect," “likely”, "may," "will," "should," "intend," or "anticipate", “potential”, “proposed”, “estimate” and other similar words, including negative and grammatical variations thereof, or statements that certain events or conditions “may” or “will” happen, or by discussions of strategy. Forward-looking statements include estimates, plans, expectations, opinions, forecasts, projections, targets, guidance, or other statements that are not statements of fact. The forward-looking statements included in this MD&amp;A are made only as of the date of this MD&amp;A. </w:t>
      </w:r>
    </w:p>
    <w:p w14:paraId="0D3FEFF0" w14:textId="77777777" w:rsidR="00FD6918" w:rsidRDefault="00FD6918" w:rsidP="003F6F1A">
      <w:pPr>
        <w:spacing w:after="0"/>
        <w:jc w:val="both"/>
        <w:rPr>
          <w:rFonts w:ascii="Arial" w:hAnsi="Arial" w:cs="Arial"/>
          <w:sz w:val="20"/>
          <w:szCs w:val="20"/>
        </w:rPr>
      </w:pPr>
    </w:p>
    <w:p w14:paraId="68E47365" w14:textId="77777777" w:rsidR="00C00F4C" w:rsidRPr="00C90A0A" w:rsidRDefault="00C00F4C" w:rsidP="003F6F1A">
      <w:pPr>
        <w:spacing w:after="0"/>
        <w:jc w:val="both"/>
        <w:rPr>
          <w:rFonts w:ascii="Arial" w:hAnsi="Arial" w:cs="Arial"/>
          <w:sz w:val="20"/>
          <w:szCs w:val="20"/>
        </w:rPr>
      </w:pPr>
      <w:r w:rsidRPr="00C90A0A">
        <w:rPr>
          <w:rFonts w:ascii="Arial" w:hAnsi="Arial" w:cs="Arial"/>
          <w:sz w:val="20"/>
          <w:szCs w:val="20"/>
        </w:rPr>
        <w:t xml:space="preserve">Forward-looking statements in this MD&amp;A include, but are not limited to, statements with respect to: </w:t>
      </w:r>
    </w:p>
    <w:p w14:paraId="1F2BE626" w14:textId="77777777" w:rsidR="00C00F4C" w:rsidRPr="00C90A0A" w:rsidRDefault="00C00F4C" w:rsidP="003F6F1A">
      <w:pPr>
        <w:spacing w:after="0"/>
        <w:ind w:left="720"/>
        <w:rPr>
          <w:rFonts w:ascii="Arial" w:hAnsi="Arial" w:cs="Arial"/>
          <w:sz w:val="20"/>
          <w:szCs w:val="20"/>
        </w:rPr>
      </w:pPr>
      <w:r w:rsidRPr="00C90A0A">
        <w:rPr>
          <w:rFonts w:ascii="Arial" w:hAnsi="Arial" w:cs="Arial"/>
          <w:sz w:val="20"/>
          <w:szCs w:val="20"/>
        </w:rPr>
        <w:t xml:space="preserve">• licensing risks; </w:t>
      </w:r>
    </w:p>
    <w:p w14:paraId="72290E54" w14:textId="77777777" w:rsidR="00C00F4C" w:rsidRPr="00C90A0A" w:rsidRDefault="00C00F4C" w:rsidP="003F6F1A">
      <w:pPr>
        <w:spacing w:after="0"/>
        <w:ind w:left="720"/>
        <w:rPr>
          <w:rFonts w:ascii="Arial" w:hAnsi="Arial" w:cs="Arial"/>
          <w:sz w:val="20"/>
          <w:szCs w:val="20"/>
        </w:rPr>
      </w:pPr>
      <w:r w:rsidRPr="00C90A0A">
        <w:rPr>
          <w:rFonts w:ascii="Arial" w:hAnsi="Arial" w:cs="Arial"/>
          <w:sz w:val="20"/>
          <w:szCs w:val="20"/>
        </w:rPr>
        <w:t xml:space="preserve">• regulatory risks; </w:t>
      </w:r>
    </w:p>
    <w:p w14:paraId="2C179425" w14:textId="77777777" w:rsidR="00C00F4C" w:rsidRPr="00C90A0A" w:rsidRDefault="00C00F4C" w:rsidP="003F6F1A">
      <w:pPr>
        <w:spacing w:after="0"/>
        <w:ind w:left="720"/>
        <w:rPr>
          <w:rFonts w:ascii="Arial" w:hAnsi="Arial" w:cs="Arial"/>
          <w:sz w:val="20"/>
          <w:szCs w:val="20"/>
        </w:rPr>
      </w:pPr>
      <w:r w:rsidRPr="00C90A0A">
        <w:rPr>
          <w:rFonts w:ascii="Arial" w:hAnsi="Arial" w:cs="Arial"/>
          <w:sz w:val="20"/>
          <w:szCs w:val="20"/>
        </w:rPr>
        <w:t xml:space="preserve">• change in laws, regulations and guidelines; </w:t>
      </w:r>
    </w:p>
    <w:p w14:paraId="1F9B0B03" w14:textId="77777777" w:rsidR="00C00F4C" w:rsidRPr="00C90A0A" w:rsidRDefault="00C00F4C" w:rsidP="003F6F1A">
      <w:pPr>
        <w:spacing w:after="0"/>
        <w:ind w:left="720"/>
        <w:rPr>
          <w:rFonts w:ascii="Arial" w:hAnsi="Arial" w:cs="Arial"/>
          <w:sz w:val="20"/>
          <w:szCs w:val="20"/>
        </w:rPr>
      </w:pPr>
      <w:r w:rsidRPr="00C90A0A">
        <w:rPr>
          <w:rFonts w:ascii="Arial" w:hAnsi="Arial" w:cs="Arial"/>
          <w:sz w:val="20"/>
          <w:szCs w:val="20"/>
        </w:rPr>
        <w:t xml:space="preserve">• market risks; </w:t>
      </w:r>
    </w:p>
    <w:p w14:paraId="1A023514" w14:textId="77777777" w:rsidR="00C00F4C" w:rsidRPr="00C90A0A" w:rsidRDefault="00C00F4C" w:rsidP="003F6F1A">
      <w:pPr>
        <w:spacing w:after="0"/>
        <w:ind w:left="720"/>
        <w:rPr>
          <w:rFonts w:ascii="Arial" w:hAnsi="Arial" w:cs="Arial"/>
          <w:sz w:val="20"/>
          <w:szCs w:val="20"/>
        </w:rPr>
      </w:pPr>
      <w:r w:rsidRPr="00C90A0A">
        <w:rPr>
          <w:rFonts w:ascii="Arial" w:hAnsi="Arial" w:cs="Arial"/>
          <w:sz w:val="20"/>
          <w:szCs w:val="20"/>
        </w:rPr>
        <w:t xml:space="preserve">• expansion of facilities; </w:t>
      </w:r>
    </w:p>
    <w:p w14:paraId="61BB0293" w14:textId="77777777" w:rsidR="00C00F4C" w:rsidRPr="00C90A0A" w:rsidRDefault="00C00F4C" w:rsidP="003F6F1A">
      <w:pPr>
        <w:spacing w:after="0"/>
        <w:ind w:left="720"/>
        <w:rPr>
          <w:rFonts w:ascii="Arial" w:hAnsi="Arial" w:cs="Arial"/>
          <w:sz w:val="20"/>
          <w:szCs w:val="20"/>
        </w:rPr>
      </w:pPr>
      <w:r w:rsidRPr="00C90A0A">
        <w:rPr>
          <w:rFonts w:ascii="Arial" w:hAnsi="Arial" w:cs="Arial"/>
          <w:sz w:val="20"/>
          <w:szCs w:val="20"/>
        </w:rPr>
        <w:t xml:space="preserve">• history of net losses; and </w:t>
      </w:r>
    </w:p>
    <w:p w14:paraId="5E5EB816" w14:textId="77777777" w:rsidR="00C00F4C" w:rsidRDefault="00C00F4C" w:rsidP="003F6F1A">
      <w:pPr>
        <w:spacing w:after="0"/>
        <w:ind w:left="720"/>
        <w:rPr>
          <w:rFonts w:ascii="Arial" w:hAnsi="Arial" w:cs="Arial"/>
          <w:sz w:val="20"/>
          <w:szCs w:val="20"/>
        </w:rPr>
      </w:pPr>
      <w:r w:rsidRPr="00C90A0A">
        <w:rPr>
          <w:rFonts w:ascii="Arial" w:hAnsi="Arial" w:cs="Arial"/>
          <w:sz w:val="20"/>
          <w:szCs w:val="20"/>
        </w:rPr>
        <w:t xml:space="preserve">• competition. </w:t>
      </w:r>
    </w:p>
    <w:p w14:paraId="72C91967" w14:textId="77777777" w:rsidR="00C33AED" w:rsidRDefault="00C33AED" w:rsidP="003F6F1A">
      <w:pPr>
        <w:spacing w:after="0"/>
        <w:jc w:val="both"/>
        <w:rPr>
          <w:rFonts w:ascii="Arial" w:hAnsi="Arial" w:cs="Arial"/>
          <w:sz w:val="20"/>
          <w:szCs w:val="20"/>
        </w:rPr>
      </w:pPr>
    </w:p>
    <w:p w14:paraId="27E07676" w14:textId="77777777" w:rsidR="00C00F4C" w:rsidRDefault="00C00F4C" w:rsidP="003F6F1A">
      <w:pPr>
        <w:spacing w:after="0"/>
        <w:jc w:val="both"/>
        <w:rPr>
          <w:rFonts w:ascii="Arial" w:hAnsi="Arial" w:cs="Arial"/>
          <w:sz w:val="20"/>
          <w:szCs w:val="20"/>
        </w:rPr>
      </w:pPr>
      <w:r w:rsidRPr="00C90A0A">
        <w:rPr>
          <w:rFonts w:ascii="Arial" w:hAnsi="Arial" w:cs="Arial"/>
          <w:sz w:val="20"/>
          <w:szCs w:val="20"/>
        </w:rPr>
        <w:t xml:space="preserve">Certain of the forward-looking statements and forward-looking information and other information contained herein concerning the medical cannabis industry and the general expectations of the Company concerning the medical cannabis industry and concerning the Company are based on estimates prepared by the Company using data from publicly available governmental sources as well as from market research and industry analysis and on assumptions based on data and knowledge of this industry which the Company believe to be reasonable. While the Company is not aware of any misstatement regarding any industry or government data presented herein, the medical cannabis industry involves risks and uncertainties that are subject to change based on various factors and the Company has not independently verified such third party information. </w:t>
      </w:r>
    </w:p>
    <w:p w14:paraId="692D5206" w14:textId="77777777" w:rsidR="00F56B6B" w:rsidRDefault="00F56B6B" w:rsidP="003F6F1A">
      <w:pPr>
        <w:spacing w:after="0" w:line="240" w:lineRule="auto"/>
        <w:jc w:val="both"/>
        <w:rPr>
          <w:rFonts w:ascii="Arial" w:hAnsi="Arial" w:cs="Arial"/>
          <w:sz w:val="20"/>
          <w:szCs w:val="20"/>
        </w:rPr>
      </w:pPr>
    </w:p>
    <w:p w14:paraId="0D0632FE" w14:textId="77777777" w:rsidR="00524611" w:rsidRDefault="00524611" w:rsidP="003F6F1A">
      <w:pPr>
        <w:spacing w:after="0" w:line="240" w:lineRule="auto"/>
        <w:jc w:val="both"/>
        <w:rPr>
          <w:rFonts w:ascii="Arial" w:hAnsi="Arial" w:cs="Arial"/>
          <w:sz w:val="20"/>
          <w:szCs w:val="20"/>
        </w:rPr>
      </w:pPr>
    </w:p>
    <w:p w14:paraId="2389CB70" w14:textId="77777777" w:rsidR="00524611" w:rsidRDefault="00524611" w:rsidP="003F6F1A">
      <w:pPr>
        <w:spacing w:after="0" w:line="240" w:lineRule="auto"/>
        <w:jc w:val="both"/>
        <w:rPr>
          <w:rFonts w:ascii="Arial" w:hAnsi="Arial" w:cs="Arial"/>
          <w:sz w:val="20"/>
          <w:szCs w:val="20"/>
        </w:rPr>
      </w:pPr>
    </w:p>
    <w:p w14:paraId="6DC77A57" w14:textId="77777777" w:rsidR="00524611" w:rsidRDefault="00524611" w:rsidP="003F6F1A">
      <w:pPr>
        <w:spacing w:after="0" w:line="240" w:lineRule="auto"/>
        <w:jc w:val="both"/>
        <w:rPr>
          <w:rFonts w:ascii="Arial" w:hAnsi="Arial" w:cs="Arial"/>
          <w:sz w:val="20"/>
          <w:szCs w:val="20"/>
        </w:rPr>
      </w:pPr>
    </w:p>
    <w:p w14:paraId="4A1B8ED0" w14:textId="77777777" w:rsidR="00524611" w:rsidRDefault="00524611" w:rsidP="003F6F1A">
      <w:pPr>
        <w:spacing w:after="0" w:line="240" w:lineRule="auto"/>
        <w:jc w:val="both"/>
        <w:rPr>
          <w:rFonts w:ascii="Arial" w:hAnsi="Arial" w:cs="Arial"/>
          <w:sz w:val="20"/>
          <w:szCs w:val="20"/>
        </w:rPr>
      </w:pPr>
    </w:p>
    <w:p w14:paraId="0AB0A320" w14:textId="18AD4422" w:rsidR="001F1660" w:rsidRDefault="00C00F4C" w:rsidP="003F6F1A">
      <w:pPr>
        <w:spacing w:after="0" w:line="240" w:lineRule="auto"/>
        <w:jc w:val="both"/>
      </w:pPr>
      <w:r w:rsidRPr="00C90A0A">
        <w:rPr>
          <w:rFonts w:ascii="Arial" w:hAnsi="Arial" w:cs="Arial"/>
          <w:sz w:val="20"/>
          <w:szCs w:val="20"/>
        </w:rPr>
        <w:t>Although the Company believes that the expectations reflected in such forward-looking statements are reasonable, it can give no assurance that such expectations will prove to have been correct. The Company’s forward-looking statements are expressly qualified in their entirety by this cautionary statement. In particular, but without limiting the foregoing, disclosure in this MD&amp;A under “</w:t>
      </w:r>
      <w:r w:rsidRPr="00C90A0A">
        <w:rPr>
          <w:rFonts w:ascii="Arial" w:hAnsi="Arial" w:cs="Arial"/>
          <w:i/>
          <w:iCs/>
          <w:sz w:val="20"/>
          <w:szCs w:val="20"/>
        </w:rPr>
        <w:t>Business</w:t>
      </w:r>
      <w:r>
        <w:rPr>
          <w:rFonts w:ascii="Arial" w:hAnsi="Arial" w:cs="Arial"/>
          <w:i/>
          <w:iCs/>
          <w:sz w:val="20"/>
          <w:szCs w:val="20"/>
        </w:rPr>
        <w:t xml:space="preserve"> Overview</w:t>
      </w:r>
      <w:r w:rsidRPr="00C90A0A">
        <w:rPr>
          <w:rFonts w:ascii="Arial" w:hAnsi="Arial" w:cs="Arial"/>
          <w:sz w:val="20"/>
          <w:szCs w:val="20"/>
        </w:rPr>
        <w:t>” as well as statements regarding the Company’s objectives, plans and goals, including future operating results, economic performance and patient acquisition efforts may make reference to or involve forward- looking statements. A number of factors could cause actual events, performance or results to differ materially from what is projected in the forward-looking statements. See “Risk Factors” for further details. The purpose of forward- looking statements is to provide the reader with a description of management’s expectations, and such forward-looking statements may not be appropriate for any other purpose. You should not place undue reliance on forward- looking statements contained in this MD&amp;A. The Company undertakes no obligation to update or revise any forward- looking statements, whether as a result of new information, future events or otherwise, except as required by applicable law</w:t>
      </w:r>
      <w:r w:rsidR="00D6448D">
        <w:rPr>
          <w:rFonts w:ascii="Arial" w:hAnsi="Arial" w:cs="Arial"/>
          <w:sz w:val="20"/>
          <w:szCs w:val="20"/>
        </w:rPr>
        <w:t>.</w:t>
      </w:r>
    </w:p>
    <w:sectPr w:rsidR="001F1660" w:rsidSect="00F6674B">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7C8A8" w14:textId="77777777" w:rsidR="000A24FE" w:rsidRDefault="000A24FE" w:rsidP="00C90A0A">
      <w:pPr>
        <w:spacing w:after="0" w:line="240" w:lineRule="auto"/>
      </w:pPr>
      <w:r>
        <w:separator/>
      </w:r>
    </w:p>
  </w:endnote>
  <w:endnote w:type="continuationSeparator" w:id="0">
    <w:p w14:paraId="4AC8CA06" w14:textId="77777777" w:rsidR="000A24FE" w:rsidRDefault="000A24FE" w:rsidP="00C90A0A">
      <w:pPr>
        <w:spacing w:after="0" w:line="240" w:lineRule="auto"/>
      </w:pPr>
      <w:r>
        <w:continuationSeparator/>
      </w:r>
    </w:p>
  </w:endnote>
  <w:endnote w:type="continuationNotice" w:id="1">
    <w:p w14:paraId="239A13E6" w14:textId="77777777" w:rsidR="000A24FE" w:rsidRDefault="000A24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43BAF" w14:textId="77777777" w:rsidR="000A24FE" w:rsidRDefault="000A24FE">
    <w:pPr>
      <w:pStyle w:val="Footer"/>
      <w:jc w:val="center"/>
    </w:pPr>
    <w:r>
      <w:fldChar w:fldCharType="begin"/>
    </w:r>
    <w:r>
      <w:instrText xml:space="preserve"> PAGE   \* MERGEFORMAT </w:instrText>
    </w:r>
    <w:r>
      <w:fldChar w:fldCharType="separate"/>
    </w:r>
    <w:r>
      <w:rPr>
        <w:noProof/>
      </w:rPr>
      <w:t>1</w:t>
    </w:r>
    <w:r>
      <w:rPr>
        <w:noProof/>
      </w:rPr>
      <w:fldChar w:fldCharType="end"/>
    </w:r>
  </w:p>
  <w:p w14:paraId="00D2984C" w14:textId="77777777" w:rsidR="000A24FE" w:rsidRDefault="000A2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19D7E" w14:textId="77777777" w:rsidR="000A24FE" w:rsidRDefault="000A24FE" w:rsidP="00C90A0A">
      <w:pPr>
        <w:spacing w:after="0" w:line="240" w:lineRule="auto"/>
      </w:pPr>
      <w:r>
        <w:separator/>
      </w:r>
    </w:p>
  </w:footnote>
  <w:footnote w:type="continuationSeparator" w:id="0">
    <w:p w14:paraId="7D70C493" w14:textId="77777777" w:rsidR="000A24FE" w:rsidRDefault="000A24FE" w:rsidP="00C90A0A">
      <w:pPr>
        <w:spacing w:after="0" w:line="240" w:lineRule="auto"/>
      </w:pPr>
      <w:r>
        <w:continuationSeparator/>
      </w:r>
    </w:p>
  </w:footnote>
  <w:footnote w:type="continuationNotice" w:id="1">
    <w:p w14:paraId="20AA6326" w14:textId="77777777" w:rsidR="000A24FE" w:rsidRDefault="000A24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86AA6" w14:textId="77777777" w:rsidR="000A24FE" w:rsidRPr="00265FF2" w:rsidRDefault="000A24FE" w:rsidP="000E5C02">
    <w:pPr>
      <w:pStyle w:val="Header"/>
      <w:rPr>
        <w:rFonts w:ascii="Arial" w:hAnsi="Arial" w:cs="Arial"/>
        <w:b/>
        <w:sz w:val="24"/>
        <w:lang w:val="en-CA"/>
      </w:rPr>
    </w:pPr>
    <w:r w:rsidRPr="00265FF2">
      <w:rPr>
        <w:rFonts w:ascii="Arial" w:hAnsi="Arial" w:cs="Arial"/>
        <w:b/>
        <w:sz w:val="24"/>
        <w:lang w:val="en-CA"/>
      </w:rPr>
      <w:t>EMPOWER CLINICS INC.</w:t>
    </w:r>
  </w:p>
  <w:p w14:paraId="726030FA" w14:textId="77777777" w:rsidR="000A24FE" w:rsidRPr="009903B7" w:rsidRDefault="000A24FE" w:rsidP="000E5C02">
    <w:pPr>
      <w:pStyle w:val="Header"/>
      <w:rPr>
        <w:rFonts w:ascii="Arial" w:hAnsi="Arial" w:cs="Arial"/>
        <w:sz w:val="20"/>
        <w:szCs w:val="20"/>
        <w:lang w:val="en-CA"/>
      </w:rPr>
    </w:pPr>
    <w:r>
      <w:rPr>
        <w:rFonts w:ascii="Arial" w:hAnsi="Arial" w:cs="Arial"/>
        <w:sz w:val="20"/>
        <w:szCs w:val="20"/>
        <w:lang w:val="en-CA"/>
      </w:rPr>
      <w:t>MANAGEMENT DISCUSSION AND ANALYSIS</w:t>
    </w:r>
  </w:p>
  <w:p w14:paraId="6F43DC61" w14:textId="77777777" w:rsidR="000A24FE" w:rsidRPr="009903B7" w:rsidRDefault="000A24FE" w:rsidP="000E5C02">
    <w:pPr>
      <w:pStyle w:val="Header"/>
      <w:rPr>
        <w:rFonts w:ascii="Arial" w:hAnsi="Arial" w:cs="Arial"/>
        <w:sz w:val="20"/>
        <w:szCs w:val="20"/>
        <w:lang w:val="en-CA"/>
      </w:rPr>
    </w:pPr>
    <w:r w:rsidRPr="009903B7">
      <w:rPr>
        <w:rFonts w:ascii="Arial" w:hAnsi="Arial" w:cs="Arial"/>
        <w:sz w:val="20"/>
        <w:szCs w:val="20"/>
        <w:lang w:val="en-CA"/>
      </w:rPr>
      <w:t>For the</w:t>
    </w:r>
    <w:r>
      <w:rPr>
        <w:rFonts w:ascii="Arial" w:hAnsi="Arial" w:cs="Arial"/>
        <w:sz w:val="20"/>
        <w:szCs w:val="20"/>
        <w:lang w:val="en-CA"/>
      </w:rPr>
      <w:t xml:space="preserve"> three and six months </w:t>
    </w:r>
    <w:r w:rsidRPr="009903B7">
      <w:rPr>
        <w:rFonts w:ascii="Arial" w:hAnsi="Arial" w:cs="Arial"/>
        <w:sz w:val="20"/>
        <w:szCs w:val="20"/>
        <w:lang w:val="en-CA"/>
      </w:rPr>
      <w:t xml:space="preserve">ended </w:t>
    </w:r>
    <w:r>
      <w:rPr>
        <w:rFonts w:ascii="Arial" w:hAnsi="Arial" w:cs="Arial"/>
        <w:sz w:val="20"/>
        <w:szCs w:val="20"/>
        <w:lang w:val="en-CA"/>
      </w:rPr>
      <w:t>June 30, 2019 and 2018</w:t>
    </w:r>
  </w:p>
  <w:p w14:paraId="196A754B" w14:textId="77777777" w:rsidR="000A24FE" w:rsidRPr="009903B7" w:rsidRDefault="000A24FE" w:rsidP="00663820">
    <w:pPr>
      <w:pStyle w:val="Header"/>
      <w:pBdr>
        <w:bottom w:val="single" w:sz="8" w:space="1" w:color="auto"/>
      </w:pBdr>
      <w:rPr>
        <w:rFonts w:ascii="Arial" w:hAnsi="Arial" w:cs="Arial"/>
        <w:sz w:val="20"/>
        <w:szCs w:val="20"/>
        <w:lang w:val="en-CA"/>
      </w:rPr>
    </w:pPr>
    <w:r w:rsidRPr="009903B7">
      <w:rPr>
        <w:rFonts w:ascii="Arial" w:hAnsi="Arial" w:cs="Arial"/>
        <w:sz w:val="20"/>
        <w:szCs w:val="20"/>
        <w:lang w:val="en-CA"/>
      </w:rPr>
      <w:t>(In United States dollars, except where noted)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E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2B36B4"/>
    <w:multiLevelType w:val="hybridMultilevel"/>
    <w:tmpl w:val="AEE40D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F90D3E"/>
    <w:multiLevelType w:val="hybridMultilevel"/>
    <w:tmpl w:val="CB4CB892"/>
    <w:lvl w:ilvl="0" w:tplc="7FBE1494">
      <w:start w:val="1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1C2D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973986"/>
    <w:multiLevelType w:val="multilevel"/>
    <w:tmpl w:val="04AEF0C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CC0FF7"/>
    <w:multiLevelType w:val="hybridMultilevel"/>
    <w:tmpl w:val="46187420"/>
    <w:lvl w:ilvl="0" w:tplc="48DCB748">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C5896"/>
    <w:multiLevelType w:val="hybridMultilevel"/>
    <w:tmpl w:val="8AB25848"/>
    <w:lvl w:ilvl="0" w:tplc="48DCB748">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70617"/>
    <w:multiLevelType w:val="hybridMultilevel"/>
    <w:tmpl w:val="6704964A"/>
    <w:lvl w:ilvl="0" w:tplc="1E3076BC">
      <w:start w:val="5"/>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4D68D8"/>
    <w:multiLevelType w:val="hybridMultilevel"/>
    <w:tmpl w:val="0016887A"/>
    <w:lvl w:ilvl="0" w:tplc="48DCB748">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6A5C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F97BC6"/>
    <w:multiLevelType w:val="hybridMultilevel"/>
    <w:tmpl w:val="74E057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CB319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A413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5A5620"/>
    <w:multiLevelType w:val="hybridMultilevel"/>
    <w:tmpl w:val="A210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B7581F"/>
    <w:multiLevelType w:val="multilevel"/>
    <w:tmpl w:val="BE38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3B62DB"/>
    <w:multiLevelType w:val="hybridMultilevel"/>
    <w:tmpl w:val="B6C8A1C4"/>
    <w:lvl w:ilvl="0" w:tplc="48DCB748">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B15B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BFC7806"/>
    <w:multiLevelType w:val="hybridMultilevel"/>
    <w:tmpl w:val="BB842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0C53C0"/>
    <w:multiLevelType w:val="hybridMultilevel"/>
    <w:tmpl w:val="7B3C1A9C"/>
    <w:lvl w:ilvl="0" w:tplc="58089B1A">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BC6FB8"/>
    <w:multiLevelType w:val="multilevel"/>
    <w:tmpl w:val="603C5C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225E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54E76DA"/>
    <w:multiLevelType w:val="multilevel"/>
    <w:tmpl w:val="C862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5A345CF"/>
    <w:multiLevelType w:val="hybridMultilevel"/>
    <w:tmpl w:val="ABEC1774"/>
    <w:lvl w:ilvl="0" w:tplc="C064325E">
      <w:start w:val="1"/>
      <w:numFmt w:val="bullet"/>
      <w:lvlText w:val=""/>
      <w:lvlJc w:val="left"/>
      <w:pPr>
        <w:ind w:left="720" w:hanging="360"/>
      </w:pPr>
      <w:rPr>
        <w:rFonts w:ascii="Symbol" w:hAnsi="Symbol" w:hint="default"/>
      </w:rPr>
    </w:lvl>
    <w:lvl w:ilvl="1" w:tplc="B2E800A6" w:tentative="1">
      <w:start w:val="1"/>
      <w:numFmt w:val="bullet"/>
      <w:lvlText w:val="o"/>
      <w:lvlJc w:val="left"/>
      <w:pPr>
        <w:ind w:left="1440" w:hanging="360"/>
      </w:pPr>
      <w:rPr>
        <w:rFonts w:ascii="Courier New" w:hAnsi="Courier New" w:hint="default"/>
      </w:rPr>
    </w:lvl>
    <w:lvl w:ilvl="2" w:tplc="1910EE28" w:tentative="1">
      <w:start w:val="1"/>
      <w:numFmt w:val="bullet"/>
      <w:lvlText w:val=""/>
      <w:lvlJc w:val="left"/>
      <w:pPr>
        <w:ind w:left="2160" w:hanging="360"/>
      </w:pPr>
      <w:rPr>
        <w:rFonts w:ascii="Wingdings" w:hAnsi="Wingdings" w:hint="default"/>
      </w:rPr>
    </w:lvl>
    <w:lvl w:ilvl="3" w:tplc="0C322EB8" w:tentative="1">
      <w:start w:val="1"/>
      <w:numFmt w:val="bullet"/>
      <w:lvlText w:val=""/>
      <w:lvlJc w:val="left"/>
      <w:pPr>
        <w:ind w:left="2880" w:hanging="360"/>
      </w:pPr>
      <w:rPr>
        <w:rFonts w:ascii="Symbol" w:hAnsi="Symbol" w:hint="default"/>
      </w:rPr>
    </w:lvl>
    <w:lvl w:ilvl="4" w:tplc="C8EC8A00" w:tentative="1">
      <w:start w:val="1"/>
      <w:numFmt w:val="bullet"/>
      <w:lvlText w:val="o"/>
      <w:lvlJc w:val="left"/>
      <w:pPr>
        <w:ind w:left="3600" w:hanging="360"/>
      </w:pPr>
      <w:rPr>
        <w:rFonts w:ascii="Courier New" w:hAnsi="Courier New" w:hint="default"/>
      </w:rPr>
    </w:lvl>
    <w:lvl w:ilvl="5" w:tplc="A71A1374" w:tentative="1">
      <w:start w:val="1"/>
      <w:numFmt w:val="bullet"/>
      <w:lvlText w:val=""/>
      <w:lvlJc w:val="left"/>
      <w:pPr>
        <w:ind w:left="4320" w:hanging="360"/>
      </w:pPr>
      <w:rPr>
        <w:rFonts w:ascii="Wingdings" w:hAnsi="Wingdings" w:hint="default"/>
      </w:rPr>
    </w:lvl>
    <w:lvl w:ilvl="6" w:tplc="CB6CA6D6" w:tentative="1">
      <w:start w:val="1"/>
      <w:numFmt w:val="bullet"/>
      <w:lvlText w:val=""/>
      <w:lvlJc w:val="left"/>
      <w:pPr>
        <w:ind w:left="5040" w:hanging="360"/>
      </w:pPr>
      <w:rPr>
        <w:rFonts w:ascii="Symbol" w:hAnsi="Symbol" w:hint="default"/>
      </w:rPr>
    </w:lvl>
    <w:lvl w:ilvl="7" w:tplc="1242F3BA" w:tentative="1">
      <w:start w:val="1"/>
      <w:numFmt w:val="bullet"/>
      <w:lvlText w:val="o"/>
      <w:lvlJc w:val="left"/>
      <w:pPr>
        <w:ind w:left="5760" w:hanging="360"/>
      </w:pPr>
      <w:rPr>
        <w:rFonts w:ascii="Courier New" w:hAnsi="Courier New" w:hint="default"/>
      </w:rPr>
    </w:lvl>
    <w:lvl w:ilvl="8" w:tplc="BA5010A8" w:tentative="1">
      <w:start w:val="1"/>
      <w:numFmt w:val="bullet"/>
      <w:lvlText w:val=""/>
      <w:lvlJc w:val="left"/>
      <w:pPr>
        <w:ind w:left="6480" w:hanging="360"/>
      </w:pPr>
      <w:rPr>
        <w:rFonts w:ascii="Wingdings" w:hAnsi="Wingdings" w:hint="default"/>
      </w:rPr>
    </w:lvl>
  </w:abstractNum>
  <w:abstractNum w:abstractNumId="23" w15:restartNumberingAfterBreak="0">
    <w:nsid w:val="489955A5"/>
    <w:multiLevelType w:val="hybridMultilevel"/>
    <w:tmpl w:val="B8F87784"/>
    <w:lvl w:ilvl="0" w:tplc="EDCA0F02">
      <w:start w:val="1"/>
      <w:numFmt w:val="bullet"/>
      <w:lvlText w:val=""/>
      <w:lvlJc w:val="left"/>
      <w:pPr>
        <w:ind w:left="720" w:hanging="360"/>
      </w:pPr>
      <w:rPr>
        <w:rFonts w:ascii="Symbol" w:hAnsi="Symbol" w:hint="default"/>
      </w:rPr>
    </w:lvl>
    <w:lvl w:ilvl="1" w:tplc="194AB110">
      <w:start w:val="1"/>
      <w:numFmt w:val="bullet"/>
      <w:lvlText w:val="o"/>
      <w:lvlJc w:val="left"/>
      <w:pPr>
        <w:ind w:left="1440" w:hanging="360"/>
      </w:pPr>
      <w:rPr>
        <w:rFonts w:ascii="Courier New" w:hAnsi="Courier New" w:hint="default"/>
      </w:rPr>
    </w:lvl>
    <w:lvl w:ilvl="2" w:tplc="38CAF36C" w:tentative="1">
      <w:start w:val="1"/>
      <w:numFmt w:val="bullet"/>
      <w:lvlText w:val=""/>
      <w:lvlJc w:val="left"/>
      <w:pPr>
        <w:ind w:left="2160" w:hanging="360"/>
      </w:pPr>
      <w:rPr>
        <w:rFonts w:ascii="Wingdings" w:hAnsi="Wingdings" w:hint="default"/>
      </w:rPr>
    </w:lvl>
    <w:lvl w:ilvl="3" w:tplc="24A423B2" w:tentative="1">
      <w:start w:val="1"/>
      <w:numFmt w:val="bullet"/>
      <w:lvlText w:val=""/>
      <w:lvlJc w:val="left"/>
      <w:pPr>
        <w:ind w:left="2880" w:hanging="360"/>
      </w:pPr>
      <w:rPr>
        <w:rFonts w:ascii="Symbol" w:hAnsi="Symbol" w:hint="default"/>
      </w:rPr>
    </w:lvl>
    <w:lvl w:ilvl="4" w:tplc="BB3A2220" w:tentative="1">
      <w:start w:val="1"/>
      <w:numFmt w:val="bullet"/>
      <w:lvlText w:val="o"/>
      <w:lvlJc w:val="left"/>
      <w:pPr>
        <w:ind w:left="3600" w:hanging="360"/>
      </w:pPr>
      <w:rPr>
        <w:rFonts w:ascii="Courier New" w:hAnsi="Courier New" w:hint="default"/>
      </w:rPr>
    </w:lvl>
    <w:lvl w:ilvl="5" w:tplc="89167E04" w:tentative="1">
      <w:start w:val="1"/>
      <w:numFmt w:val="bullet"/>
      <w:lvlText w:val=""/>
      <w:lvlJc w:val="left"/>
      <w:pPr>
        <w:ind w:left="4320" w:hanging="360"/>
      </w:pPr>
      <w:rPr>
        <w:rFonts w:ascii="Wingdings" w:hAnsi="Wingdings" w:hint="default"/>
      </w:rPr>
    </w:lvl>
    <w:lvl w:ilvl="6" w:tplc="EBBE553C" w:tentative="1">
      <w:start w:val="1"/>
      <w:numFmt w:val="bullet"/>
      <w:lvlText w:val=""/>
      <w:lvlJc w:val="left"/>
      <w:pPr>
        <w:ind w:left="5040" w:hanging="360"/>
      </w:pPr>
      <w:rPr>
        <w:rFonts w:ascii="Symbol" w:hAnsi="Symbol" w:hint="default"/>
      </w:rPr>
    </w:lvl>
    <w:lvl w:ilvl="7" w:tplc="38069F84" w:tentative="1">
      <w:start w:val="1"/>
      <w:numFmt w:val="bullet"/>
      <w:lvlText w:val="o"/>
      <w:lvlJc w:val="left"/>
      <w:pPr>
        <w:ind w:left="5760" w:hanging="360"/>
      </w:pPr>
      <w:rPr>
        <w:rFonts w:ascii="Courier New" w:hAnsi="Courier New" w:hint="default"/>
      </w:rPr>
    </w:lvl>
    <w:lvl w:ilvl="8" w:tplc="FF980D7A" w:tentative="1">
      <w:start w:val="1"/>
      <w:numFmt w:val="bullet"/>
      <w:lvlText w:val=""/>
      <w:lvlJc w:val="left"/>
      <w:pPr>
        <w:ind w:left="6480" w:hanging="360"/>
      </w:pPr>
      <w:rPr>
        <w:rFonts w:ascii="Wingdings" w:hAnsi="Wingdings" w:hint="default"/>
      </w:rPr>
    </w:lvl>
  </w:abstractNum>
  <w:abstractNum w:abstractNumId="24" w15:restartNumberingAfterBreak="0">
    <w:nsid w:val="49980603"/>
    <w:multiLevelType w:val="hybridMultilevel"/>
    <w:tmpl w:val="887C8C88"/>
    <w:lvl w:ilvl="0" w:tplc="48DCB748">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A828C2"/>
    <w:multiLevelType w:val="hybridMultilevel"/>
    <w:tmpl w:val="373C830E"/>
    <w:lvl w:ilvl="0" w:tplc="244A923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D9A579C"/>
    <w:multiLevelType w:val="multilevel"/>
    <w:tmpl w:val="2E303C00"/>
    <w:lvl w:ilvl="0">
      <w:start w:val="1"/>
      <w:numFmt w:val="decimal"/>
      <w:pStyle w:val="CP1"/>
      <w:lvlText w:val="%1."/>
      <w:lvlJc w:val="left"/>
      <w:pPr>
        <w:tabs>
          <w:tab w:val="num" w:pos="720"/>
        </w:tabs>
        <w:ind w:left="720" w:hanging="720"/>
      </w:pPr>
      <w:rPr>
        <w:rFonts w:hint="default"/>
        <w:b/>
        <w:sz w:val="18"/>
        <w:szCs w:val="18"/>
      </w:rPr>
    </w:lvl>
    <w:lvl w:ilvl="1">
      <w:start w:val="1"/>
      <w:numFmt w:val="lowerLetter"/>
      <w:pStyle w:val="CP2"/>
      <w:lvlText w:val="(%2)"/>
      <w:lvlJc w:val="left"/>
      <w:pPr>
        <w:tabs>
          <w:tab w:val="num" w:pos="1440"/>
        </w:tabs>
        <w:ind w:left="1440" w:hanging="720"/>
      </w:pPr>
      <w:rPr>
        <w:rFonts w:hint="default"/>
      </w:rPr>
    </w:lvl>
    <w:lvl w:ilvl="2">
      <w:start w:val="5"/>
      <w:numFmt w:val="lowerLetter"/>
      <w:pStyle w:val="CP3"/>
      <w:lvlText w:val="%3)"/>
      <w:lvlJc w:val="left"/>
      <w:pPr>
        <w:tabs>
          <w:tab w:val="num" w:pos="900"/>
        </w:tabs>
        <w:ind w:left="900" w:hanging="720"/>
      </w:pPr>
      <w:rPr>
        <w:rFonts w:ascii="Arial" w:hAnsi="Arial" w:cs="Arial" w:hint="default"/>
        <w:sz w:val="18"/>
        <w:szCs w:val="18"/>
      </w:rPr>
    </w:lvl>
    <w:lvl w:ilvl="3">
      <w:start w:val="1"/>
      <w:numFmt w:val="upperLetter"/>
      <w:pStyle w:val="CP4"/>
      <w:lvlText w:val="%4."/>
      <w:lvlJc w:val="left"/>
      <w:pPr>
        <w:tabs>
          <w:tab w:val="num" w:pos="2880"/>
        </w:tabs>
        <w:ind w:left="2880" w:hanging="720"/>
      </w:pPr>
      <w:rPr>
        <w:rFonts w:hint="default"/>
      </w:rPr>
    </w:lvl>
    <w:lvl w:ilvl="4">
      <w:start w:val="3"/>
      <w:numFmt w:val="lowerLetter"/>
      <w:pStyle w:val="CP5"/>
      <w:lvlText w:val="%5)"/>
      <w:lvlJc w:val="left"/>
      <w:pPr>
        <w:tabs>
          <w:tab w:val="num" w:pos="3600"/>
        </w:tabs>
        <w:ind w:left="3600" w:hanging="720"/>
      </w:pPr>
      <w:rPr>
        <w:rFonts w:hint="default"/>
      </w:rPr>
    </w:lvl>
    <w:lvl w:ilvl="5">
      <w:start w:val="1"/>
      <w:numFmt w:val="lowerRoman"/>
      <w:pStyle w:val="CP6"/>
      <w:lvlText w:val="%6)"/>
      <w:lvlJc w:val="left"/>
      <w:pPr>
        <w:tabs>
          <w:tab w:val="num" w:pos="4320"/>
        </w:tabs>
        <w:ind w:left="4320" w:hanging="720"/>
      </w:pPr>
      <w:rPr>
        <w:rFonts w:hint="default"/>
      </w:rPr>
    </w:lvl>
    <w:lvl w:ilvl="6">
      <w:start w:val="1"/>
      <w:numFmt w:val="upperLetter"/>
      <w:pStyle w:val="CP7"/>
      <w:lvlText w:val="%7)"/>
      <w:lvlJc w:val="left"/>
      <w:pPr>
        <w:tabs>
          <w:tab w:val="num" w:pos="4320"/>
        </w:tabs>
        <w:ind w:left="4320" w:hanging="720"/>
      </w:pPr>
      <w:rPr>
        <w:rFonts w:hint="default"/>
      </w:rPr>
    </w:lvl>
    <w:lvl w:ilvl="7">
      <w:start w:val="1"/>
      <w:numFmt w:val="lowerLetter"/>
      <w:pStyle w:val="CP8"/>
      <w:lvlText w:val="%8."/>
      <w:lvlJc w:val="left"/>
      <w:pPr>
        <w:tabs>
          <w:tab w:val="num" w:pos="4320"/>
        </w:tabs>
        <w:ind w:left="4320" w:hanging="720"/>
      </w:pPr>
      <w:rPr>
        <w:rFonts w:hint="default"/>
      </w:rPr>
    </w:lvl>
    <w:lvl w:ilvl="8">
      <w:start w:val="1"/>
      <w:numFmt w:val="lowerRoman"/>
      <w:pStyle w:val="CP9"/>
      <w:lvlText w:val="%9."/>
      <w:lvlJc w:val="left"/>
      <w:pPr>
        <w:tabs>
          <w:tab w:val="num" w:pos="4320"/>
        </w:tabs>
        <w:ind w:left="4320" w:hanging="720"/>
      </w:pPr>
      <w:rPr>
        <w:rFonts w:hint="default"/>
      </w:rPr>
    </w:lvl>
  </w:abstractNum>
  <w:abstractNum w:abstractNumId="27" w15:restartNumberingAfterBreak="0">
    <w:nsid w:val="510A45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4042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B97932"/>
    <w:multiLevelType w:val="hybridMultilevel"/>
    <w:tmpl w:val="77349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8B63F8"/>
    <w:multiLevelType w:val="multilevel"/>
    <w:tmpl w:val="0A06D13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FC3158C"/>
    <w:multiLevelType w:val="multilevel"/>
    <w:tmpl w:val="14AA1A2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C77D67"/>
    <w:multiLevelType w:val="hybridMultilevel"/>
    <w:tmpl w:val="5EA8C308"/>
    <w:lvl w:ilvl="0" w:tplc="0A8E61B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53329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2A6260C"/>
    <w:multiLevelType w:val="hybridMultilevel"/>
    <w:tmpl w:val="F7C845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51F7F4B"/>
    <w:multiLevelType w:val="hybridMultilevel"/>
    <w:tmpl w:val="7544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092373"/>
    <w:multiLevelType w:val="multilevel"/>
    <w:tmpl w:val="C7F8E814"/>
    <w:lvl w:ilvl="0">
      <w:start w:val="1"/>
      <w:numFmt w:val="decimal"/>
      <w:lvlText w:val="%1."/>
      <w:lvlJc w:val="left"/>
      <w:pPr>
        <w:ind w:left="403" w:hanging="360"/>
      </w:pPr>
      <w:rPr>
        <w:rFonts w:hint="default"/>
        <w:b/>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397" w:hanging="720"/>
      </w:pPr>
      <w:rPr>
        <w:rFonts w:hint="default"/>
      </w:rPr>
    </w:lvl>
    <w:lvl w:ilvl="3">
      <w:start w:val="1"/>
      <w:numFmt w:val="decimal"/>
      <w:isLgl/>
      <w:lvlText w:val="%1.%2.%3.%4"/>
      <w:lvlJc w:val="left"/>
      <w:pPr>
        <w:ind w:left="1714" w:hanging="720"/>
      </w:pPr>
      <w:rPr>
        <w:rFonts w:hint="default"/>
      </w:rPr>
    </w:lvl>
    <w:lvl w:ilvl="4">
      <w:start w:val="1"/>
      <w:numFmt w:val="decimal"/>
      <w:isLgl/>
      <w:lvlText w:val="%1.%2.%3.%4.%5"/>
      <w:lvlJc w:val="left"/>
      <w:pPr>
        <w:ind w:left="2391" w:hanging="1080"/>
      </w:pPr>
      <w:rPr>
        <w:rFonts w:hint="default"/>
      </w:rPr>
    </w:lvl>
    <w:lvl w:ilvl="5">
      <w:start w:val="1"/>
      <w:numFmt w:val="decimal"/>
      <w:isLgl/>
      <w:lvlText w:val="%1.%2.%3.%4.%5.%6"/>
      <w:lvlJc w:val="left"/>
      <w:pPr>
        <w:ind w:left="2708" w:hanging="1080"/>
      </w:pPr>
      <w:rPr>
        <w:rFonts w:hint="default"/>
      </w:rPr>
    </w:lvl>
    <w:lvl w:ilvl="6">
      <w:start w:val="1"/>
      <w:numFmt w:val="decimal"/>
      <w:isLgl/>
      <w:lvlText w:val="%1.%2.%3.%4.%5.%6.%7"/>
      <w:lvlJc w:val="left"/>
      <w:pPr>
        <w:ind w:left="3385" w:hanging="1440"/>
      </w:pPr>
      <w:rPr>
        <w:rFonts w:hint="default"/>
      </w:rPr>
    </w:lvl>
    <w:lvl w:ilvl="7">
      <w:start w:val="1"/>
      <w:numFmt w:val="decimal"/>
      <w:isLgl/>
      <w:lvlText w:val="%1.%2.%3.%4.%5.%6.%7.%8"/>
      <w:lvlJc w:val="left"/>
      <w:pPr>
        <w:ind w:left="3702" w:hanging="1440"/>
      </w:pPr>
      <w:rPr>
        <w:rFonts w:hint="default"/>
      </w:rPr>
    </w:lvl>
    <w:lvl w:ilvl="8">
      <w:start w:val="1"/>
      <w:numFmt w:val="decimal"/>
      <w:isLgl/>
      <w:lvlText w:val="%1.%2.%3.%4.%5.%6.%7.%8.%9"/>
      <w:lvlJc w:val="left"/>
      <w:pPr>
        <w:ind w:left="4379" w:hanging="1800"/>
      </w:pPr>
      <w:rPr>
        <w:rFonts w:hint="default"/>
      </w:rPr>
    </w:lvl>
  </w:abstractNum>
  <w:abstractNum w:abstractNumId="37" w15:restartNumberingAfterBreak="0">
    <w:nsid w:val="7F0E0501"/>
    <w:multiLevelType w:val="hybridMultilevel"/>
    <w:tmpl w:val="D102B2F6"/>
    <w:lvl w:ilvl="0" w:tplc="9B46640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4"/>
  </w:num>
  <w:num w:numId="3">
    <w:abstractNumId w:val="36"/>
  </w:num>
  <w:num w:numId="4">
    <w:abstractNumId w:val="19"/>
  </w:num>
  <w:num w:numId="5">
    <w:abstractNumId w:val="27"/>
  </w:num>
  <w:num w:numId="6">
    <w:abstractNumId w:val="12"/>
  </w:num>
  <w:num w:numId="7">
    <w:abstractNumId w:val="0"/>
  </w:num>
  <w:num w:numId="8">
    <w:abstractNumId w:val="3"/>
  </w:num>
  <w:num w:numId="9">
    <w:abstractNumId w:val="11"/>
  </w:num>
  <w:num w:numId="10">
    <w:abstractNumId w:val="33"/>
  </w:num>
  <w:num w:numId="11">
    <w:abstractNumId w:val="28"/>
  </w:num>
  <w:num w:numId="12">
    <w:abstractNumId w:val="20"/>
  </w:num>
  <w:num w:numId="13">
    <w:abstractNumId w:val="7"/>
  </w:num>
  <w:num w:numId="14">
    <w:abstractNumId w:val="16"/>
  </w:num>
  <w:num w:numId="15">
    <w:abstractNumId w:val="9"/>
  </w:num>
  <w:num w:numId="16">
    <w:abstractNumId w:val="18"/>
  </w:num>
  <w:num w:numId="17">
    <w:abstractNumId w:val="29"/>
  </w:num>
  <w:num w:numId="18">
    <w:abstractNumId w:val="15"/>
  </w:num>
  <w:num w:numId="19">
    <w:abstractNumId w:val="8"/>
  </w:num>
  <w:num w:numId="20">
    <w:abstractNumId w:val="6"/>
  </w:num>
  <w:num w:numId="21">
    <w:abstractNumId w:val="5"/>
  </w:num>
  <w:num w:numId="22">
    <w:abstractNumId w:val="2"/>
  </w:num>
  <w:num w:numId="23">
    <w:abstractNumId w:val="24"/>
  </w:num>
  <w:num w:numId="24">
    <w:abstractNumId w:val="17"/>
  </w:num>
  <w:num w:numId="25">
    <w:abstractNumId w:val="35"/>
  </w:num>
  <w:num w:numId="26">
    <w:abstractNumId w:val="13"/>
  </w:num>
  <w:num w:numId="27">
    <w:abstractNumId w:val="25"/>
  </w:num>
  <w:num w:numId="28">
    <w:abstractNumId w:val="32"/>
  </w:num>
  <w:num w:numId="29">
    <w:abstractNumId w:val="34"/>
  </w:num>
  <w:num w:numId="30">
    <w:abstractNumId w:val="26"/>
  </w:num>
  <w:num w:numId="31">
    <w:abstractNumId w:val="23"/>
  </w:num>
  <w:num w:numId="32">
    <w:abstractNumId w:val="22"/>
  </w:num>
  <w:num w:numId="33">
    <w:abstractNumId w:val="21"/>
  </w:num>
  <w:num w:numId="34">
    <w:abstractNumId w:val="14"/>
  </w:num>
  <w:num w:numId="35">
    <w:abstractNumId w:val="1"/>
  </w:num>
  <w:num w:numId="36">
    <w:abstractNumId w:val="10"/>
  </w:num>
  <w:num w:numId="37">
    <w:abstractNumId w:val="26"/>
    <w:lvlOverride w:ilvl="0">
      <w:startOverride w:val="13"/>
    </w:lvlOverride>
    <w:lvlOverride w:ilvl="1">
      <w:startOverride w:val="1"/>
    </w:lvlOverride>
    <w:lvlOverride w:ilvl="2">
      <w:startOverride w:val="5"/>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GwMDAzNzAwMjWxMLFQ0lEKTi0uzszPAykwqgUAjQ9L5CwAAAA="/>
  </w:docVars>
  <w:rsids>
    <w:rsidRoot w:val="00FA6D64"/>
    <w:rsid w:val="000078A4"/>
    <w:rsid w:val="00007ADF"/>
    <w:rsid w:val="00022C1E"/>
    <w:rsid w:val="000317FF"/>
    <w:rsid w:val="0004120D"/>
    <w:rsid w:val="00041AB3"/>
    <w:rsid w:val="00052A1F"/>
    <w:rsid w:val="000620B5"/>
    <w:rsid w:val="00063621"/>
    <w:rsid w:val="0008421F"/>
    <w:rsid w:val="00091077"/>
    <w:rsid w:val="000964C8"/>
    <w:rsid w:val="000A24FE"/>
    <w:rsid w:val="000A57E7"/>
    <w:rsid w:val="000B3720"/>
    <w:rsid w:val="000B495A"/>
    <w:rsid w:val="000D09BF"/>
    <w:rsid w:val="000E01AB"/>
    <w:rsid w:val="000E5C02"/>
    <w:rsid w:val="000F5B3C"/>
    <w:rsid w:val="000F66FB"/>
    <w:rsid w:val="000F798D"/>
    <w:rsid w:val="00105B24"/>
    <w:rsid w:val="00111C7A"/>
    <w:rsid w:val="00123032"/>
    <w:rsid w:val="00136ADE"/>
    <w:rsid w:val="0013793F"/>
    <w:rsid w:val="001442B7"/>
    <w:rsid w:val="00153C3D"/>
    <w:rsid w:val="00155443"/>
    <w:rsid w:val="00186033"/>
    <w:rsid w:val="001923E7"/>
    <w:rsid w:val="001A480E"/>
    <w:rsid w:val="001A7752"/>
    <w:rsid w:val="001A7E6B"/>
    <w:rsid w:val="001B693C"/>
    <w:rsid w:val="001C7200"/>
    <w:rsid w:val="001C76A1"/>
    <w:rsid w:val="001D13DE"/>
    <w:rsid w:val="001D161C"/>
    <w:rsid w:val="001D7767"/>
    <w:rsid w:val="001E36DA"/>
    <w:rsid w:val="001E68D2"/>
    <w:rsid w:val="001F1660"/>
    <w:rsid w:val="001F3487"/>
    <w:rsid w:val="001F37F5"/>
    <w:rsid w:val="001F6127"/>
    <w:rsid w:val="00262E23"/>
    <w:rsid w:val="00265FF2"/>
    <w:rsid w:val="0029003F"/>
    <w:rsid w:val="00290443"/>
    <w:rsid w:val="00291101"/>
    <w:rsid w:val="00296F04"/>
    <w:rsid w:val="002C5615"/>
    <w:rsid w:val="002D1846"/>
    <w:rsid w:val="002D42BD"/>
    <w:rsid w:val="002D7291"/>
    <w:rsid w:val="002D7686"/>
    <w:rsid w:val="003052EF"/>
    <w:rsid w:val="00310D1F"/>
    <w:rsid w:val="00324616"/>
    <w:rsid w:val="003248AC"/>
    <w:rsid w:val="0032534C"/>
    <w:rsid w:val="0033293F"/>
    <w:rsid w:val="00341AC5"/>
    <w:rsid w:val="00343C9F"/>
    <w:rsid w:val="00346340"/>
    <w:rsid w:val="00350F66"/>
    <w:rsid w:val="003645BC"/>
    <w:rsid w:val="003700C8"/>
    <w:rsid w:val="003704B7"/>
    <w:rsid w:val="00372D83"/>
    <w:rsid w:val="003741D2"/>
    <w:rsid w:val="003874AE"/>
    <w:rsid w:val="003937A3"/>
    <w:rsid w:val="003A2C30"/>
    <w:rsid w:val="003A2C50"/>
    <w:rsid w:val="003B0546"/>
    <w:rsid w:val="003B22BC"/>
    <w:rsid w:val="003B7DA9"/>
    <w:rsid w:val="003C5740"/>
    <w:rsid w:val="003E0848"/>
    <w:rsid w:val="003E25FA"/>
    <w:rsid w:val="003E72B7"/>
    <w:rsid w:val="003E79CE"/>
    <w:rsid w:val="003F5DC9"/>
    <w:rsid w:val="003F6F1A"/>
    <w:rsid w:val="004052CA"/>
    <w:rsid w:val="00411176"/>
    <w:rsid w:val="00413B6E"/>
    <w:rsid w:val="004164C5"/>
    <w:rsid w:val="00417DE7"/>
    <w:rsid w:val="00424A47"/>
    <w:rsid w:val="00424DA7"/>
    <w:rsid w:val="00424E56"/>
    <w:rsid w:val="0043211F"/>
    <w:rsid w:val="0043518D"/>
    <w:rsid w:val="00436015"/>
    <w:rsid w:val="00441C2D"/>
    <w:rsid w:val="00446697"/>
    <w:rsid w:val="00453FBE"/>
    <w:rsid w:val="00456D51"/>
    <w:rsid w:val="00457699"/>
    <w:rsid w:val="004673C0"/>
    <w:rsid w:val="00473017"/>
    <w:rsid w:val="00474C43"/>
    <w:rsid w:val="004834BB"/>
    <w:rsid w:val="00483C6F"/>
    <w:rsid w:val="00484334"/>
    <w:rsid w:val="004953F5"/>
    <w:rsid w:val="004A0BB2"/>
    <w:rsid w:val="004A1755"/>
    <w:rsid w:val="004A22F1"/>
    <w:rsid w:val="004B0F6F"/>
    <w:rsid w:val="004B214A"/>
    <w:rsid w:val="004B4490"/>
    <w:rsid w:val="004C24AC"/>
    <w:rsid w:val="004C52EE"/>
    <w:rsid w:val="004D46B6"/>
    <w:rsid w:val="004E17E1"/>
    <w:rsid w:val="004E5202"/>
    <w:rsid w:val="004F44E1"/>
    <w:rsid w:val="004F71B9"/>
    <w:rsid w:val="00507BB2"/>
    <w:rsid w:val="00513257"/>
    <w:rsid w:val="00513D8E"/>
    <w:rsid w:val="00514A11"/>
    <w:rsid w:val="005235C2"/>
    <w:rsid w:val="00524611"/>
    <w:rsid w:val="005256EA"/>
    <w:rsid w:val="005265E3"/>
    <w:rsid w:val="00526BEA"/>
    <w:rsid w:val="005340D3"/>
    <w:rsid w:val="00537C60"/>
    <w:rsid w:val="005435FC"/>
    <w:rsid w:val="00546001"/>
    <w:rsid w:val="00550E76"/>
    <w:rsid w:val="00552E66"/>
    <w:rsid w:val="00561ECE"/>
    <w:rsid w:val="005703AE"/>
    <w:rsid w:val="005811F3"/>
    <w:rsid w:val="005973DB"/>
    <w:rsid w:val="005A3174"/>
    <w:rsid w:val="005A7CE3"/>
    <w:rsid w:val="005B0AB7"/>
    <w:rsid w:val="005C15D5"/>
    <w:rsid w:val="005C15FB"/>
    <w:rsid w:val="005D35C2"/>
    <w:rsid w:val="005D4546"/>
    <w:rsid w:val="005E461F"/>
    <w:rsid w:val="005F55E0"/>
    <w:rsid w:val="005F6D26"/>
    <w:rsid w:val="0061123D"/>
    <w:rsid w:val="00615EFE"/>
    <w:rsid w:val="00616201"/>
    <w:rsid w:val="0062070A"/>
    <w:rsid w:val="00623605"/>
    <w:rsid w:val="006248F9"/>
    <w:rsid w:val="00631CA5"/>
    <w:rsid w:val="00636BDC"/>
    <w:rsid w:val="00645A49"/>
    <w:rsid w:val="00652F1A"/>
    <w:rsid w:val="00663820"/>
    <w:rsid w:val="006653F4"/>
    <w:rsid w:val="00675558"/>
    <w:rsid w:val="00681FBF"/>
    <w:rsid w:val="00687F6F"/>
    <w:rsid w:val="00691C16"/>
    <w:rsid w:val="00692744"/>
    <w:rsid w:val="006A3BA2"/>
    <w:rsid w:val="006C3ADA"/>
    <w:rsid w:val="006C64D9"/>
    <w:rsid w:val="006D2D01"/>
    <w:rsid w:val="006D37AE"/>
    <w:rsid w:val="006D3813"/>
    <w:rsid w:val="006D4862"/>
    <w:rsid w:val="006D658B"/>
    <w:rsid w:val="006E2D4B"/>
    <w:rsid w:val="006E30E6"/>
    <w:rsid w:val="006E3636"/>
    <w:rsid w:val="006F5FB2"/>
    <w:rsid w:val="00700B1D"/>
    <w:rsid w:val="00700C72"/>
    <w:rsid w:val="00705217"/>
    <w:rsid w:val="007069BA"/>
    <w:rsid w:val="007133F9"/>
    <w:rsid w:val="00715397"/>
    <w:rsid w:val="007216EA"/>
    <w:rsid w:val="00726CE5"/>
    <w:rsid w:val="00731EA5"/>
    <w:rsid w:val="00732B04"/>
    <w:rsid w:val="007339F5"/>
    <w:rsid w:val="00743A78"/>
    <w:rsid w:val="00756C97"/>
    <w:rsid w:val="007703A7"/>
    <w:rsid w:val="00770FCE"/>
    <w:rsid w:val="00776B5B"/>
    <w:rsid w:val="00781EEE"/>
    <w:rsid w:val="00782081"/>
    <w:rsid w:val="0079090E"/>
    <w:rsid w:val="007A1D18"/>
    <w:rsid w:val="007C3384"/>
    <w:rsid w:val="007C66D9"/>
    <w:rsid w:val="007D22F1"/>
    <w:rsid w:val="007D3CB8"/>
    <w:rsid w:val="007D5FE7"/>
    <w:rsid w:val="007D70A6"/>
    <w:rsid w:val="007F667C"/>
    <w:rsid w:val="007F7BF4"/>
    <w:rsid w:val="00800DF4"/>
    <w:rsid w:val="00801A59"/>
    <w:rsid w:val="00805756"/>
    <w:rsid w:val="00815A9A"/>
    <w:rsid w:val="00817EED"/>
    <w:rsid w:val="0082317C"/>
    <w:rsid w:val="0083471C"/>
    <w:rsid w:val="008460B5"/>
    <w:rsid w:val="0084627A"/>
    <w:rsid w:val="00855AF6"/>
    <w:rsid w:val="00856AFC"/>
    <w:rsid w:val="00862651"/>
    <w:rsid w:val="00877C34"/>
    <w:rsid w:val="008827C1"/>
    <w:rsid w:val="00887F97"/>
    <w:rsid w:val="0089453C"/>
    <w:rsid w:val="008959B5"/>
    <w:rsid w:val="008A3650"/>
    <w:rsid w:val="008A4985"/>
    <w:rsid w:val="008A52C2"/>
    <w:rsid w:val="008A69A3"/>
    <w:rsid w:val="008B5C96"/>
    <w:rsid w:val="008C06E4"/>
    <w:rsid w:val="008D38FE"/>
    <w:rsid w:val="008D4A79"/>
    <w:rsid w:val="008F357A"/>
    <w:rsid w:val="00901301"/>
    <w:rsid w:val="0090130F"/>
    <w:rsid w:val="00915BD3"/>
    <w:rsid w:val="00923CA3"/>
    <w:rsid w:val="009264E1"/>
    <w:rsid w:val="00932F01"/>
    <w:rsid w:val="00946466"/>
    <w:rsid w:val="00946F74"/>
    <w:rsid w:val="00954E48"/>
    <w:rsid w:val="009573F3"/>
    <w:rsid w:val="00962C76"/>
    <w:rsid w:val="00967BED"/>
    <w:rsid w:val="00974012"/>
    <w:rsid w:val="00987B43"/>
    <w:rsid w:val="009903B7"/>
    <w:rsid w:val="009C2644"/>
    <w:rsid w:val="009C4568"/>
    <w:rsid w:val="009C4D4C"/>
    <w:rsid w:val="009C53F7"/>
    <w:rsid w:val="009C7350"/>
    <w:rsid w:val="009E0B8F"/>
    <w:rsid w:val="009E6AF5"/>
    <w:rsid w:val="009E7418"/>
    <w:rsid w:val="009F6DF3"/>
    <w:rsid w:val="00A1538A"/>
    <w:rsid w:val="00A17854"/>
    <w:rsid w:val="00A206A1"/>
    <w:rsid w:val="00A241F1"/>
    <w:rsid w:val="00A306F6"/>
    <w:rsid w:val="00A353D2"/>
    <w:rsid w:val="00A3748A"/>
    <w:rsid w:val="00A461FC"/>
    <w:rsid w:val="00A46F56"/>
    <w:rsid w:val="00A5074B"/>
    <w:rsid w:val="00A514AC"/>
    <w:rsid w:val="00A53CDA"/>
    <w:rsid w:val="00A5565C"/>
    <w:rsid w:val="00A604EC"/>
    <w:rsid w:val="00A60F2A"/>
    <w:rsid w:val="00A850EC"/>
    <w:rsid w:val="00A86E9F"/>
    <w:rsid w:val="00A90FF8"/>
    <w:rsid w:val="00A93EA9"/>
    <w:rsid w:val="00A95100"/>
    <w:rsid w:val="00A967C3"/>
    <w:rsid w:val="00A96A79"/>
    <w:rsid w:val="00A976E9"/>
    <w:rsid w:val="00AA59D0"/>
    <w:rsid w:val="00AB647D"/>
    <w:rsid w:val="00AC41B8"/>
    <w:rsid w:val="00AC703E"/>
    <w:rsid w:val="00AD0529"/>
    <w:rsid w:val="00AE3AF4"/>
    <w:rsid w:val="00AF2047"/>
    <w:rsid w:val="00B043B6"/>
    <w:rsid w:val="00B05C79"/>
    <w:rsid w:val="00B06831"/>
    <w:rsid w:val="00B122CA"/>
    <w:rsid w:val="00B12392"/>
    <w:rsid w:val="00B150DF"/>
    <w:rsid w:val="00B2083A"/>
    <w:rsid w:val="00B20E54"/>
    <w:rsid w:val="00B34478"/>
    <w:rsid w:val="00B51B41"/>
    <w:rsid w:val="00B51C7B"/>
    <w:rsid w:val="00B51F89"/>
    <w:rsid w:val="00B52C92"/>
    <w:rsid w:val="00B54C4F"/>
    <w:rsid w:val="00B6116C"/>
    <w:rsid w:val="00B77AF7"/>
    <w:rsid w:val="00B90CE3"/>
    <w:rsid w:val="00B96480"/>
    <w:rsid w:val="00BA4F70"/>
    <w:rsid w:val="00BC0961"/>
    <w:rsid w:val="00BC6200"/>
    <w:rsid w:val="00BC6FC6"/>
    <w:rsid w:val="00BD1255"/>
    <w:rsid w:val="00BD2307"/>
    <w:rsid w:val="00BE1DF8"/>
    <w:rsid w:val="00BF0B28"/>
    <w:rsid w:val="00C00F4C"/>
    <w:rsid w:val="00C112A5"/>
    <w:rsid w:val="00C17BA8"/>
    <w:rsid w:val="00C237FA"/>
    <w:rsid w:val="00C248B4"/>
    <w:rsid w:val="00C33AED"/>
    <w:rsid w:val="00C353EA"/>
    <w:rsid w:val="00C41FC0"/>
    <w:rsid w:val="00C44552"/>
    <w:rsid w:val="00C6401D"/>
    <w:rsid w:val="00C707E2"/>
    <w:rsid w:val="00C720EF"/>
    <w:rsid w:val="00C77097"/>
    <w:rsid w:val="00C773A2"/>
    <w:rsid w:val="00C81A29"/>
    <w:rsid w:val="00C8580E"/>
    <w:rsid w:val="00C870E2"/>
    <w:rsid w:val="00C90A0A"/>
    <w:rsid w:val="00C92AA4"/>
    <w:rsid w:val="00C94605"/>
    <w:rsid w:val="00CA3258"/>
    <w:rsid w:val="00CB0C83"/>
    <w:rsid w:val="00CC1970"/>
    <w:rsid w:val="00CC3B7F"/>
    <w:rsid w:val="00CD0382"/>
    <w:rsid w:val="00CD59DC"/>
    <w:rsid w:val="00CF35E3"/>
    <w:rsid w:val="00CF76E9"/>
    <w:rsid w:val="00D00008"/>
    <w:rsid w:val="00D06679"/>
    <w:rsid w:val="00D127FC"/>
    <w:rsid w:val="00D17BCD"/>
    <w:rsid w:val="00D2359A"/>
    <w:rsid w:val="00D242CC"/>
    <w:rsid w:val="00D302AC"/>
    <w:rsid w:val="00D3689F"/>
    <w:rsid w:val="00D36EBB"/>
    <w:rsid w:val="00D42770"/>
    <w:rsid w:val="00D43D18"/>
    <w:rsid w:val="00D475C7"/>
    <w:rsid w:val="00D54352"/>
    <w:rsid w:val="00D54B46"/>
    <w:rsid w:val="00D55A60"/>
    <w:rsid w:val="00D627E8"/>
    <w:rsid w:val="00D6448D"/>
    <w:rsid w:val="00D64B7F"/>
    <w:rsid w:val="00D70373"/>
    <w:rsid w:val="00D7112E"/>
    <w:rsid w:val="00D71CB2"/>
    <w:rsid w:val="00D73518"/>
    <w:rsid w:val="00D764D9"/>
    <w:rsid w:val="00D91BB1"/>
    <w:rsid w:val="00D96604"/>
    <w:rsid w:val="00DA05F7"/>
    <w:rsid w:val="00DA4360"/>
    <w:rsid w:val="00DA65B0"/>
    <w:rsid w:val="00DB0782"/>
    <w:rsid w:val="00DB4AF4"/>
    <w:rsid w:val="00DC37FE"/>
    <w:rsid w:val="00DE205C"/>
    <w:rsid w:val="00DE5690"/>
    <w:rsid w:val="00DE5B6D"/>
    <w:rsid w:val="00DF0D70"/>
    <w:rsid w:val="00DF5EEB"/>
    <w:rsid w:val="00DF5FF5"/>
    <w:rsid w:val="00E12FD4"/>
    <w:rsid w:val="00E16C2C"/>
    <w:rsid w:val="00E27B44"/>
    <w:rsid w:val="00E36959"/>
    <w:rsid w:val="00E44AFD"/>
    <w:rsid w:val="00E54CAE"/>
    <w:rsid w:val="00E55FC9"/>
    <w:rsid w:val="00E64A88"/>
    <w:rsid w:val="00E704A4"/>
    <w:rsid w:val="00E70A02"/>
    <w:rsid w:val="00E75F26"/>
    <w:rsid w:val="00EB57B1"/>
    <w:rsid w:val="00EC269B"/>
    <w:rsid w:val="00EC5212"/>
    <w:rsid w:val="00EC76E5"/>
    <w:rsid w:val="00ED2099"/>
    <w:rsid w:val="00ED23B4"/>
    <w:rsid w:val="00EE2753"/>
    <w:rsid w:val="00EE65F3"/>
    <w:rsid w:val="00EF045A"/>
    <w:rsid w:val="00EF2D2F"/>
    <w:rsid w:val="00EF672C"/>
    <w:rsid w:val="00F11974"/>
    <w:rsid w:val="00F168D8"/>
    <w:rsid w:val="00F17EB0"/>
    <w:rsid w:val="00F21869"/>
    <w:rsid w:val="00F21AF2"/>
    <w:rsid w:val="00F346AB"/>
    <w:rsid w:val="00F56B6B"/>
    <w:rsid w:val="00F662C2"/>
    <w:rsid w:val="00F6674B"/>
    <w:rsid w:val="00F67A38"/>
    <w:rsid w:val="00F70402"/>
    <w:rsid w:val="00F7428E"/>
    <w:rsid w:val="00F772B5"/>
    <w:rsid w:val="00F81B62"/>
    <w:rsid w:val="00F81C4E"/>
    <w:rsid w:val="00F83710"/>
    <w:rsid w:val="00FA1E8F"/>
    <w:rsid w:val="00FA6D64"/>
    <w:rsid w:val="00FB59C4"/>
    <w:rsid w:val="00FB6AA6"/>
    <w:rsid w:val="00FC3890"/>
    <w:rsid w:val="00FC70F1"/>
    <w:rsid w:val="00FD4F52"/>
    <w:rsid w:val="00FD6918"/>
    <w:rsid w:val="00FD71F6"/>
    <w:rsid w:val="00FE554B"/>
    <w:rsid w:val="00FE5B48"/>
    <w:rsid w:val="00FE6AAE"/>
    <w:rsid w:val="00FF01C4"/>
    <w:rsid w:val="00FF1F03"/>
    <w:rsid w:val="00FF3884"/>
    <w:rsid w:val="00FF3936"/>
    <w:rsid w:val="00FF4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2185123"/>
  <w15:docId w15:val="{FC0F9C33-0A84-45D9-A1E5-FE7F4F72E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846"/>
    <w:pPr>
      <w:spacing w:after="160" w:line="259" w:lineRule="auto"/>
    </w:pPr>
    <w:rPr>
      <w:sz w:val="22"/>
      <w:szCs w:val="22"/>
    </w:rPr>
  </w:style>
  <w:style w:type="paragraph" w:styleId="Heading7">
    <w:name w:val="heading 7"/>
    <w:basedOn w:val="Normal"/>
    <w:next w:val="Normal"/>
    <w:link w:val="Heading7Char"/>
    <w:qFormat/>
    <w:rsid w:val="00DA65B0"/>
    <w:pPr>
      <w:keepNext/>
      <w:spacing w:after="0" w:line="240" w:lineRule="auto"/>
      <w:outlineLvl w:val="6"/>
    </w:pPr>
    <w:rPr>
      <w:rFonts w:ascii="Arial" w:eastAsia="Times New Roman" w:hAnsi="Arial" w:cs="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6D64"/>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FA6D6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A6D64"/>
    <w:rPr>
      <w:rFonts w:ascii="Segoe UI" w:hAnsi="Segoe UI" w:cs="Segoe UI"/>
      <w:sz w:val="18"/>
      <w:szCs w:val="18"/>
    </w:rPr>
  </w:style>
  <w:style w:type="table" w:styleId="TableGrid">
    <w:name w:val="Table Grid"/>
    <w:basedOn w:val="TableNormal"/>
    <w:uiPriority w:val="39"/>
    <w:rsid w:val="00453FBE"/>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453FBE"/>
    <w:pPr>
      <w:spacing w:after="0" w:line="240" w:lineRule="auto"/>
      <w:ind w:left="720"/>
      <w:contextualSpacing/>
    </w:pPr>
    <w:rPr>
      <w:rFonts w:ascii="Times New Roman" w:eastAsia="Times New Roman" w:hAnsi="Times New Roman"/>
      <w:sz w:val="24"/>
      <w:szCs w:val="24"/>
    </w:rPr>
  </w:style>
  <w:style w:type="paragraph" w:styleId="BodyTextIndent">
    <w:name w:val="Body Text Indent"/>
    <w:basedOn w:val="Normal"/>
    <w:link w:val="BodyTextIndentChar"/>
    <w:rsid w:val="00007ADF"/>
    <w:pPr>
      <w:spacing w:after="0" w:line="240" w:lineRule="auto"/>
      <w:ind w:left="360"/>
      <w:jc w:val="both"/>
    </w:pPr>
    <w:rPr>
      <w:rFonts w:ascii="Arial" w:eastAsia="Times New Roman" w:hAnsi="Arial"/>
      <w:szCs w:val="20"/>
    </w:rPr>
  </w:style>
  <w:style w:type="character" w:customStyle="1" w:styleId="BodyTextIndentChar">
    <w:name w:val="Body Text Indent Char"/>
    <w:link w:val="BodyTextIndent"/>
    <w:rsid w:val="00007ADF"/>
    <w:rPr>
      <w:rFonts w:ascii="Arial" w:eastAsia="Times New Roman" w:hAnsi="Arial" w:cs="Times New Roman"/>
      <w:szCs w:val="20"/>
    </w:rPr>
  </w:style>
  <w:style w:type="character" w:styleId="Hyperlink">
    <w:name w:val="Hyperlink"/>
    <w:uiPriority w:val="99"/>
    <w:unhideWhenUsed/>
    <w:rsid w:val="00007ADF"/>
    <w:rPr>
      <w:color w:val="0563C1"/>
      <w:u w:val="single"/>
    </w:rPr>
  </w:style>
  <w:style w:type="character" w:customStyle="1" w:styleId="UnresolvedMention1">
    <w:name w:val="Unresolved Mention1"/>
    <w:uiPriority w:val="99"/>
    <w:semiHidden/>
    <w:unhideWhenUsed/>
    <w:rsid w:val="00007ADF"/>
    <w:rPr>
      <w:color w:val="605E5C"/>
      <w:shd w:val="clear" w:color="auto" w:fill="E1DFDD"/>
    </w:rPr>
  </w:style>
  <w:style w:type="character" w:customStyle="1" w:styleId="Heading7Char">
    <w:name w:val="Heading 7 Char"/>
    <w:link w:val="Heading7"/>
    <w:rsid w:val="00DA65B0"/>
    <w:rPr>
      <w:rFonts w:ascii="Arial" w:eastAsia="Times New Roman" w:hAnsi="Arial" w:cs="Arial"/>
      <w:b/>
      <w:bCs/>
      <w:sz w:val="24"/>
      <w:szCs w:val="20"/>
    </w:rPr>
  </w:style>
  <w:style w:type="paragraph" w:styleId="Header">
    <w:name w:val="header"/>
    <w:basedOn w:val="Normal"/>
    <w:link w:val="HeaderChar"/>
    <w:uiPriority w:val="99"/>
    <w:unhideWhenUsed/>
    <w:rsid w:val="00C90A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A0A"/>
  </w:style>
  <w:style w:type="paragraph" w:styleId="Footer">
    <w:name w:val="footer"/>
    <w:basedOn w:val="Normal"/>
    <w:link w:val="FooterChar"/>
    <w:uiPriority w:val="99"/>
    <w:unhideWhenUsed/>
    <w:rsid w:val="00C90A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A0A"/>
  </w:style>
  <w:style w:type="paragraph" w:customStyle="1" w:styleId="CP1">
    <w:name w:val="CP1"/>
    <w:basedOn w:val="Normal"/>
    <w:rsid w:val="000964C8"/>
    <w:pPr>
      <w:numPr>
        <w:numId w:val="30"/>
      </w:numPr>
      <w:spacing w:after="240" w:line="240" w:lineRule="auto"/>
      <w:outlineLvl w:val="0"/>
    </w:pPr>
    <w:rPr>
      <w:rFonts w:ascii="Times New Roman" w:eastAsia="Times New Roman" w:hAnsi="Times New Roman"/>
      <w:sz w:val="24"/>
      <w:szCs w:val="20"/>
      <w:lang w:val="en-CA"/>
    </w:rPr>
  </w:style>
  <w:style w:type="paragraph" w:customStyle="1" w:styleId="CP2">
    <w:name w:val="CP2"/>
    <w:basedOn w:val="Normal"/>
    <w:rsid w:val="000964C8"/>
    <w:pPr>
      <w:numPr>
        <w:ilvl w:val="1"/>
        <w:numId w:val="30"/>
      </w:numPr>
      <w:spacing w:after="240" w:line="240" w:lineRule="auto"/>
      <w:jc w:val="both"/>
      <w:outlineLvl w:val="1"/>
    </w:pPr>
    <w:rPr>
      <w:rFonts w:ascii="Times New Roman" w:eastAsia="Times New Roman" w:hAnsi="Times New Roman"/>
      <w:sz w:val="24"/>
      <w:szCs w:val="20"/>
      <w:lang w:val="en-CA"/>
    </w:rPr>
  </w:style>
  <w:style w:type="paragraph" w:customStyle="1" w:styleId="CP3">
    <w:name w:val="CP3"/>
    <w:basedOn w:val="Normal"/>
    <w:rsid w:val="000964C8"/>
    <w:pPr>
      <w:numPr>
        <w:ilvl w:val="2"/>
        <w:numId w:val="30"/>
      </w:numPr>
      <w:spacing w:after="240" w:line="240" w:lineRule="auto"/>
      <w:jc w:val="both"/>
    </w:pPr>
    <w:rPr>
      <w:rFonts w:ascii="Times New Roman" w:eastAsia="Times New Roman" w:hAnsi="Times New Roman"/>
      <w:sz w:val="24"/>
      <w:szCs w:val="20"/>
      <w:lang w:val="en-CA"/>
    </w:rPr>
  </w:style>
  <w:style w:type="paragraph" w:customStyle="1" w:styleId="CP4">
    <w:name w:val="CP4"/>
    <w:basedOn w:val="Normal"/>
    <w:rsid w:val="000964C8"/>
    <w:pPr>
      <w:numPr>
        <w:ilvl w:val="3"/>
        <w:numId w:val="30"/>
      </w:numPr>
      <w:spacing w:after="240" w:line="240" w:lineRule="auto"/>
    </w:pPr>
    <w:rPr>
      <w:rFonts w:ascii="Times New Roman" w:eastAsia="Times New Roman" w:hAnsi="Times New Roman"/>
      <w:sz w:val="24"/>
      <w:szCs w:val="20"/>
      <w:lang w:val="en-CA"/>
    </w:rPr>
  </w:style>
  <w:style w:type="paragraph" w:customStyle="1" w:styleId="CP5">
    <w:name w:val="CP5"/>
    <w:basedOn w:val="Normal"/>
    <w:rsid w:val="000964C8"/>
    <w:pPr>
      <w:numPr>
        <w:ilvl w:val="4"/>
        <w:numId w:val="30"/>
      </w:numPr>
      <w:spacing w:after="240" w:line="240" w:lineRule="auto"/>
    </w:pPr>
    <w:rPr>
      <w:rFonts w:ascii="Times New Roman" w:eastAsia="Times New Roman" w:hAnsi="Times New Roman"/>
      <w:sz w:val="24"/>
      <w:szCs w:val="20"/>
      <w:lang w:val="en-CA"/>
    </w:rPr>
  </w:style>
  <w:style w:type="paragraph" w:customStyle="1" w:styleId="CP6">
    <w:name w:val="CP6"/>
    <w:basedOn w:val="Normal"/>
    <w:rsid w:val="000964C8"/>
    <w:pPr>
      <w:numPr>
        <w:ilvl w:val="5"/>
        <w:numId w:val="30"/>
      </w:numPr>
      <w:spacing w:after="240" w:line="240" w:lineRule="auto"/>
    </w:pPr>
    <w:rPr>
      <w:rFonts w:ascii="Times New Roman" w:eastAsia="Times New Roman" w:hAnsi="Times New Roman"/>
      <w:sz w:val="24"/>
      <w:szCs w:val="20"/>
      <w:lang w:val="en-CA"/>
    </w:rPr>
  </w:style>
  <w:style w:type="paragraph" w:customStyle="1" w:styleId="CP7">
    <w:name w:val="CP7"/>
    <w:basedOn w:val="Normal"/>
    <w:rsid w:val="000964C8"/>
    <w:pPr>
      <w:numPr>
        <w:ilvl w:val="6"/>
        <w:numId w:val="30"/>
      </w:numPr>
      <w:spacing w:after="240" w:line="240" w:lineRule="auto"/>
    </w:pPr>
    <w:rPr>
      <w:rFonts w:ascii="Times New Roman" w:eastAsia="Times New Roman" w:hAnsi="Times New Roman"/>
      <w:sz w:val="24"/>
      <w:szCs w:val="20"/>
      <w:lang w:val="en-CA"/>
    </w:rPr>
  </w:style>
  <w:style w:type="paragraph" w:customStyle="1" w:styleId="CP8">
    <w:name w:val="CP8"/>
    <w:basedOn w:val="Normal"/>
    <w:rsid w:val="000964C8"/>
    <w:pPr>
      <w:numPr>
        <w:ilvl w:val="7"/>
        <w:numId w:val="30"/>
      </w:numPr>
      <w:spacing w:after="240" w:line="240" w:lineRule="auto"/>
    </w:pPr>
    <w:rPr>
      <w:rFonts w:ascii="Times New Roman" w:eastAsia="Times New Roman" w:hAnsi="Times New Roman"/>
      <w:sz w:val="24"/>
      <w:szCs w:val="20"/>
      <w:lang w:val="en-CA"/>
    </w:rPr>
  </w:style>
  <w:style w:type="paragraph" w:customStyle="1" w:styleId="CP9">
    <w:name w:val="CP9"/>
    <w:basedOn w:val="Normal"/>
    <w:rsid w:val="000964C8"/>
    <w:pPr>
      <w:numPr>
        <w:ilvl w:val="8"/>
        <w:numId w:val="30"/>
      </w:numPr>
      <w:spacing w:after="240" w:line="240" w:lineRule="auto"/>
    </w:pPr>
    <w:rPr>
      <w:rFonts w:ascii="Times New Roman" w:eastAsia="Times New Roman" w:hAnsi="Times New Roman"/>
      <w:sz w:val="24"/>
      <w:szCs w:val="20"/>
      <w:lang w:val="en-CA"/>
    </w:rPr>
  </w:style>
  <w:style w:type="character" w:styleId="CommentReference">
    <w:name w:val="annotation reference"/>
    <w:semiHidden/>
    <w:unhideWhenUsed/>
    <w:rsid w:val="00B043B6"/>
    <w:rPr>
      <w:sz w:val="16"/>
      <w:szCs w:val="16"/>
    </w:rPr>
  </w:style>
  <w:style w:type="paragraph" w:styleId="CommentText">
    <w:name w:val="annotation text"/>
    <w:basedOn w:val="Normal"/>
    <w:link w:val="CommentTextChar"/>
    <w:semiHidden/>
    <w:unhideWhenUsed/>
    <w:rsid w:val="00B043B6"/>
    <w:pPr>
      <w:spacing w:line="240" w:lineRule="auto"/>
    </w:pPr>
    <w:rPr>
      <w:sz w:val="20"/>
      <w:szCs w:val="20"/>
    </w:rPr>
  </w:style>
  <w:style w:type="character" w:customStyle="1" w:styleId="CommentTextChar">
    <w:name w:val="Comment Text Char"/>
    <w:link w:val="CommentText"/>
    <w:semiHidden/>
    <w:rsid w:val="00B043B6"/>
    <w:rPr>
      <w:sz w:val="20"/>
      <w:szCs w:val="20"/>
    </w:rPr>
  </w:style>
  <w:style w:type="paragraph" w:styleId="CommentSubject">
    <w:name w:val="annotation subject"/>
    <w:basedOn w:val="CommentText"/>
    <w:next w:val="CommentText"/>
    <w:link w:val="CommentSubjectChar"/>
    <w:uiPriority w:val="99"/>
    <w:semiHidden/>
    <w:unhideWhenUsed/>
    <w:rsid w:val="00B043B6"/>
    <w:rPr>
      <w:b/>
      <w:bCs/>
    </w:rPr>
  </w:style>
  <w:style w:type="character" w:customStyle="1" w:styleId="CommentSubjectChar">
    <w:name w:val="Comment Subject Char"/>
    <w:link w:val="CommentSubject"/>
    <w:uiPriority w:val="99"/>
    <w:semiHidden/>
    <w:rsid w:val="00B043B6"/>
    <w:rPr>
      <w:b/>
      <w:bCs/>
      <w:sz w:val="20"/>
      <w:szCs w:val="20"/>
    </w:rPr>
  </w:style>
  <w:style w:type="paragraph" w:styleId="ListParagraph">
    <w:name w:val="List Paragraph"/>
    <w:basedOn w:val="Normal"/>
    <w:uiPriority w:val="34"/>
    <w:qFormat/>
    <w:rsid w:val="005D4546"/>
    <w:pPr>
      <w:spacing w:after="0" w:line="240" w:lineRule="auto"/>
      <w:ind w:left="720"/>
      <w:contextualSpacing/>
    </w:pPr>
    <w:rPr>
      <w:rFonts w:ascii="Times New Roman" w:eastAsia="Times New Roman" w:hAnsi="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0551">
      <w:bodyDiv w:val="1"/>
      <w:marLeft w:val="0"/>
      <w:marRight w:val="0"/>
      <w:marTop w:val="0"/>
      <w:marBottom w:val="0"/>
      <w:divBdr>
        <w:top w:val="none" w:sz="0" w:space="0" w:color="auto"/>
        <w:left w:val="none" w:sz="0" w:space="0" w:color="auto"/>
        <w:bottom w:val="none" w:sz="0" w:space="0" w:color="auto"/>
        <w:right w:val="none" w:sz="0" w:space="0" w:color="auto"/>
      </w:divBdr>
    </w:div>
    <w:div w:id="10107296">
      <w:bodyDiv w:val="1"/>
      <w:marLeft w:val="0"/>
      <w:marRight w:val="0"/>
      <w:marTop w:val="0"/>
      <w:marBottom w:val="0"/>
      <w:divBdr>
        <w:top w:val="none" w:sz="0" w:space="0" w:color="auto"/>
        <w:left w:val="none" w:sz="0" w:space="0" w:color="auto"/>
        <w:bottom w:val="none" w:sz="0" w:space="0" w:color="auto"/>
        <w:right w:val="none" w:sz="0" w:space="0" w:color="auto"/>
      </w:divBdr>
    </w:div>
    <w:div w:id="166217225">
      <w:bodyDiv w:val="1"/>
      <w:marLeft w:val="0"/>
      <w:marRight w:val="0"/>
      <w:marTop w:val="0"/>
      <w:marBottom w:val="0"/>
      <w:divBdr>
        <w:top w:val="none" w:sz="0" w:space="0" w:color="auto"/>
        <w:left w:val="none" w:sz="0" w:space="0" w:color="auto"/>
        <w:bottom w:val="none" w:sz="0" w:space="0" w:color="auto"/>
        <w:right w:val="none" w:sz="0" w:space="0" w:color="auto"/>
      </w:divBdr>
    </w:div>
    <w:div w:id="186718327">
      <w:bodyDiv w:val="1"/>
      <w:marLeft w:val="0"/>
      <w:marRight w:val="0"/>
      <w:marTop w:val="0"/>
      <w:marBottom w:val="0"/>
      <w:divBdr>
        <w:top w:val="none" w:sz="0" w:space="0" w:color="auto"/>
        <w:left w:val="none" w:sz="0" w:space="0" w:color="auto"/>
        <w:bottom w:val="none" w:sz="0" w:space="0" w:color="auto"/>
        <w:right w:val="none" w:sz="0" w:space="0" w:color="auto"/>
      </w:divBdr>
    </w:div>
    <w:div w:id="244726667">
      <w:bodyDiv w:val="1"/>
      <w:marLeft w:val="0"/>
      <w:marRight w:val="0"/>
      <w:marTop w:val="0"/>
      <w:marBottom w:val="0"/>
      <w:divBdr>
        <w:top w:val="none" w:sz="0" w:space="0" w:color="auto"/>
        <w:left w:val="none" w:sz="0" w:space="0" w:color="auto"/>
        <w:bottom w:val="none" w:sz="0" w:space="0" w:color="auto"/>
        <w:right w:val="none" w:sz="0" w:space="0" w:color="auto"/>
      </w:divBdr>
    </w:div>
    <w:div w:id="261425274">
      <w:bodyDiv w:val="1"/>
      <w:marLeft w:val="0"/>
      <w:marRight w:val="0"/>
      <w:marTop w:val="0"/>
      <w:marBottom w:val="0"/>
      <w:divBdr>
        <w:top w:val="none" w:sz="0" w:space="0" w:color="auto"/>
        <w:left w:val="none" w:sz="0" w:space="0" w:color="auto"/>
        <w:bottom w:val="none" w:sz="0" w:space="0" w:color="auto"/>
        <w:right w:val="none" w:sz="0" w:space="0" w:color="auto"/>
      </w:divBdr>
      <w:divsChild>
        <w:div w:id="753749451">
          <w:marLeft w:val="0"/>
          <w:marRight w:val="0"/>
          <w:marTop w:val="0"/>
          <w:marBottom w:val="0"/>
          <w:divBdr>
            <w:top w:val="none" w:sz="0" w:space="0" w:color="auto"/>
            <w:left w:val="none" w:sz="0" w:space="0" w:color="auto"/>
            <w:bottom w:val="none" w:sz="0" w:space="0" w:color="auto"/>
            <w:right w:val="none" w:sz="0" w:space="0" w:color="auto"/>
          </w:divBdr>
          <w:divsChild>
            <w:div w:id="2012947149">
              <w:marLeft w:val="0"/>
              <w:marRight w:val="0"/>
              <w:marTop w:val="0"/>
              <w:marBottom w:val="0"/>
              <w:divBdr>
                <w:top w:val="none" w:sz="0" w:space="0" w:color="auto"/>
                <w:left w:val="none" w:sz="0" w:space="0" w:color="auto"/>
                <w:bottom w:val="none" w:sz="0" w:space="0" w:color="auto"/>
                <w:right w:val="none" w:sz="0" w:space="0" w:color="auto"/>
              </w:divBdr>
              <w:divsChild>
                <w:div w:id="295722691">
                  <w:marLeft w:val="0"/>
                  <w:marRight w:val="0"/>
                  <w:marTop w:val="0"/>
                  <w:marBottom w:val="0"/>
                  <w:divBdr>
                    <w:top w:val="none" w:sz="0" w:space="0" w:color="auto"/>
                    <w:left w:val="none" w:sz="0" w:space="0" w:color="auto"/>
                    <w:bottom w:val="none" w:sz="0" w:space="0" w:color="auto"/>
                    <w:right w:val="none" w:sz="0" w:space="0" w:color="auto"/>
                  </w:divBdr>
                  <w:divsChild>
                    <w:div w:id="110364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186665">
      <w:bodyDiv w:val="1"/>
      <w:marLeft w:val="0"/>
      <w:marRight w:val="0"/>
      <w:marTop w:val="0"/>
      <w:marBottom w:val="0"/>
      <w:divBdr>
        <w:top w:val="none" w:sz="0" w:space="0" w:color="auto"/>
        <w:left w:val="none" w:sz="0" w:space="0" w:color="auto"/>
        <w:bottom w:val="none" w:sz="0" w:space="0" w:color="auto"/>
        <w:right w:val="none" w:sz="0" w:space="0" w:color="auto"/>
      </w:divBdr>
      <w:divsChild>
        <w:div w:id="377559713">
          <w:marLeft w:val="0"/>
          <w:marRight w:val="0"/>
          <w:marTop w:val="0"/>
          <w:marBottom w:val="0"/>
          <w:divBdr>
            <w:top w:val="none" w:sz="0" w:space="0" w:color="auto"/>
            <w:left w:val="none" w:sz="0" w:space="0" w:color="auto"/>
            <w:bottom w:val="none" w:sz="0" w:space="0" w:color="auto"/>
            <w:right w:val="none" w:sz="0" w:space="0" w:color="auto"/>
          </w:divBdr>
          <w:divsChild>
            <w:div w:id="1970158770">
              <w:marLeft w:val="0"/>
              <w:marRight w:val="0"/>
              <w:marTop w:val="0"/>
              <w:marBottom w:val="0"/>
              <w:divBdr>
                <w:top w:val="none" w:sz="0" w:space="0" w:color="auto"/>
                <w:left w:val="none" w:sz="0" w:space="0" w:color="auto"/>
                <w:bottom w:val="none" w:sz="0" w:space="0" w:color="auto"/>
                <w:right w:val="none" w:sz="0" w:space="0" w:color="auto"/>
              </w:divBdr>
              <w:divsChild>
                <w:div w:id="1262450155">
                  <w:marLeft w:val="0"/>
                  <w:marRight w:val="0"/>
                  <w:marTop w:val="0"/>
                  <w:marBottom w:val="0"/>
                  <w:divBdr>
                    <w:top w:val="none" w:sz="0" w:space="0" w:color="auto"/>
                    <w:left w:val="none" w:sz="0" w:space="0" w:color="auto"/>
                    <w:bottom w:val="none" w:sz="0" w:space="0" w:color="auto"/>
                    <w:right w:val="none" w:sz="0" w:space="0" w:color="auto"/>
                  </w:divBdr>
                  <w:divsChild>
                    <w:div w:id="36707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578727">
      <w:bodyDiv w:val="1"/>
      <w:marLeft w:val="0"/>
      <w:marRight w:val="0"/>
      <w:marTop w:val="0"/>
      <w:marBottom w:val="0"/>
      <w:divBdr>
        <w:top w:val="none" w:sz="0" w:space="0" w:color="auto"/>
        <w:left w:val="none" w:sz="0" w:space="0" w:color="auto"/>
        <w:bottom w:val="none" w:sz="0" w:space="0" w:color="auto"/>
        <w:right w:val="none" w:sz="0" w:space="0" w:color="auto"/>
      </w:divBdr>
    </w:div>
    <w:div w:id="478159774">
      <w:bodyDiv w:val="1"/>
      <w:marLeft w:val="0"/>
      <w:marRight w:val="0"/>
      <w:marTop w:val="0"/>
      <w:marBottom w:val="0"/>
      <w:divBdr>
        <w:top w:val="none" w:sz="0" w:space="0" w:color="auto"/>
        <w:left w:val="none" w:sz="0" w:space="0" w:color="auto"/>
        <w:bottom w:val="none" w:sz="0" w:space="0" w:color="auto"/>
        <w:right w:val="none" w:sz="0" w:space="0" w:color="auto"/>
      </w:divBdr>
    </w:div>
    <w:div w:id="562181215">
      <w:bodyDiv w:val="1"/>
      <w:marLeft w:val="0"/>
      <w:marRight w:val="0"/>
      <w:marTop w:val="0"/>
      <w:marBottom w:val="0"/>
      <w:divBdr>
        <w:top w:val="none" w:sz="0" w:space="0" w:color="auto"/>
        <w:left w:val="none" w:sz="0" w:space="0" w:color="auto"/>
        <w:bottom w:val="none" w:sz="0" w:space="0" w:color="auto"/>
        <w:right w:val="none" w:sz="0" w:space="0" w:color="auto"/>
      </w:divBdr>
      <w:divsChild>
        <w:div w:id="421529077">
          <w:marLeft w:val="0"/>
          <w:marRight w:val="0"/>
          <w:marTop w:val="0"/>
          <w:marBottom w:val="0"/>
          <w:divBdr>
            <w:top w:val="none" w:sz="0" w:space="0" w:color="auto"/>
            <w:left w:val="none" w:sz="0" w:space="0" w:color="auto"/>
            <w:bottom w:val="none" w:sz="0" w:space="0" w:color="auto"/>
            <w:right w:val="none" w:sz="0" w:space="0" w:color="auto"/>
          </w:divBdr>
          <w:divsChild>
            <w:div w:id="1390299772">
              <w:marLeft w:val="0"/>
              <w:marRight w:val="0"/>
              <w:marTop w:val="0"/>
              <w:marBottom w:val="0"/>
              <w:divBdr>
                <w:top w:val="none" w:sz="0" w:space="0" w:color="auto"/>
                <w:left w:val="none" w:sz="0" w:space="0" w:color="auto"/>
                <w:bottom w:val="none" w:sz="0" w:space="0" w:color="auto"/>
                <w:right w:val="none" w:sz="0" w:space="0" w:color="auto"/>
              </w:divBdr>
              <w:divsChild>
                <w:div w:id="195192114">
                  <w:marLeft w:val="0"/>
                  <w:marRight w:val="0"/>
                  <w:marTop w:val="0"/>
                  <w:marBottom w:val="0"/>
                  <w:divBdr>
                    <w:top w:val="none" w:sz="0" w:space="0" w:color="auto"/>
                    <w:left w:val="none" w:sz="0" w:space="0" w:color="auto"/>
                    <w:bottom w:val="none" w:sz="0" w:space="0" w:color="auto"/>
                    <w:right w:val="none" w:sz="0" w:space="0" w:color="auto"/>
                  </w:divBdr>
                  <w:divsChild>
                    <w:div w:id="1481337810">
                      <w:marLeft w:val="0"/>
                      <w:marRight w:val="0"/>
                      <w:marTop w:val="0"/>
                      <w:marBottom w:val="0"/>
                      <w:divBdr>
                        <w:top w:val="none" w:sz="0" w:space="0" w:color="auto"/>
                        <w:left w:val="none" w:sz="0" w:space="0" w:color="auto"/>
                        <w:bottom w:val="none" w:sz="0" w:space="0" w:color="auto"/>
                        <w:right w:val="none" w:sz="0" w:space="0" w:color="auto"/>
                      </w:divBdr>
                    </w:div>
                  </w:divsChild>
                </w:div>
                <w:div w:id="1058631552">
                  <w:marLeft w:val="0"/>
                  <w:marRight w:val="0"/>
                  <w:marTop w:val="0"/>
                  <w:marBottom w:val="0"/>
                  <w:divBdr>
                    <w:top w:val="none" w:sz="0" w:space="0" w:color="auto"/>
                    <w:left w:val="none" w:sz="0" w:space="0" w:color="auto"/>
                    <w:bottom w:val="none" w:sz="0" w:space="0" w:color="auto"/>
                    <w:right w:val="none" w:sz="0" w:space="0" w:color="auto"/>
                  </w:divBdr>
                  <w:divsChild>
                    <w:div w:id="707878306">
                      <w:marLeft w:val="0"/>
                      <w:marRight w:val="0"/>
                      <w:marTop w:val="0"/>
                      <w:marBottom w:val="0"/>
                      <w:divBdr>
                        <w:top w:val="none" w:sz="0" w:space="0" w:color="auto"/>
                        <w:left w:val="none" w:sz="0" w:space="0" w:color="auto"/>
                        <w:bottom w:val="none" w:sz="0" w:space="0" w:color="auto"/>
                        <w:right w:val="none" w:sz="0" w:space="0" w:color="auto"/>
                      </w:divBdr>
                    </w:div>
                  </w:divsChild>
                </w:div>
                <w:div w:id="1563640461">
                  <w:marLeft w:val="0"/>
                  <w:marRight w:val="0"/>
                  <w:marTop w:val="0"/>
                  <w:marBottom w:val="0"/>
                  <w:divBdr>
                    <w:top w:val="none" w:sz="0" w:space="0" w:color="auto"/>
                    <w:left w:val="none" w:sz="0" w:space="0" w:color="auto"/>
                    <w:bottom w:val="none" w:sz="0" w:space="0" w:color="auto"/>
                    <w:right w:val="none" w:sz="0" w:space="0" w:color="auto"/>
                  </w:divBdr>
                  <w:divsChild>
                    <w:div w:id="8496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54328">
      <w:bodyDiv w:val="1"/>
      <w:marLeft w:val="0"/>
      <w:marRight w:val="0"/>
      <w:marTop w:val="0"/>
      <w:marBottom w:val="0"/>
      <w:divBdr>
        <w:top w:val="none" w:sz="0" w:space="0" w:color="auto"/>
        <w:left w:val="none" w:sz="0" w:space="0" w:color="auto"/>
        <w:bottom w:val="none" w:sz="0" w:space="0" w:color="auto"/>
        <w:right w:val="none" w:sz="0" w:space="0" w:color="auto"/>
      </w:divBdr>
    </w:div>
    <w:div w:id="715933098">
      <w:bodyDiv w:val="1"/>
      <w:marLeft w:val="0"/>
      <w:marRight w:val="0"/>
      <w:marTop w:val="0"/>
      <w:marBottom w:val="0"/>
      <w:divBdr>
        <w:top w:val="none" w:sz="0" w:space="0" w:color="auto"/>
        <w:left w:val="none" w:sz="0" w:space="0" w:color="auto"/>
        <w:bottom w:val="none" w:sz="0" w:space="0" w:color="auto"/>
        <w:right w:val="none" w:sz="0" w:space="0" w:color="auto"/>
      </w:divBdr>
      <w:divsChild>
        <w:div w:id="178860160">
          <w:marLeft w:val="0"/>
          <w:marRight w:val="0"/>
          <w:marTop w:val="0"/>
          <w:marBottom w:val="0"/>
          <w:divBdr>
            <w:top w:val="none" w:sz="0" w:space="0" w:color="auto"/>
            <w:left w:val="none" w:sz="0" w:space="0" w:color="auto"/>
            <w:bottom w:val="none" w:sz="0" w:space="0" w:color="auto"/>
            <w:right w:val="none" w:sz="0" w:space="0" w:color="auto"/>
          </w:divBdr>
          <w:divsChild>
            <w:div w:id="1755317128">
              <w:marLeft w:val="0"/>
              <w:marRight w:val="0"/>
              <w:marTop w:val="0"/>
              <w:marBottom w:val="0"/>
              <w:divBdr>
                <w:top w:val="none" w:sz="0" w:space="0" w:color="auto"/>
                <w:left w:val="none" w:sz="0" w:space="0" w:color="auto"/>
                <w:bottom w:val="none" w:sz="0" w:space="0" w:color="auto"/>
                <w:right w:val="none" w:sz="0" w:space="0" w:color="auto"/>
              </w:divBdr>
              <w:divsChild>
                <w:div w:id="2069838915">
                  <w:marLeft w:val="0"/>
                  <w:marRight w:val="0"/>
                  <w:marTop w:val="0"/>
                  <w:marBottom w:val="0"/>
                  <w:divBdr>
                    <w:top w:val="none" w:sz="0" w:space="0" w:color="auto"/>
                    <w:left w:val="none" w:sz="0" w:space="0" w:color="auto"/>
                    <w:bottom w:val="none" w:sz="0" w:space="0" w:color="auto"/>
                    <w:right w:val="none" w:sz="0" w:space="0" w:color="auto"/>
                  </w:divBdr>
                  <w:divsChild>
                    <w:div w:id="85650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700903">
      <w:bodyDiv w:val="1"/>
      <w:marLeft w:val="0"/>
      <w:marRight w:val="0"/>
      <w:marTop w:val="0"/>
      <w:marBottom w:val="0"/>
      <w:divBdr>
        <w:top w:val="none" w:sz="0" w:space="0" w:color="auto"/>
        <w:left w:val="none" w:sz="0" w:space="0" w:color="auto"/>
        <w:bottom w:val="none" w:sz="0" w:space="0" w:color="auto"/>
        <w:right w:val="none" w:sz="0" w:space="0" w:color="auto"/>
      </w:divBdr>
    </w:div>
    <w:div w:id="815412225">
      <w:bodyDiv w:val="1"/>
      <w:marLeft w:val="0"/>
      <w:marRight w:val="0"/>
      <w:marTop w:val="0"/>
      <w:marBottom w:val="0"/>
      <w:divBdr>
        <w:top w:val="none" w:sz="0" w:space="0" w:color="auto"/>
        <w:left w:val="none" w:sz="0" w:space="0" w:color="auto"/>
        <w:bottom w:val="none" w:sz="0" w:space="0" w:color="auto"/>
        <w:right w:val="none" w:sz="0" w:space="0" w:color="auto"/>
      </w:divBdr>
    </w:div>
    <w:div w:id="852037750">
      <w:bodyDiv w:val="1"/>
      <w:marLeft w:val="0"/>
      <w:marRight w:val="0"/>
      <w:marTop w:val="0"/>
      <w:marBottom w:val="0"/>
      <w:divBdr>
        <w:top w:val="none" w:sz="0" w:space="0" w:color="auto"/>
        <w:left w:val="none" w:sz="0" w:space="0" w:color="auto"/>
        <w:bottom w:val="none" w:sz="0" w:space="0" w:color="auto"/>
        <w:right w:val="none" w:sz="0" w:space="0" w:color="auto"/>
      </w:divBdr>
    </w:div>
    <w:div w:id="1069964998">
      <w:bodyDiv w:val="1"/>
      <w:marLeft w:val="0"/>
      <w:marRight w:val="0"/>
      <w:marTop w:val="0"/>
      <w:marBottom w:val="0"/>
      <w:divBdr>
        <w:top w:val="none" w:sz="0" w:space="0" w:color="auto"/>
        <w:left w:val="none" w:sz="0" w:space="0" w:color="auto"/>
        <w:bottom w:val="none" w:sz="0" w:space="0" w:color="auto"/>
        <w:right w:val="none" w:sz="0" w:space="0" w:color="auto"/>
      </w:divBdr>
    </w:div>
    <w:div w:id="1071658788">
      <w:bodyDiv w:val="1"/>
      <w:marLeft w:val="0"/>
      <w:marRight w:val="0"/>
      <w:marTop w:val="0"/>
      <w:marBottom w:val="0"/>
      <w:divBdr>
        <w:top w:val="none" w:sz="0" w:space="0" w:color="auto"/>
        <w:left w:val="none" w:sz="0" w:space="0" w:color="auto"/>
        <w:bottom w:val="none" w:sz="0" w:space="0" w:color="auto"/>
        <w:right w:val="none" w:sz="0" w:space="0" w:color="auto"/>
      </w:divBdr>
    </w:div>
    <w:div w:id="1167405881">
      <w:bodyDiv w:val="1"/>
      <w:marLeft w:val="0"/>
      <w:marRight w:val="0"/>
      <w:marTop w:val="0"/>
      <w:marBottom w:val="0"/>
      <w:divBdr>
        <w:top w:val="none" w:sz="0" w:space="0" w:color="auto"/>
        <w:left w:val="none" w:sz="0" w:space="0" w:color="auto"/>
        <w:bottom w:val="none" w:sz="0" w:space="0" w:color="auto"/>
        <w:right w:val="none" w:sz="0" w:space="0" w:color="auto"/>
      </w:divBdr>
      <w:divsChild>
        <w:div w:id="1575775084">
          <w:marLeft w:val="0"/>
          <w:marRight w:val="0"/>
          <w:marTop w:val="0"/>
          <w:marBottom w:val="0"/>
          <w:divBdr>
            <w:top w:val="none" w:sz="0" w:space="0" w:color="auto"/>
            <w:left w:val="none" w:sz="0" w:space="0" w:color="auto"/>
            <w:bottom w:val="none" w:sz="0" w:space="0" w:color="auto"/>
            <w:right w:val="none" w:sz="0" w:space="0" w:color="auto"/>
          </w:divBdr>
          <w:divsChild>
            <w:div w:id="1012417970">
              <w:marLeft w:val="0"/>
              <w:marRight w:val="0"/>
              <w:marTop w:val="0"/>
              <w:marBottom w:val="0"/>
              <w:divBdr>
                <w:top w:val="none" w:sz="0" w:space="0" w:color="auto"/>
                <w:left w:val="none" w:sz="0" w:space="0" w:color="auto"/>
                <w:bottom w:val="none" w:sz="0" w:space="0" w:color="auto"/>
                <w:right w:val="none" w:sz="0" w:space="0" w:color="auto"/>
              </w:divBdr>
              <w:divsChild>
                <w:div w:id="346491538">
                  <w:marLeft w:val="0"/>
                  <w:marRight w:val="0"/>
                  <w:marTop w:val="0"/>
                  <w:marBottom w:val="0"/>
                  <w:divBdr>
                    <w:top w:val="none" w:sz="0" w:space="0" w:color="auto"/>
                    <w:left w:val="none" w:sz="0" w:space="0" w:color="auto"/>
                    <w:bottom w:val="none" w:sz="0" w:space="0" w:color="auto"/>
                    <w:right w:val="none" w:sz="0" w:space="0" w:color="auto"/>
                  </w:divBdr>
                  <w:divsChild>
                    <w:div w:id="62265843">
                      <w:marLeft w:val="0"/>
                      <w:marRight w:val="0"/>
                      <w:marTop w:val="0"/>
                      <w:marBottom w:val="0"/>
                      <w:divBdr>
                        <w:top w:val="none" w:sz="0" w:space="0" w:color="auto"/>
                        <w:left w:val="none" w:sz="0" w:space="0" w:color="auto"/>
                        <w:bottom w:val="none" w:sz="0" w:space="0" w:color="auto"/>
                        <w:right w:val="none" w:sz="0" w:space="0" w:color="auto"/>
                      </w:divBdr>
                    </w:div>
                  </w:divsChild>
                </w:div>
                <w:div w:id="890189396">
                  <w:marLeft w:val="0"/>
                  <w:marRight w:val="0"/>
                  <w:marTop w:val="0"/>
                  <w:marBottom w:val="0"/>
                  <w:divBdr>
                    <w:top w:val="none" w:sz="0" w:space="0" w:color="auto"/>
                    <w:left w:val="none" w:sz="0" w:space="0" w:color="auto"/>
                    <w:bottom w:val="none" w:sz="0" w:space="0" w:color="auto"/>
                    <w:right w:val="none" w:sz="0" w:space="0" w:color="auto"/>
                  </w:divBdr>
                  <w:divsChild>
                    <w:div w:id="510611860">
                      <w:marLeft w:val="0"/>
                      <w:marRight w:val="0"/>
                      <w:marTop w:val="0"/>
                      <w:marBottom w:val="0"/>
                      <w:divBdr>
                        <w:top w:val="none" w:sz="0" w:space="0" w:color="auto"/>
                        <w:left w:val="none" w:sz="0" w:space="0" w:color="auto"/>
                        <w:bottom w:val="none" w:sz="0" w:space="0" w:color="auto"/>
                        <w:right w:val="none" w:sz="0" w:space="0" w:color="auto"/>
                      </w:divBdr>
                    </w:div>
                  </w:divsChild>
                </w:div>
                <w:div w:id="1804229392">
                  <w:marLeft w:val="0"/>
                  <w:marRight w:val="0"/>
                  <w:marTop w:val="0"/>
                  <w:marBottom w:val="0"/>
                  <w:divBdr>
                    <w:top w:val="none" w:sz="0" w:space="0" w:color="auto"/>
                    <w:left w:val="none" w:sz="0" w:space="0" w:color="auto"/>
                    <w:bottom w:val="none" w:sz="0" w:space="0" w:color="auto"/>
                    <w:right w:val="none" w:sz="0" w:space="0" w:color="auto"/>
                  </w:divBdr>
                  <w:divsChild>
                    <w:div w:id="47330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421761">
      <w:bodyDiv w:val="1"/>
      <w:marLeft w:val="0"/>
      <w:marRight w:val="0"/>
      <w:marTop w:val="0"/>
      <w:marBottom w:val="0"/>
      <w:divBdr>
        <w:top w:val="none" w:sz="0" w:space="0" w:color="auto"/>
        <w:left w:val="none" w:sz="0" w:space="0" w:color="auto"/>
        <w:bottom w:val="none" w:sz="0" w:space="0" w:color="auto"/>
        <w:right w:val="none" w:sz="0" w:space="0" w:color="auto"/>
      </w:divBdr>
    </w:div>
    <w:div w:id="1196387504">
      <w:bodyDiv w:val="1"/>
      <w:marLeft w:val="0"/>
      <w:marRight w:val="0"/>
      <w:marTop w:val="0"/>
      <w:marBottom w:val="0"/>
      <w:divBdr>
        <w:top w:val="none" w:sz="0" w:space="0" w:color="auto"/>
        <w:left w:val="none" w:sz="0" w:space="0" w:color="auto"/>
        <w:bottom w:val="none" w:sz="0" w:space="0" w:color="auto"/>
        <w:right w:val="none" w:sz="0" w:space="0" w:color="auto"/>
      </w:divBdr>
      <w:divsChild>
        <w:div w:id="1486819734">
          <w:marLeft w:val="0"/>
          <w:marRight w:val="0"/>
          <w:marTop w:val="0"/>
          <w:marBottom w:val="0"/>
          <w:divBdr>
            <w:top w:val="none" w:sz="0" w:space="0" w:color="auto"/>
            <w:left w:val="none" w:sz="0" w:space="0" w:color="auto"/>
            <w:bottom w:val="none" w:sz="0" w:space="0" w:color="auto"/>
            <w:right w:val="none" w:sz="0" w:space="0" w:color="auto"/>
          </w:divBdr>
          <w:divsChild>
            <w:div w:id="1767144422">
              <w:marLeft w:val="0"/>
              <w:marRight w:val="0"/>
              <w:marTop w:val="0"/>
              <w:marBottom w:val="0"/>
              <w:divBdr>
                <w:top w:val="none" w:sz="0" w:space="0" w:color="auto"/>
                <w:left w:val="none" w:sz="0" w:space="0" w:color="auto"/>
                <w:bottom w:val="none" w:sz="0" w:space="0" w:color="auto"/>
                <w:right w:val="none" w:sz="0" w:space="0" w:color="auto"/>
              </w:divBdr>
              <w:divsChild>
                <w:div w:id="1244686866">
                  <w:marLeft w:val="0"/>
                  <w:marRight w:val="0"/>
                  <w:marTop w:val="0"/>
                  <w:marBottom w:val="0"/>
                  <w:divBdr>
                    <w:top w:val="none" w:sz="0" w:space="0" w:color="auto"/>
                    <w:left w:val="none" w:sz="0" w:space="0" w:color="auto"/>
                    <w:bottom w:val="none" w:sz="0" w:space="0" w:color="auto"/>
                    <w:right w:val="none" w:sz="0" w:space="0" w:color="auto"/>
                  </w:divBdr>
                  <w:divsChild>
                    <w:div w:id="114165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632538">
      <w:bodyDiv w:val="1"/>
      <w:marLeft w:val="0"/>
      <w:marRight w:val="0"/>
      <w:marTop w:val="0"/>
      <w:marBottom w:val="0"/>
      <w:divBdr>
        <w:top w:val="none" w:sz="0" w:space="0" w:color="auto"/>
        <w:left w:val="none" w:sz="0" w:space="0" w:color="auto"/>
        <w:bottom w:val="none" w:sz="0" w:space="0" w:color="auto"/>
        <w:right w:val="none" w:sz="0" w:space="0" w:color="auto"/>
      </w:divBdr>
    </w:div>
    <w:div w:id="1286236999">
      <w:bodyDiv w:val="1"/>
      <w:marLeft w:val="0"/>
      <w:marRight w:val="0"/>
      <w:marTop w:val="0"/>
      <w:marBottom w:val="0"/>
      <w:divBdr>
        <w:top w:val="none" w:sz="0" w:space="0" w:color="auto"/>
        <w:left w:val="none" w:sz="0" w:space="0" w:color="auto"/>
        <w:bottom w:val="none" w:sz="0" w:space="0" w:color="auto"/>
        <w:right w:val="none" w:sz="0" w:space="0" w:color="auto"/>
      </w:divBdr>
    </w:div>
    <w:div w:id="1312055751">
      <w:bodyDiv w:val="1"/>
      <w:marLeft w:val="0"/>
      <w:marRight w:val="0"/>
      <w:marTop w:val="0"/>
      <w:marBottom w:val="0"/>
      <w:divBdr>
        <w:top w:val="none" w:sz="0" w:space="0" w:color="auto"/>
        <w:left w:val="none" w:sz="0" w:space="0" w:color="auto"/>
        <w:bottom w:val="none" w:sz="0" w:space="0" w:color="auto"/>
        <w:right w:val="none" w:sz="0" w:space="0" w:color="auto"/>
      </w:divBdr>
      <w:divsChild>
        <w:div w:id="1160583906">
          <w:marLeft w:val="0"/>
          <w:marRight w:val="0"/>
          <w:marTop w:val="0"/>
          <w:marBottom w:val="0"/>
          <w:divBdr>
            <w:top w:val="none" w:sz="0" w:space="0" w:color="auto"/>
            <w:left w:val="none" w:sz="0" w:space="0" w:color="auto"/>
            <w:bottom w:val="none" w:sz="0" w:space="0" w:color="auto"/>
            <w:right w:val="none" w:sz="0" w:space="0" w:color="auto"/>
          </w:divBdr>
          <w:divsChild>
            <w:div w:id="911083852">
              <w:marLeft w:val="0"/>
              <w:marRight w:val="0"/>
              <w:marTop w:val="0"/>
              <w:marBottom w:val="0"/>
              <w:divBdr>
                <w:top w:val="none" w:sz="0" w:space="0" w:color="auto"/>
                <w:left w:val="none" w:sz="0" w:space="0" w:color="auto"/>
                <w:bottom w:val="none" w:sz="0" w:space="0" w:color="auto"/>
                <w:right w:val="none" w:sz="0" w:space="0" w:color="auto"/>
              </w:divBdr>
              <w:divsChild>
                <w:div w:id="1708602343">
                  <w:marLeft w:val="0"/>
                  <w:marRight w:val="0"/>
                  <w:marTop w:val="0"/>
                  <w:marBottom w:val="0"/>
                  <w:divBdr>
                    <w:top w:val="none" w:sz="0" w:space="0" w:color="auto"/>
                    <w:left w:val="none" w:sz="0" w:space="0" w:color="auto"/>
                    <w:bottom w:val="none" w:sz="0" w:space="0" w:color="auto"/>
                    <w:right w:val="none" w:sz="0" w:space="0" w:color="auto"/>
                  </w:divBdr>
                  <w:divsChild>
                    <w:div w:id="8373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141961">
      <w:bodyDiv w:val="1"/>
      <w:marLeft w:val="0"/>
      <w:marRight w:val="0"/>
      <w:marTop w:val="0"/>
      <w:marBottom w:val="0"/>
      <w:divBdr>
        <w:top w:val="none" w:sz="0" w:space="0" w:color="auto"/>
        <w:left w:val="none" w:sz="0" w:space="0" w:color="auto"/>
        <w:bottom w:val="none" w:sz="0" w:space="0" w:color="auto"/>
        <w:right w:val="none" w:sz="0" w:space="0" w:color="auto"/>
      </w:divBdr>
    </w:div>
    <w:div w:id="1442992112">
      <w:bodyDiv w:val="1"/>
      <w:marLeft w:val="0"/>
      <w:marRight w:val="0"/>
      <w:marTop w:val="0"/>
      <w:marBottom w:val="0"/>
      <w:divBdr>
        <w:top w:val="none" w:sz="0" w:space="0" w:color="auto"/>
        <w:left w:val="none" w:sz="0" w:space="0" w:color="auto"/>
        <w:bottom w:val="none" w:sz="0" w:space="0" w:color="auto"/>
        <w:right w:val="none" w:sz="0" w:space="0" w:color="auto"/>
      </w:divBdr>
      <w:divsChild>
        <w:div w:id="1684240668">
          <w:marLeft w:val="0"/>
          <w:marRight w:val="0"/>
          <w:marTop w:val="0"/>
          <w:marBottom w:val="0"/>
          <w:divBdr>
            <w:top w:val="none" w:sz="0" w:space="0" w:color="auto"/>
            <w:left w:val="none" w:sz="0" w:space="0" w:color="auto"/>
            <w:bottom w:val="none" w:sz="0" w:space="0" w:color="auto"/>
            <w:right w:val="none" w:sz="0" w:space="0" w:color="auto"/>
          </w:divBdr>
          <w:divsChild>
            <w:div w:id="1282229132">
              <w:marLeft w:val="0"/>
              <w:marRight w:val="0"/>
              <w:marTop w:val="0"/>
              <w:marBottom w:val="0"/>
              <w:divBdr>
                <w:top w:val="none" w:sz="0" w:space="0" w:color="auto"/>
                <w:left w:val="none" w:sz="0" w:space="0" w:color="auto"/>
                <w:bottom w:val="none" w:sz="0" w:space="0" w:color="auto"/>
                <w:right w:val="none" w:sz="0" w:space="0" w:color="auto"/>
              </w:divBdr>
              <w:divsChild>
                <w:div w:id="1460566263">
                  <w:marLeft w:val="0"/>
                  <w:marRight w:val="0"/>
                  <w:marTop w:val="0"/>
                  <w:marBottom w:val="0"/>
                  <w:divBdr>
                    <w:top w:val="none" w:sz="0" w:space="0" w:color="auto"/>
                    <w:left w:val="none" w:sz="0" w:space="0" w:color="auto"/>
                    <w:bottom w:val="none" w:sz="0" w:space="0" w:color="auto"/>
                    <w:right w:val="none" w:sz="0" w:space="0" w:color="auto"/>
                  </w:divBdr>
                  <w:divsChild>
                    <w:div w:id="91123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038599">
      <w:bodyDiv w:val="1"/>
      <w:marLeft w:val="0"/>
      <w:marRight w:val="0"/>
      <w:marTop w:val="0"/>
      <w:marBottom w:val="0"/>
      <w:divBdr>
        <w:top w:val="none" w:sz="0" w:space="0" w:color="auto"/>
        <w:left w:val="none" w:sz="0" w:space="0" w:color="auto"/>
        <w:bottom w:val="none" w:sz="0" w:space="0" w:color="auto"/>
        <w:right w:val="none" w:sz="0" w:space="0" w:color="auto"/>
      </w:divBdr>
    </w:div>
    <w:div w:id="1794325256">
      <w:bodyDiv w:val="1"/>
      <w:marLeft w:val="0"/>
      <w:marRight w:val="0"/>
      <w:marTop w:val="0"/>
      <w:marBottom w:val="0"/>
      <w:divBdr>
        <w:top w:val="none" w:sz="0" w:space="0" w:color="auto"/>
        <w:left w:val="none" w:sz="0" w:space="0" w:color="auto"/>
        <w:bottom w:val="none" w:sz="0" w:space="0" w:color="auto"/>
        <w:right w:val="none" w:sz="0" w:space="0" w:color="auto"/>
      </w:divBdr>
      <w:divsChild>
        <w:div w:id="269317641">
          <w:marLeft w:val="0"/>
          <w:marRight w:val="0"/>
          <w:marTop w:val="0"/>
          <w:marBottom w:val="0"/>
          <w:divBdr>
            <w:top w:val="none" w:sz="0" w:space="0" w:color="auto"/>
            <w:left w:val="none" w:sz="0" w:space="0" w:color="auto"/>
            <w:bottom w:val="none" w:sz="0" w:space="0" w:color="auto"/>
            <w:right w:val="none" w:sz="0" w:space="0" w:color="auto"/>
          </w:divBdr>
          <w:divsChild>
            <w:div w:id="1272978791">
              <w:marLeft w:val="0"/>
              <w:marRight w:val="0"/>
              <w:marTop w:val="0"/>
              <w:marBottom w:val="0"/>
              <w:divBdr>
                <w:top w:val="none" w:sz="0" w:space="0" w:color="auto"/>
                <w:left w:val="none" w:sz="0" w:space="0" w:color="auto"/>
                <w:bottom w:val="none" w:sz="0" w:space="0" w:color="auto"/>
                <w:right w:val="none" w:sz="0" w:space="0" w:color="auto"/>
              </w:divBdr>
              <w:divsChild>
                <w:div w:id="23678910">
                  <w:marLeft w:val="0"/>
                  <w:marRight w:val="0"/>
                  <w:marTop w:val="0"/>
                  <w:marBottom w:val="0"/>
                  <w:divBdr>
                    <w:top w:val="none" w:sz="0" w:space="0" w:color="auto"/>
                    <w:left w:val="none" w:sz="0" w:space="0" w:color="auto"/>
                    <w:bottom w:val="none" w:sz="0" w:space="0" w:color="auto"/>
                    <w:right w:val="none" w:sz="0" w:space="0" w:color="auto"/>
                  </w:divBdr>
                  <w:divsChild>
                    <w:div w:id="138301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51845">
      <w:bodyDiv w:val="1"/>
      <w:marLeft w:val="0"/>
      <w:marRight w:val="0"/>
      <w:marTop w:val="0"/>
      <w:marBottom w:val="0"/>
      <w:divBdr>
        <w:top w:val="none" w:sz="0" w:space="0" w:color="auto"/>
        <w:left w:val="none" w:sz="0" w:space="0" w:color="auto"/>
        <w:bottom w:val="none" w:sz="0" w:space="0" w:color="auto"/>
        <w:right w:val="none" w:sz="0" w:space="0" w:color="auto"/>
      </w:divBdr>
    </w:div>
    <w:div w:id="1891845230">
      <w:bodyDiv w:val="1"/>
      <w:marLeft w:val="0"/>
      <w:marRight w:val="0"/>
      <w:marTop w:val="0"/>
      <w:marBottom w:val="0"/>
      <w:divBdr>
        <w:top w:val="none" w:sz="0" w:space="0" w:color="auto"/>
        <w:left w:val="none" w:sz="0" w:space="0" w:color="auto"/>
        <w:bottom w:val="none" w:sz="0" w:space="0" w:color="auto"/>
        <w:right w:val="none" w:sz="0" w:space="0" w:color="auto"/>
      </w:divBdr>
    </w:div>
    <w:div w:id="1893493705">
      <w:bodyDiv w:val="1"/>
      <w:marLeft w:val="0"/>
      <w:marRight w:val="0"/>
      <w:marTop w:val="0"/>
      <w:marBottom w:val="0"/>
      <w:divBdr>
        <w:top w:val="none" w:sz="0" w:space="0" w:color="auto"/>
        <w:left w:val="none" w:sz="0" w:space="0" w:color="auto"/>
        <w:bottom w:val="none" w:sz="0" w:space="0" w:color="auto"/>
        <w:right w:val="none" w:sz="0" w:space="0" w:color="auto"/>
      </w:divBdr>
      <w:divsChild>
        <w:div w:id="1377197916">
          <w:marLeft w:val="0"/>
          <w:marRight w:val="0"/>
          <w:marTop w:val="0"/>
          <w:marBottom w:val="0"/>
          <w:divBdr>
            <w:top w:val="none" w:sz="0" w:space="0" w:color="auto"/>
            <w:left w:val="none" w:sz="0" w:space="0" w:color="auto"/>
            <w:bottom w:val="none" w:sz="0" w:space="0" w:color="auto"/>
            <w:right w:val="none" w:sz="0" w:space="0" w:color="auto"/>
          </w:divBdr>
          <w:divsChild>
            <w:div w:id="1501655791">
              <w:marLeft w:val="0"/>
              <w:marRight w:val="0"/>
              <w:marTop w:val="0"/>
              <w:marBottom w:val="0"/>
              <w:divBdr>
                <w:top w:val="none" w:sz="0" w:space="0" w:color="auto"/>
                <w:left w:val="none" w:sz="0" w:space="0" w:color="auto"/>
                <w:bottom w:val="none" w:sz="0" w:space="0" w:color="auto"/>
                <w:right w:val="none" w:sz="0" w:space="0" w:color="auto"/>
              </w:divBdr>
              <w:divsChild>
                <w:div w:id="380180537">
                  <w:marLeft w:val="0"/>
                  <w:marRight w:val="0"/>
                  <w:marTop w:val="0"/>
                  <w:marBottom w:val="0"/>
                  <w:divBdr>
                    <w:top w:val="none" w:sz="0" w:space="0" w:color="auto"/>
                    <w:left w:val="none" w:sz="0" w:space="0" w:color="auto"/>
                    <w:bottom w:val="none" w:sz="0" w:space="0" w:color="auto"/>
                    <w:right w:val="none" w:sz="0" w:space="0" w:color="auto"/>
                  </w:divBdr>
                  <w:divsChild>
                    <w:div w:id="27016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8605">
      <w:bodyDiv w:val="1"/>
      <w:marLeft w:val="0"/>
      <w:marRight w:val="0"/>
      <w:marTop w:val="0"/>
      <w:marBottom w:val="0"/>
      <w:divBdr>
        <w:top w:val="none" w:sz="0" w:space="0" w:color="auto"/>
        <w:left w:val="none" w:sz="0" w:space="0" w:color="auto"/>
        <w:bottom w:val="none" w:sz="0" w:space="0" w:color="auto"/>
        <w:right w:val="none" w:sz="0" w:space="0" w:color="auto"/>
      </w:divBdr>
    </w:div>
    <w:div w:id="20875273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unvalleyhealth.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nvalleyhealth.com/sho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4AC8652B316C45B16AC02736527A1E" ma:contentTypeVersion="0" ma:contentTypeDescription="Create a new document." ma:contentTypeScope="" ma:versionID="fa99777bc930b3accff4ea8e187aaa1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401DE-EC30-435D-B384-E1B7B2520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CBA9B37-2B0C-4661-B607-EE066F27B825}">
  <ds:schemaRefs>
    <ds:schemaRef ds:uri="http://schemas.microsoft.com/sharepoint/v3/contenttype/forms"/>
  </ds:schemaRefs>
</ds:datastoreItem>
</file>

<file path=customXml/itemProps3.xml><?xml version="1.0" encoding="utf-8"?>
<ds:datastoreItem xmlns:ds="http://schemas.openxmlformats.org/officeDocument/2006/customXml" ds:itemID="{171D653C-848F-4B67-8E90-16FF8F48E555}">
  <ds:schemaRefs>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www.w3.org/XML/1998/namespace"/>
  </ds:schemaRefs>
</ds:datastoreItem>
</file>

<file path=customXml/itemProps4.xml><?xml version="1.0" encoding="utf-8"?>
<ds:datastoreItem xmlns:ds="http://schemas.openxmlformats.org/officeDocument/2006/customXml" ds:itemID="{BD99DD63-B928-44F5-92C7-4E052574C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7769</Words>
  <Characters>44285</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51951</CharactersWithSpaces>
  <SharedDoc>false</SharedDoc>
  <HLinks>
    <vt:vector size="12" baseType="variant">
      <vt:variant>
        <vt:i4>2949222</vt:i4>
      </vt:variant>
      <vt:variant>
        <vt:i4>3</vt:i4>
      </vt:variant>
      <vt:variant>
        <vt:i4>0</vt:i4>
      </vt:variant>
      <vt:variant>
        <vt:i4>5</vt:i4>
      </vt:variant>
      <vt:variant>
        <vt:lpwstr>http://www.sunvalleyhealth.com</vt:lpwstr>
      </vt:variant>
      <vt:variant>
        <vt:lpwstr/>
      </vt:variant>
      <vt:variant>
        <vt:i4>4784245</vt:i4>
      </vt:variant>
      <vt:variant>
        <vt:i4>0</vt:i4>
      </vt:variant>
      <vt:variant>
        <vt:i4>0</vt:i4>
      </vt:variant>
      <vt:variant>
        <vt:i4>5</vt:i4>
      </vt:variant>
      <vt:variant>
        <vt:lpwstr>https://www.sunvalleyhealth.com/shop/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Zasitko</dc:creator>
  <cp:keywords/>
  <dc:description/>
  <cp:lastModifiedBy>Brian Zasitko</cp:lastModifiedBy>
  <cp:revision>3</cp:revision>
  <cp:lastPrinted>2019-08-11T13:43:00Z</cp:lastPrinted>
  <dcterms:created xsi:type="dcterms:W3CDTF">2019-08-14T01:23:00Z</dcterms:created>
  <dcterms:modified xsi:type="dcterms:W3CDTF">2019-08-14T01:37:00Z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0x0101008D4AC8652B316C45B16AC02736527A1E</vt:lpwstr>
  </property>
</Properties>
</file>