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F511" w14:textId="206A74A0" w:rsidR="00A93EA9" w:rsidRDefault="00A93EA9" w:rsidP="00A93EA9">
      <w:pPr>
        <w:pStyle w:val="NormalWeb"/>
        <w:pBdr>
          <w:bottom w:val="single" w:sz="12" w:space="1" w:color="auto"/>
        </w:pBdr>
        <w:spacing w:before="0" w:beforeAutospacing="0" w:after="0" w:afterAutospacing="0"/>
        <w:rPr>
          <w:rFonts w:ascii="Arial" w:hAnsi="Arial" w:cs="Arial"/>
          <w:b/>
          <w:bCs/>
          <w:color w:val="000000"/>
          <w:sz w:val="20"/>
          <w:szCs w:val="20"/>
        </w:rPr>
      </w:pPr>
      <w:bookmarkStart w:id="0" w:name="_GoBack"/>
      <w:bookmarkEnd w:id="0"/>
    </w:p>
    <w:p w14:paraId="32E0D1CC" w14:textId="0C7F2922" w:rsidR="00007ADF" w:rsidRPr="00C90A0A" w:rsidRDefault="00A93EA9" w:rsidP="00A93EA9">
      <w:pPr>
        <w:pStyle w:val="NormalWeb"/>
        <w:spacing w:before="240" w:beforeAutospacing="0" w:after="0" w:afterAutospacing="0"/>
        <w:jc w:val="center"/>
        <w:rPr>
          <w:rFonts w:ascii="Arial" w:hAnsi="Arial" w:cs="Arial"/>
          <w:b/>
          <w:bCs/>
          <w:color w:val="000000"/>
          <w:sz w:val="20"/>
          <w:szCs w:val="20"/>
        </w:rPr>
      </w:pPr>
      <w:r>
        <w:rPr>
          <w:rFonts w:ascii="Arial" w:hAnsi="Arial" w:cs="Arial"/>
          <w:b/>
          <w:bCs/>
          <w:color w:val="000000"/>
          <w:sz w:val="20"/>
          <w:szCs w:val="20"/>
        </w:rPr>
        <w:t>MANAGEMENT DISCUSSIONS AND ANALYSIS</w:t>
      </w:r>
    </w:p>
    <w:p w14:paraId="47DDF19F" w14:textId="77777777" w:rsidR="00007ADF" w:rsidRPr="00C90A0A" w:rsidRDefault="00007ADF" w:rsidP="00C90A0A">
      <w:pPr>
        <w:pStyle w:val="NormalWeb"/>
        <w:spacing w:before="0" w:beforeAutospacing="0" w:after="0" w:afterAutospacing="0"/>
        <w:ind w:right="5909"/>
        <w:jc w:val="center"/>
        <w:rPr>
          <w:rFonts w:ascii="Arial" w:hAnsi="Arial" w:cs="Arial"/>
          <w:b/>
          <w:bCs/>
          <w:color w:val="000000"/>
          <w:sz w:val="20"/>
          <w:szCs w:val="20"/>
        </w:rPr>
      </w:pPr>
    </w:p>
    <w:p w14:paraId="053EE7A3" w14:textId="7EA50FD8" w:rsidR="00007ADF" w:rsidRPr="00A93EA9" w:rsidRDefault="00A93EA9" w:rsidP="00A93EA9">
      <w:pPr>
        <w:pBdr>
          <w:bottom w:val="single" w:sz="12" w:space="1" w:color="auto"/>
        </w:pBdr>
        <w:jc w:val="center"/>
        <w:rPr>
          <w:rFonts w:ascii="Arial" w:hAnsi="Arial" w:cs="Arial"/>
          <w:b/>
          <w:sz w:val="20"/>
          <w:szCs w:val="20"/>
        </w:rPr>
      </w:pPr>
      <w:r>
        <w:rPr>
          <w:b/>
        </w:rPr>
        <w:t xml:space="preserve">For the </w:t>
      </w:r>
      <w:r w:rsidR="00E27B44">
        <w:rPr>
          <w:b/>
        </w:rPr>
        <w:t xml:space="preserve">three months </w:t>
      </w:r>
      <w:r>
        <w:rPr>
          <w:b/>
        </w:rPr>
        <w:t xml:space="preserve">ended </w:t>
      </w:r>
      <w:r w:rsidR="00E27B44">
        <w:rPr>
          <w:b/>
        </w:rPr>
        <w:t xml:space="preserve">March </w:t>
      </w:r>
      <w:r>
        <w:rPr>
          <w:b/>
        </w:rPr>
        <w:t>31, 201</w:t>
      </w:r>
      <w:r w:rsidR="00E27B44">
        <w:rPr>
          <w:b/>
        </w:rPr>
        <w:t>9</w:t>
      </w:r>
      <w:r>
        <w:rPr>
          <w:b/>
        </w:rPr>
        <w:t xml:space="preserve"> and 201</w:t>
      </w:r>
      <w:r w:rsidR="00E27B44">
        <w:rPr>
          <w:b/>
        </w:rPr>
        <w:t>8</w:t>
      </w:r>
    </w:p>
    <w:p w14:paraId="4CE4D0F7" w14:textId="77777777" w:rsidR="00A93EA9" w:rsidRPr="00C90A0A" w:rsidRDefault="00A93EA9" w:rsidP="00C90A0A">
      <w:pPr>
        <w:spacing w:after="0"/>
        <w:rPr>
          <w:rFonts w:ascii="Arial" w:hAnsi="Arial" w:cs="Arial"/>
          <w:sz w:val="20"/>
          <w:szCs w:val="20"/>
        </w:rPr>
      </w:pPr>
    </w:p>
    <w:p w14:paraId="68A7E406" w14:textId="5252E692" w:rsidR="00A93EA9" w:rsidRDefault="00A93EA9" w:rsidP="00A93EA9">
      <w:pPr>
        <w:spacing w:after="0"/>
        <w:jc w:val="both"/>
        <w:rPr>
          <w:rFonts w:ascii="Arial" w:hAnsi="Arial" w:cs="Arial"/>
          <w:sz w:val="20"/>
          <w:szCs w:val="20"/>
        </w:rPr>
      </w:pPr>
      <w:r w:rsidRPr="00A93EA9">
        <w:rPr>
          <w:rFonts w:ascii="Arial" w:hAnsi="Arial" w:cs="Arial"/>
          <w:sz w:val="20"/>
          <w:szCs w:val="20"/>
        </w:rPr>
        <w:t xml:space="preserve">The following Management’s Discussion and Analysis (“MD&amp;A”) for </w:t>
      </w:r>
      <w:r w:rsidRPr="00C90A0A">
        <w:rPr>
          <w:rFonts w:ascii="Arial" w:hAnsi="Arial" w:cs="Arial"/>
          <w:sz w:val="20"/>
          <w:szCs w:val="20"/>
        </w:rPr>
        <w:t xml:space="preserve">Empower Clinics Inc., formerly, </w:t>
      </w:r>
      <w:proofErr w:type="spellStart"/>
      <w:r w:rsidR="00136ADE">
        <w:rPr>
          <w:rFonts w:ascii="Arial" w:hAnsi="Arial" w:cs="Arial"/>
          <w:sz w:val="20"/>
          <w:szCs w:val="20"/>
        </w:rPr>
        <w:t>Adira</w:t>
      </w:r>
      <w:proofErr w:type="spellEnd"/>
      <w:r w:rsidR="00136ADE">
        <w:rPr>
          <w:rFonts w:ascii="Arial" w:hAnsi="Arial" w:cs="Arial"/>
          <w:sz w:val="20"/>
          <w:szCs w:val="20"/>
        </w:rPr>
        <w:t xml:space="preserve"> Energy Ltd</w:t>
      </w:r>
      <w:r w:rsidRPr="00A93EA9">
        <w:rPr>
          <w:rFonts w:ascii="Arial" w:hAnsi="Arial" w:cs="Arial"/>
          <w:sz w:val="20"/>
          <w:szCs w:val="20"/>
        </w:rPr>
        <w:t>.</w:t>
      </w:r>
      <w:r>
        <w:rPr>
          <w:rFonts w:ascii="Arial" w:hAnsi="Arial" w:cs="Arial"/>
          <w:sz w:val="20"/>
          <w:szCs w:val="20"/>
        </w:rPr>
        <w:t>,</w:t>
      </w:r>
      <w:r w:rsidRPr="00A93EA9">
        <w:rPr>
          <w:rFonts w:ascii="Arial" w:hAnsi="Arial" w:cs="Arial"/>
          <w:sz w:val="20"/>
          <w:szCs w:val="20"/>
        </w:rPr>
        <w:t xml:space="preserve"> together with its wholly owned subsidiaries (“</w:t>
      </w:r>
      <w:r>
        <w:rPr>
          <w:rFonts w:ascii="Arial" w:hAnsi="Arial" w:cs="Arial"/>
          <w:sz w:val="20"/>
          <w:szCs w:val="20"/>
        </w:rPr>
        <w:t>Empower</w:t>
      </w:r>
      <w:r w:rsidRPr="00A93EA9">
        <w:rPr>
          <w:rFonts w:ascii="Arial" w:hAnsi="Arial" w:cs="Arial"/>
          <w:sz w:val="20"/>
          <w:szCs w:val="20"/>
        </w:rPr>
        <w:t>” or “the Company”) is prepared as</w:t>
      </w:r>
      <w:r w:rsidR="006E3636">
        <w:rPr>
          <w:rFonts w:ascii="Arial" w:hAnsi="Arial" w:cs="Arial"/>
          <w:sz w:val="20"/>
          <w:szCs w:val="20"/>
        </w:rPr>
        <w:t xml:space="preserve"> of </w:t>
      </w:r>
      <w:r w:rsidR="00BC0961">
        <w:rPr>
          <w:rFonts w:ascii="Arial" w:hAnsi="Arial" w:cs="Arial"/>
          <w:sz w:val="20"/>
          <w:szCs w:val="20"/>
        </w:rPr>
        <w:t>June 3</w:t>
      </w:r>
      <w:r w:rsidRPr="00A93EA9">
        <w:rPr>
          <w:rFonts w:ascii="Arial" w:hAnsi="Arial" w:cs="Arial"/>
          <w:sz w:val="20"/>
          <w:szCs w:val="20"/>
        </w:rPr>
        <w:t xml:space="preserve">, 2019, and relates to the financial condition and results of operations for the </w:t>
      </w:r>
      <w:r w:rsidR="008F357A">
        <w:rPr>
          <w:rFonts w:ascii="Arial" w:hAnsi="Arial" w:cs="Arial"/>
          <w:sz w:val="20"/>
          <w:szCs w:val="20"/>
        </w:rPr>
        <w:t xml:space="preserve">three months </w:t>
      </w:r>
      <w:r w:rsidRPr="00A93EA9">
        <w:rPr>
          <w:rFonts w:ascii="Arial" w:hAnsi="Arial" w:cs="Arial"/>
          <w:sz w:val="20"/>
          <w:szCs w:val="20"/>
        </w:rPr>
        <w:t xml:space="preserve">ended </w:t>
      </w:r>
      <w:r w:rsidR="008F357A">
        <w:rPr>
          <w:rFonts w:ascii="Arial" w:hAnsi="Arial" w:cs="Arial"/>
          <w:sz w:val="20"/>
          <w:szCs w:val="20"/>
        </w:rPr>
        <w:t>March 31</w:t>
      </w:r>
      <w:r w:rsidRPr="00A93EA9">
        <w:rPr>
          <w:rFonts w:ascii="Arial" w:hAnsi="Arial" w:cs="Arial"/>
          <w:sz w:val="20"/>
          <w:szCs w:val="20"/>
        </w:rPr>
        <w:t>, 201</w:t>
      </w:r>
      <w:r w:rsidR="008F357A">
        <w:rPr>
          <w:rFonts w:ascii="Arial" w:hAnsi="Arial" w:cs="Arial"/>
          <w:sz w:val="20"/>
          <w:szCs w:val="20"/>
        </w:rPr>
        <w:t>9</w:t>
      </w:r>
      <w:r w:rsidRPr="00A93EA9">
        <w:rPr>
          <w:rFonts w:ascii="Arial" w:hAnsi="Arial" w:cs="Arial"/>
          <w:sz w:val="20"/>
          <w:szCs w:val="20"/>
        </w:rPr>
        <w:t xml:space="preserve"> and 201</w:t>
      </w:r>
      <w:r w:rsidR="008F357A">
        <w:rPr>
          <w:rFonts w:ascii="Arial" w:hAnsi="Arial" w:cs="Arial"/>
          <w:sz w:val="20"/>
          <w:szCs w:val="20"/>
        </w:rPr>
        <w:t>8</w:t>
      </w:r>
      <w:r w:rsidRPr="00A93EA9">
        <w:rPr>
          <w:rFonts w:ascii="Arial" w:hAnsi="Arial" w:cs="Arial"/>
          <w:sz w:val="20"/>
          <w:szCs w:val="20"/>
        </w:rPr>
        <w:t xml:space="preserve">. Past performance may not be indicative of future performance. This MD&amp;A should be read in conjunction with the </w:t>
      </w:r>
      <w:r w:rsidR="00E27B44">
        <w:rPr>
          <w:rFonts w:ascii="Arial" w:hAnsi="Arial" w:cs="Arial"/>
          <w:sz w:val="20"/>
          <w:szCs w:val="20"/>
        </w:rPr>
        <w:t>una</w:t>
      </w:r>
      <w:r w:rsidRPr="00A93EA9">
        <w:rPr>
          <w:rFonts w:ascii="Arial" w:hAnsi="Arial" w:cs="Arial"/>
          <w:sz w:val="20"/>
          <w:szCs w:val="20"/>
        </w:rPr>
        <w:t xml:space="preserve">udited </w:t>
      </w:r>
      <w:r w:rsidR="00E27B44">
        <w:rPr>
          <w:rFonts w:ascii="Arial" w:hAnsi="Arial" w:cs="Arial"/>
          <w:sz w:val="20"/>
          <w:szCs w:val="20"/>
        </w:rPr>
        <w:t xml:space="preserve">condensed interim </w:t>
      </w:r>
      <w:r w:rsidRPr="00A93EA9">
        <w:rPr>
          <w:rFonts w:ascii="Arial" w:hAnsi="Arial" w:cs="Arial"/>
          <w:sz w:val="20"/>
          <w:szCs w:val="20"/>
        </w:rPr>
        <w:t xml:space="preserve">consolidated financial statements (“consolidated financial statements”) and related notes for the </w:t>
      </w:r>
      <w:r w:rsidR="008F357A">
        <w:rPr>
          <w:rFonts w:ascii="Arial" w:hAnsi="Arial" w:cs="Arial"/>
          <w:sz w:val="20"/>
          <w:szCs w:val="20"/>
        </w:rPr>
        <w:t>three months ended March 31, 2019 and 2018</w:t>
      </w:r>
      <w:r w:rsidRPr="00A93EA9">
        <w:rPr>
          <w:rFonts w:ascii="Arial" w:hAnsi="Arial" w:cs="Arial"/>
          <w:sz w:val="20"/>
          <w:szCs w:val="20"/>
        </w:rPr>
        <w:t>, which have been prepared using accounting policies consistent with International Financial Reporting Standards as issued by the International Accounting Standards Board (“IFRS” or “GAAP”).</w:t>
      </w:r>
      <w:r w:rsidR="00E27B44">
        <w:rPr>
          <w:rFonts w:ascii="Arial" w:hAnsi="Arial" w:cs="Arial"/>
          <w:sz w:val="20"/>
          <w:szCs w:val="20"/>
        </w:rPr>
        <w:t xml:space="preserve"> </w:t>
      </w:r>
    </w:p>
    <w:p w14:paraId="5F23E8BE" w14:textId="745C37AE" w:rsidR="00A93EA9" w:rsidRDefault="00A93EA9" w:rsidP="00A93EA9">
      <w:pPr>
        <w:spacing w:after="0"/>
        <w:jc w:val="both"/>
        <w:rPr>
          <w:rFonts w:ascii="Arial" w:hAnsi="Arial" w:cs="Arial"/>
          <w:sz w:val="20"/>
          <w:szCs w:val="20"/>
        </w:rPr>
      </w:pPr>
    </w:p>
    <w:p w14:paraId="10D0F743" w14:textId="1E2F6DD2" w:rsidR="00A93EA9" w:rsidRDefault="00A93EA9" w:rsidP="00A93EA9">
      <w:pPr>
        <w:spacing w:after="0"/>
        <w:jc w:val="both"/>
        <w:rPr>
          <w:rFonts w:ascii="Arial" w:hAnsi="Arial" w:cs="Arial"/>
          <w:sz w:val="20"/>
          <w:szCs w:val="20"/>
        </w:rPr>
      </w:pPr>
      <w:r w:rsidRPr="00A93EA9">
        <w:rPr>
          <w:rFonts w:ascii="Arial" w:hAnsi="Arial" w:cs="Arial"/>
          <w:sz w:val="20"/>
          <w:szCs w:val="20"/>
        </w:rPr>
        <w:t>The first, second, third and fourth quarters of the Company’s fiscal years are referred to as “Q1”, “Q2”, “Q3” and “Q4”, respectively. The years ended December 31, 2018 and 2017, are also referred to as “fiscal 2018” and “fiscal 2017”, respectively. All amounts are presented in United States dollars, the Company’s presentation currency, unless otherwise stated. References to “C$” are to Canadian dollars.</w:t>
      </w:r>
    </w:p>
    <w:p w14:paraId="1C94E4C3" w14:textId="1718CDA8" w:rsidR="001F1660" w:rsidRDefault="001F1660" w:rsidP="00A93EA9">
      <w:pPr>
        <w:spacing w:after="0"/>
        <w:jc w:val="both"/>
        <w:rPr>
          <w:rFonts w:ascii="Arial" w:hAnsi="Arial" w:cs="Arial"/>
          <w:sz w:val="20"/>
          <w:szCs w:val="20"/>
        </w:rPr>
      </w:pPr>
    </w:p>
    <w:p w14:paraId="1B5CF0B2" w14:textId="20633386" w:rsidR="00007ADF" w:rsidRPr="00C90A0A" w:rsidRDefault="001F1660" w:rsidP="00A93EA9">
      <w:pPr>
        <w:spacing w:after="0"/>
        <w:jc w:val="both"/>
        <w:rPr>
          <w:rFonts w:ascii="Arial" w:hAnsi="Arial" w:cs="Arial"/>
          <w:sz w:val="20"/>
          <w:szCs w:val="20"/>
        </w:rPr>
      </w:pPr>
      <w:r w:rsidRPr="001F1660">
        <w:rPr>
          <w:rFonts w:ascii="Arial" w:hAnsi="Arial" w:cs="Arial"/>
          <w:sz w:val="20"/>
          <w:szCs w:val="20"/>
        </w:rPr>
        <w:t>Statements are subject to the risks and uncertainties identified in the “Risks and Uncertainties”, and “Cautionary Note Regarding Forward-Looking Statements” sections of this document.</w:t>
      </w:r>
    </w:p>
    <w:p w14:paraId="626A55D9" w14:textId="1BA20FB0" w:rsidR="004052CA" w:rsidRDefault="004052CA" w:rsidP="00007ADF">
      <w:pPr>
        <w:spacing w:after="0"/>
        <w:jc w:val="both"/>
        <w:rPr>
          <w:rFonts w:ascii="Arial" w:hAnsi="Arial" w:cs="Arial"/>
          <w:sz w:val="20"/>
          <w:szCs w:val="20"/>
        </w:rPr>
      </w:pPr>
    </w:p>
    <w:p w14:paraId="33408870" w14:textId="4D0F0CE8" w:rsidR="001F1660" w:rsidRDefault="001F1660" w:rsidP="00007ADF">
      <w:pPr>
        <w:spacing w:after="0"/>
        <w:jc w:val="both"/>
        <w:rPr>
          <w:rFonts w:ascii="Arial" w:hAnsi="Arial" w:cs="Arial"/>
          <w:sz w:val="20"/>
          <w:szCs w:val="20"/>
        </w:rPr>
      </w:pPr>
      <w:r w:rsidRPr="001F1660">
        <w:rPr>
          <w:rFonts w:ascii="Arial" w:hAnsi="Arial" w:cs="Arial"/>
          <w:sz w:val="20"/>
          <w:szCs w:val="20"/>
        </w:rPr>
        <w:t xml:space="preserve">We are publicly traded on the </w:t>
      </w:r>
      <w:r>
        <w:rPr>
          <w:rFonts w:ascii="Arial" w:hAnsi="Arial" w:cs="Arial"/>
          <w:sz w:val="20"/>
          <w:szCs w:val="20"/>
        </w:rPr>
        <w:t xml:space="preserve">Canadian </w:t>
      </w:r>
      <w:r w:rsidR="006E2D4B">
        <w:rPr>
          <w:rFonts w:ascii="Arial" w:hAnsi="Arial" w:cs="Arial"/>
          <w:sz w:val="20"/>
          <w:szCs w:val="20"/>
        </w:rPr>
        <w:t>Securities</w:t>
      </w:r>
      <w:r w:rsidRPr="001F1660">
        <w:rPr>
          <w:rFonts w:ascii="Arial" w:hAnsi="Arial" w:cs="Arial"/>
          <w:sz w:val="20"/>
          <w:szCs w:val="20"/>
        </w:rPr>
        <w:t xml:space="preserve"> Exchange (“Exchange”) under the symbol </w:t>
      </w:r>
      <w:r w:rsidR="005811F3">
        <w:rPr>
          <w:rFonts w:ascii="Arial" w:hAnsi="Arial" w:cs="Arial"/>
          <w:sz w:val="20"/>
          <w:szCs w:val="20"/>
        </w:rPr>
        <w:t>CBDT</w:t>
      </w:r>
      <w:r w:rsidR="00C00F4C">
        <w:rPr>
          <w:rFonts w:ascii="Arial" w:hAnsi="Arial" w:cs="Arial"/>
          <w:sz w:val="20"/>
          <w:szCs w:val="20"/>
        </w:rPr>
        <w:t xml:space="preserve">, </w:t>
      </w:r>
      <w:r w:rsidR="00C00F4C" w:rsidRPr="00C90A0A">
        <w:rPr>
          <w:rFonts w:ascii="Arial" w:hAnsi="Arial" w:cs="Arial"/>
          <w:sz w:val="20"/>
          <w:szCs w:val="20"/>
        </w:rPr>
        <w:t>quoted on the OTCQX under the symbol “EPWCF” and quoted on the Frankfurt Stock Exchange under the symbol “</w:t>
      </w:r>
      <w:r w:rsidR="00C00F4C" w:rsidRPr="00C90A0A">
        <w:rPr>
          <w:rFonts w:ascii="Arial" w:hAnsi="Arial" w:cs="Arial"/>
          <w:color w:val="444444"/>
          <w:sz w:val="20"/>
          <w:szCs w:val="20"/>
          <w:shd w:val="clear" w:color="auto" w:fill="FEFEFE"/>
        </w:rPr>
        <w:t>8EC</w:t>
      </w:r>
      <w:r w:rsidR="00C00F4C" w:rsidRPr="00C90A0A">
        <w:rPr>
          <w:rFonts w:ascii="Arial" w:hAnsi="Arial" w:cs="Arial"/>
          <w:sz w:val="20"/>
          <w:szCs w:val="20"/>
        </w:rPr>
        <w:t xml:space="preserve">.F </w:t>
      </w:r>
      <w:r w:rsidR="00C00F4C" w:rsidRPr="00C90A0A">
        <w:rPr>
          <w:rFonts w:ascii="Arial" w:hAnsi="Arial" w:cs="Arial"/>
          <w:color w:val="444444"/>
          <w:sz w:val="20"/>
          <w:szCs w:val="20"/>
          <w:shd w:val="clear" w:color="auto" w:fill="FEFEFE"/>
        </w:rPr>
        <w:t>8EC</w:t>
      </w:r>
      <w:r w:rsidR="00C00F4C" w:rsidRPr="00C90A0A">
        <w:rPr>
          <w:rFonts w:ascii="Arial" w:hAnsi="Arial" w:cs="Arial"/>
          <w:sz w:val="20"/>
          <w:szCs w:val="20"/>
        </w:rPr>
        <w:t xml:space="preserve">.MU, </w:t>
      </w:r>
      <w:r w:rsidR="00C00F4C" w:rsidRPr="00C90A0A">
        <w:rPr>
          <w:rFonts w:ascii="Arial" w:hAnsi="Arial" w:cs="Arial"/>
          <w:color w:val="444444"/>
          <w:sz w:val="20"/>
          <w:szCs w:val="20"/>
          <w:shd w:val="clear" w:color="auto" w:fill="FEFEFE"/>
        </w:rPr>
        <w:t>8EC</w:t>
      </w:r>
      <w:r w:rsidR="00C00F4C" w:rsidRPr="00C90A0A">
        <w:rPr>
          <w:rFonts w:ascii="Arial" w:hAnsi="Arial" w:cs="Arial"/>
          <w:sz w:val="20"/>
          <w:szCs w:val="20"/>
        </w:rPr>
        <w:t>.SG”</w:t>
      </w:r>
      <w:r w:rsidRPr="001F1660">
        <w:rPr>
          <w:rFonts w:ascii="Arial" w:hAnsi="Arial" w:cs="Arial"/>
          <w:sz w:val="20"/>
          <w:szCs w:val="20"/>
        </w:rPr>
        <w:t>. Continuous disclosure materials are available on our website at www.</w:t>
      </w:r>
      <w:r w:rsidR="005811F3">
        <w:rPr>
          <w:rFonts w:ascii="Arial" w:hAnsi="Arial" w:cs="Arial"/>
          <w:sz w:val="20"/>
          <w:szCs w:val="20"/>
        </w:rPr>
        <w:t>empowerclinics</w:t>
      </w:r>
      <w:r w:rsidRPr="001F1660">
        <w:rPr>
          <w:rFonts w:ascii="Arial" w:hAnsi="Arial" w:cs="Arial"/>
          <w:sz w:val="20"/>
          <w:szCs w:val="20"/>
        </w:rPr>
        <w:t xml:space="preserve">.com, and on SEDAR at </w:t>
      </w:r>
      <w:r w:rsidR="005811F3" w:rsidRPr="005811F3">
        <w:rPr>
          <w:rFonts w:ascii="Arial" w:hAnsi="Arial" w:cs="Arial"/>
          <w:sz w:val="20"/>
          <w:szCs w:val="20"/>
        </w:rPr>
        <w:t>www.sedar.com</w:t>
      </w:r>
      <w:r w:rsidRPr="001F1660">
        <w:rPr>
          <w:rFonts w:ascii="Arial" w:hAnsi="Arial" w:cs="Arial"/>
          <w:sz w:val="20"/>
          <w:szCs w:val="20"/>
        </w:rPr>
        <w:t>.</w:t>
      </w:r>
    </w:p>
    <w:p w14:paraId="33E2C231" w14:textId="77777777" w:rsidR="00C00F4C" w:rsidRDefault="00C00F4C" w:rsidP="00007ADF">
      <w:pPr>
        <w:spacing w:after="0"/>
        <w:jc w:val="both"/>
        <w:rPr>
          <w:rFonts w:ascii="Arial" w:hAnsi="Arial" w:cs="Arial"/>
          <w:sz w:val="20"/>
          <w:szCs w:val="20"/>
        </w:rPr>
      </w:pPr>
    </w:p>
    <w:p w14:paraId="679A1B5E" w14:textId="77777777" w:rsidR="006C64D9" w:rsidRPr="006C64D9" w:rsidRDefault="006C64D9" w:rsidP="006C64D9">
      <w:pPr>
        <w:rPr>
          <w:rFonts w:ascii="Arial" w:hAnsi="Arial" w:cs="Arial"/>
          <w:b/>
          <w:sz w:val="20"/>
          <w:szCs w:val="20"/>
        </w:rPr>
      </w:pPr>
      <w:r w:rsidRPr="006C64D9">
        <w:rPr>
          <w:rFonts w:ascii="Arial" w:hAnsi="Arial" w:cs="Arial"/>
          <w:b/>
          <w:sz w:val="20"/>
          <w:szCs w:val="20"/>
        </w:rPr>
        <w:t>Nature of Operations and Going Concern</w:t>
      </w:r>
    </w:p>
    <w:p w14:paraId="1E18C6C8" w14:textId="383BD99C" w:rsidR="006C64D9" w:rsidRDefault="006C64D9" w:rsidP="006C64D9">
      <w:pPr>
        <w:spacing w:after="0"/>
        <w:jc w:val="both"/>
        <w:rPr>
          <w:rFonts w:ascii="Arial" w:hAnsi="Arial" w:cs="Arial"/>
          <w:sz w:val="20"/>
          <w:szCs w:val="20"/>
        </w:rPr>
      </w:pPr>
      <w:r w:rsidRPr="00C90A0A">
        <w:rPr>
          <w:rFonts w:ascii="Arial" w:hAnsi="Arial" w:cs="Arial"/>
          <w:spacing w:val="-2"/>
          <w:sz w:val="20"/>
          <w:szCs w:val="20"/>
        </w:rPr>
        <w:t xml:space="preserve">As at </w:t>
      </w:r>
      <w:r w:rsidR="008F357A">
        <w:rPr>
          <w:rFonts w:ascii="Arial" w:hAnsi="Arial" w:cs="Arial"/>
          <w:spacing w:val="-2"/>
          <w:sz w:val="20"/>
          <w:szCs w:val="20"/>
        </w:rPr>
        <w:t xml:space="preserve">March </w:t>
      </w:r>
      <w:r w:rsidR="00DE205C">
        <w:rPr>
          <w:rFonts w:ascii="Arial" w:hAnsi="Arial" w:cs="Arial"/>
          <w:spacing w:val="-2"/>
          <w:sz w:val="20"/>
          <w:szCs w:val="20"/>
        </w:rPr>
        <w:t>31, 201</w:t>
      </w:r>
      <w:r w:rsidR="008F357A">
        <w:rPr>
          <w:rFonts w:ascii="Arial" w:hAnsi="Arial" w:cs="Arial"/>
          <w:spacing w:val="-2"/>
          <w:sz w:val="20"/>
          <w:szCs w:val="20"/>
        </w:rPr>
        <w:t>9</w:t>
      </w:r>
      <w:r w:rsidRPr="00C90A0A">
        <w:rPr>
          <w:rFonts w:ascii="Arial" w:hAnsi="Arial" w:cs="Arial"/>
          <w:spacing w:val="-2"/>
          <w:sz w:val="20"/>
          <w:szCs w:val="20"/>
        </w:rPr>
        <w:t xml:space="preserve">, the Company has an accumulated deficit </w:t>
      </w:r>
      <w:r w:rsidRPr="00B52C92">
        <w:rPr>
          <w:rFonts w:ascii="Arial" w:hAnsi="Arial" w:cs="Arial"/>
          <w:spacing w:val="-2"/>
          <w:sz w:val="20"/>
          <w:szCs w:val="20"/>
        </w:rPr>
        <w:t>of $</w:t>
      </w:r>
      <w:r w:rsidR="00BC0961">
        <w:rPr>
          <w:rFonts w:ascii="Arial" w:hAnsi="Arial" w:cs="Arial"/>
          <w:spacing w:val="-2"/>
          <w:sz w:val="20"/>
          <w:szCs w:val="20"/>
        </w:rPr>
        <w:t>9,293,462</w:t>
      </w:r>
      <w:r w:rsidRPr="00C90A0A">
        <w:rPr>
          <w:rFonts w:ascii="Arial" w:hAnsi="Arial" w:cs="Arial"/>
          <w:spacing w:val="-2"/>
          <w:sz w:val="20"/>
          <w:szCs w:val="20"/>
        </w:rPr>
        <w:t xml:space="preserve"> (December 31, </w:t>
      </w:r>
      <w:r w:rsidR="00DE205C" w:rsidRPr="00C90A0A">
        <w:rPr>
          <w:rFonts w:ascii="Arial" w:hAnsi="Arial" w:cs="Arial"/>
          <w:spacing w:val="-2"/>
          <w:sz w:val="20"/>
          <w:szCs w:val="20"/>
        </w:rPr>
        <w:t>201</w:t>
      </w:r>
      <w:r w:rsidR="008F357A">
        <w:rPr>
          <w:rFonts w:ascii="Arial" w:hAnsi="Arial" w:cs="Arial"/>
          <w:spacing w:val="-2"/>
          <w:sz w:val="20"/>
          <w:szCs w:val="20"/>
        </w:rPr>
        <w:t>8</w:t>
      </w:r>
      <w:r w:rsidR="00DE205C" w:rsidRPr="00C90A0A">
        <w:rPr>
          <w:rFonts w:ascii="Arial" w:hAnsi="Arial" w:cs="Arial"/>
          <w:spacing w:val="-2"/>
          <w:sz w:val="20"/>
          <w:szCs w:val="20"/>
        </w:rPr>
        <w:t xml:space="preserve"> </w:t>
      </w:r>
      <w:r w:rsidRPr="00C90A0A">
        <w:rPr>
          <w:rFonts w:ascii="Arial" w:hAnsi="Arial" w:cs="Arial"/>
          <w:spacing w:val="-2"/>
          <w:sz w:val="20"/>
          <w:szCs w:val="20"/>
        </w:rPr>
        <w:t xml:space="preserve">- </w:t>
      </w:r>
      <w:r w:rsidRPr="00B52C92">
        <w:rPr>
          <w:rFonts w:ascii="Arial" w:hAnsi="Arial" w:cs="Arial"/>
          <w:spacing w:val="-2"/>
          <w:sz w:val="20"/>
          <w:szCs w:val="20"/>
        </w:rPr>
        <w:t>$</w:t>
      </w:r>
      <w:r w:rsidR="009C2644">
        <w:rPr>
          <w:rFonts w:ascii="Arial" w:hAnsi="Arial" w:cs="Arial"/>
          <w:spacing w:val="-2"/>
          <w:sz w:val="20"/>
          <w:szCs w:val="20"/>
        </w:rPr>
        <w:t>9,</w:t>
      </w:r>
      <w:r w:rsidR="00BC0961">
        <w:rPr>
          <w:rFonts w:ascii="Arial" w:hAnsi="Arial" w:cs="Arial"/>
          <w:spacing w:val="-2"/>
          <w:sz w:val="20"/>
          <w:szCs w:val="20"/>
        </w:rPr>
        <w:t>369,941</w:t>
      </w:r>
      <w:r w:rsidRPr="00B52C92">
        <w:rPr>
          <w:rFonts w:ascii="Arial" w:hAnsi="Arial" w:cs="Arial"/>
          <w:spacing w:val="-2"/>
          <w:sz w:val="20"/>
          <w:szCs w:val="20"/>
        </w:rPr>
        <w:t>).</w:t>
      </w:r>
      <w:r w:rsidRPr="00C90A0A">
        <w:rPr>
          <w:rFonts w:ascii="Arial" w:hAnsi="Arial" w:cs="Arial"/>
          <w:spacing w:val="-2"/>
          <w:sz w:val="20"/>
          <w:szCs w:val="20"/>
        </w:rPr>
        <w:t xml:space="preserve"> The Company’s operations are mainly funded with equity and debt financing, which is dependent upon many external factors, and thus funds may be difficult to raise when required. Management continues to evaluate the need for additional financing and is of the opinion that additional financing will be available to continue its planned activities in the normal course. Nonetheless, there is no assurance that the Company will be able to raise sufficient funds in the future to complete its planned activities.  </w:t>
      </w:r>
      <w:r w:rsidRPr="00C90A0A">
        <w:rPr>
          <w:rFonts w:ascii="Arial" w:hAnsi="Arial" w:cs="Arial"/>
          <w:sz w:val="20"/>
          <w:szCs w:val="20"/>
        </w:rPr>
        <w:t>The foregoing indicates the existence of a material uncertainty that may cast substantial doubt as to whether the Company would continue as a going concern and realize its assets and settle its liabilities and commitments in the normal course of business.</w:t>
      </w:r>
    </w:p>
    <w:p w14:paraId="0D4A4F2B" w14:textId="77777777" w:rsidR="006C64D9" w:rsidRPr="006C64D9" w:rsidRDefault="006C64D9" w:rsidP="00007ADF">
      <w:pPr>
        <w:spacing w:after="0"/>
        <w:jc w:val="both"/>
        <w:rPr>
          <w:rFonts w:ascii="Arial" w:hAnsi="Arial" w:cs="Arial"/>
          <w:spacing w:val="-2"/>
          <w:sz w:val="20"/>
          <w:szCs w:val="20"/>
        </w:rPr>
      </w:pPr>
    </w:p>
    <w:p w14:paraId="46ECF8B1" w14:textId="3B157C04" w:rsidR="006C64D9" w:rsidRPr="006C64D9" w:rsidRDefault="006C64D9" w:rsidP="006C64D9">
      <w:pPr>
        <w:spacing w:after="0"/>
        <w:jc w:val="both"/>
        <w:rPr>
          <w:rFonts w:ascii="Arial" w:hAnsi="Arial" w:cs="Arial"/>
          <w:spacing w:val="-2"/>
          <w:sz w:val="20"/>
          <w:szCs w:val="20"/>
        </w:rPr>
      </w:pPr>
      <w:r w:rsidRPr="006C64D9">
        <w:rPr>
          <w:rFonts w:ascii="Arial" w:hAnsi="Arial" w:cs="Arial"/>
          <w:spacing w:val="-2"/>
          <w:sz w:val="20"/>
          <w:szCs w:val="20"/>
        </w:rPr>
        <w:t xml:space="preserve">The Company’s consolidated financial statements have been prepared on the basis of accounting principles applicable to a going concern, which assume the realization of assets and discharge of liabilities in the normal course of business.  </w:t>
      </w:r>
      <w:r>
        <w:rPr>
          <w:rFonts w:ascii="Arial" w:hAnsi="Arial" w:cs="Arial"/>
          <w:spacing w:val="-2"/>
          <w:sz w:val="20"/>
          <w:szCs w:val="20"/>
        </w:rPr>
        <w:t>The</w:t>
      </w:r>
      <w:r w:rsidRPr="006C64D9">
        <w:rPr>
          <w:rFonts w:ascii="Arial" w:hAnsi="Arial" w:cs="Arial"/>
          <w:spacing w:val="-2"/>
          <w:sz w:val="20"/>
          <w:szCs w:val="20"/>
        </w:rPr>
        <w:t xml:space="preserve"> consolidated financial statements do not give effect to any adjustments that would be necessary should the Company not be able to continue as a going concern. Such adjustments could be material. </w:t>
      </w:r>
    </w:p>
    <w:p w14:paraId="163AC2E0" w14:textId="5D07BF7F" w:rsidR="006C64D9" w:rsidRDefault="006C64D9" w:rsidP="00007ADF">
      <w:pPr>
        <w:spacing w:after="0"/>
        <w:jc w:val="both"/>
        <w:rPr>
          <w:rFonts w:ascii="Arial" w:hAnsi="Arial" w:cs="Arial"/>
          <w:sz w:val="20"/>
          <w:szCs w:val="20"/>
        </w:rPr>
        <w:sectPr w:rsidR="006C64D9" w:rsidSect="00F6674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44553DBC" w14:textId="3B827121" w:rsidR="001F1660" w:rsidRDefault="001F1660" w:rsidP="00007ADF">
      <w:pPr>
        <w:spacing w:after="0"/>
        <w:jc w:val="both"/>
        <w:rPr>
          <w:rFonts w:ascii="Arial" w:hAnsi="Arial" w:cs="Arial"/>
          <w:sz w:val="20"/>
          <w:szCs w:val="20"/>
        </w:rPr>
      </w:pPr>
    </w:p>
    <w:p w14:paraId="266BAEC8" w14:textId="47D03287" w:rsidR="001F1660" w:rsidRDefault="008F357A" w:rsidP="005811F3">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 xml:space="preserve">Q1 </w:t>
      </w:r>
      <w:r w:rsidR="005811F3">
        <w:rPr>
          <w:rFonts w:ascii="Arial" w:hAnsi="Arial" w:cs="Arial"/>
          <w:b/>
          <w:sz w:val="20"/>
          <w:szCs w:val="20"/>
        </w:rPr>
        <w:t>201</w:t>
      </w:r>
      <w:r>
        <w:rPr>
          <w:rFonts w:ascii="Arial" w:hAnsi="Arial" w:cs="Arial"/>
          <w:b/>
          <w:sz w:val="20"/>
          <w:szCs w:val="20"/>
        </w:rPr>
        <w:t>9</w:t>
      </w:r>
      <w:r w:rsidR="005811F3">
        <w:rPr>
          <w:rFonts w:ascii="Arial" w:hAnsi="Arial" w:cs="Arial"/>
          <w:b/>
          <w:sz w:val="20"/>
          <w:szCs w:val="20"/>
        </w:rPr>
        <w:t xml:space="preserve"> CONSOLIDATED FINANCIAL HIGHLIGHTS</w:t>
      </w:r>
    </w:p>
    <w:p w14:paraId="77EB8E63" w14:textId="77777777" w:rsidR="005811F3" w:rsidRDefault="005811F3" w:rsidP="006C64D9">
      <w:pPr>
        <w:pStyle w:val="NormalWeb"/>
        <w:spacing w:before="0" w:beforeAutospacing="0" w:after="0" w:afterAutospacing="0"/>
        <w:ind w:right="-101"/>
        <w:rPr>
          <w:rFonts w:ascii="Arial" w:hAnsi="Arial" w:cs="Arial"/>
          <w:b/>
          <w:sz w:val="20"/>
          <w:szCs w:val="20"/>
        </w:rPr>
      </w:pPr>
    </w:p>
    <w:p w14:paraId="46277FBC" w14:textId="134EE33E" w:rsidR="00C00F4C" w:rsidRPr="00D764D9" w:rsidRDefault="00DF5EEB" w:rsidP="00C33AED">
      <w:pPr>
        <w:pStyle w:val="NormalWeb"/>
        <w:numPr>
          <w:ilvl w:val="0"/>
          <w:numId w:val="35"/>
        </w:numPr>
        <w:spacing w:before="0" w:beforeAutospacing="0" w:after="0" w:afterAutospacing="0"/>
        <w:ind w:left="360" w:right="-101"/>
        <w:jc w:val="both"/>
        <w:rPr>
          <w:rFonts w:ascii="Arial" w:hAnsi="Arial" w:cs="Arial"/>
          <w:sz w:val="20"/>
          <w:szCs w:val="20"/>
        </w:rPr>
      </w:pPr>
      <w:bookmarkStart w:id="1" w:name="_Hlk10041256"/>
      <w:r>
        <w:rPr>
          <w:rFonts w:ascii="Arial" w:hAnsi="Arial" w:cs="Arial"/>
          <w:sz w:val="20"/>
          <w:szCs w:val="20"/>
        </w:rPr>
        <w:t>1,1</w:t>
      </w:r>
      <w:r w:rsidR="00A976E9">
        <w:rPr>
          <w:rFonts w:ascii="Arial" w:hAnsi="Arial" w:cs="Arial"/>
          <w:sz w:val="20"/>
          <w:szCs w:val="20"/>
        </w:rPr>
        <w:t>98</w:t>
      </w:r>
      <w:r w:rsidR="00441C2D" w:rsidRPr="009E7418">
        <w:rPr>
          <w:rFonts w:ascii="Arial" w:hAnsi="Arial" w:cs="Arial"/>
          <w:sz w:val="20"/>
          <w:szCs w:val="20"/>
        </w:rPr>
        <w:t xml:space="preserve"> </w:t>
      </w:r>
      <w:r w:rsidR="00C00F4C" w:rsidRPr="006C64D9">
        <w:rPr>
          <w:rFonts w:ascii="Arial" w:hAnsi="Arial" w:cs="Arial"/>
          <w:sz w:val="20"/>
          <w:szCs w:val="20"/>
        </w:rPr>
        <w:t>patient visits</w:t>
      </w:r>
      <w:r w:rsidR="006C64D9" w:rsidRPr="006C64D9">
        <w:rPr>
          <w:rFonts w:ascii="Arial" w:hAnsi="Arial" w:cs="Arial"/>
          <w:sz w:val="20"/>
          <w:szCs w:val="20"/>
        </w:rPr>
        <w:t xml:space="preserve"> generating revenue of </w:t>
      </w:r>
      <w:r w:rsidR="00E27B44">
        <w:rPr>
          <w:rFonts w:ascii="Arial" w:hAnsi="Arial" w:cs="Arial"/>
          <w:sz w:val="20"/>
          <w:szCs w:val="20"/>
        </w:rPr>
        <w:t>$152,84</w:t>
      </w:r>
      <w:r w:rsidR="00BC0961">
        <w:rPr>
          <w:rFonts w:ascii="Arial" w:hAnsi="Arial" w:cs="Arial"/>
          <w:sz w:val="20"/>
          <w:szCs w:val="20"/>
        </w:rPr>
        <w:t>6</w:t>
      </w:r>
      <w:r w:rsidR="006C64D9" w:rsidRPr="006C64D9">
        <w:rPr>
          <w:rFonts w:ascii="Arial" w:hAnsi="Arial" w:cs="Arial"/>
          <w:sz w:val="20"/>
          <w:szCs w:val="20"/>
        </w:rPr>
        <w:t xml:space="preserve">, compared to </w:t>
      </w:r>
      <w:r w:rsidR="00652F1A">
        <w:rPr>
          <w:rFonts w:ascii="Arial" w:hAnsi="Arial" w:cs="Arial"/>
          <w:sz w:val="20"/>
          <w:szCs w:val="20"/>
        </w:rPr>
        <w:t>2,242</w:t>
      </w:r>
      <w:r w:rsidR="00441C2D" w:rsidRPr="009E7418">
        <w:rPr>
          <w:rFonts w:ascii="Arial" w:hAnsi="Arial" w:cs="Arial"/>
          <w:sz w:val="20"/>
          <w:szCs w:val="20"/>
        </w:rPr>
        <w:t xml:space="preserve"> </w:t>
      </w:r>
      <w:r w:rsidR="006C64D9" w:rsidRPr="006C64D9">
        <w:rPr>
          <w:rFonts w:ascii="Arial" w:hAnsi="Arial" w:cs="Arial"/>
          <w:sz w:val="20"/>
          <w:szCs w:val="20"/>
        </w:rPr>
        <w:t>patient visits generating $</w:t>
      </w:r>
      <w:r w:rsidR="00E27B44">
        <w:rPr>
          <w:rFonts w:ascii="Arial" w:hAnsi="Arial" w:cs="Arial"/>
          <w:sz w:val="20"/>
          <w:szCs w:val="20"/>
        </w:rPr>
        <w:t>302,142</w:t>
      </w:r>
      <w:r w:rsidR="006C64D9" w:rsidRPr="006C64D9">
        <w:rPr>
          <w:rFonts w:ascii="Arial" w:hAnsi="Arial" w:cs="Arial"/>
          <w:sz w:val="20"/>
          <w:szCs w:val="20"/>
        </w:rPr>
        <w:t xml:space="preserve"> </w:t>
      </w:r>
      <w:r w:rsidR="006C64D9" w:rsidRPr="00D764D9">
        <w:rPr>
          <w:rFonts w:ascii="Arial" w:hAnsi="Arial" w:cs="Arial"/>
          <w:sz w:val="20"/>
          <w:szCs w:val="20"/>
        </w:rPr>
        <w:t xml:space="preserve">for </w:t>
      </w:r>
      <w:r w:rsidR="008F357A">
        <w:rPr>
          <w:rFonts w:ascii="Arial" w:hAnsi="Arial" w:cs="Arial"/>
          <w:sz w:val="20"/>
          <w:szCs w:val="20"/>
        </w:rPr>
        <w:t>Q1 2018</w:t>
      </w:r>
      <w:r w:rsidR="005973DB">
        <w:rPr>
          <w:rFonts w:ascii="Arial" w:hAnsi="Arial" w:cs="Arial"/>
          <w:sz w:val="20"/>
          <w:szCs w:val="20"/>
        </w:rPr>
        <w:t>.</w:t>
      </w:r>
    </w:p>
    <w:p w14:paraId="00D34625" w14:textId="77777777" w:rsidR="006C64D9" w:rsidRPr="00D764D9" w:rsidRDefault="006C64D9" w:rsidP="00C33AED">
      <w:pPr>
        <w:pStyle w:val="NormalWeb"/>
        <w:spacing w:before="0" w:beforeAutospacing="0" w:after="0" w:afterAutospacing="0"/>
        <w:ind w:left="360" w:right="-101"/>
        <w:jc w:val="both"/>
        <w:rPr>
          <w:rFonts w:ascii="Arial" w:hAnsi="Arial" w:cs="Arial"/>
          <w:sz w:val="20"/>
          <w:szCs w:val="20"/>
        </w:rPr>
      </w:pPr>
    </w:p>
    <w:p w14:paraId="183539F0" w14:textId="2977054F" w:rsidR="005811F3"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Net loss of $</w:t>
      </w:r>
      <w:r w:rsidR="00BC0961">
        <w:rPr>
          <w:rFonts w:ascii="Arial" w:hAnsi="Arial" w:cs="Arial"/>
          <w:sz w:val="20"/>
          <w:szCs w:val="20"/>
        </w:rPr>
        <w:t>398</w:t>
      </w:r>
      <w:r w:rsidR="007069BA">
        <w:rPr>
          <w:rFonts w:ascii="Arial" w:hAnsi="Arial" w:cs="Arial"/>
          <w:sz w:val="20"/>
          <w:szCs w:val="20"/>
        </w:rPr>
        <w:t>,</w:t>
      </w:r>
      <w:r w:rsidR="00BC0961">
        <w:rPr>
          <w:rFonts w:ascii="Arial" w:hAnsi="Arial" w:cs="Arial"/>
          <w:sz w:val="20"/>
          <w:szCs w:val="20"/>
        </w:rPr>
        <w:t>541</w:t>
      </w:r>
      <w:r w:rsidRPr="006C64D9">
        <w:rPr>
          <w:rFonts w:ascii="Arial" w:hAnsi="Arial" w:cs="Arial"/>
          <w:sz w:val="20"/>
          <w:szCs w:val="20"/>
        </w:rPr>
        <w:t xml:space="preserve"> or $</w:t>
      </w:r>
      <w:r w:rsidR="00E27B44">
        <w:rPr>
          <w:rFonts w:ascii="Arial" w:hAnsi="Arial" w:cs="Arial"/>
          <w:sz w:val="20"/>
          <w:szCs w:val="20"/>
        </w:rPr>
        <w:t>0.0</w:t>
      </w:r>
      <w:r w:rsidR="00290443">
        <w:rPr>
          <w:rFonts w:ascii="Arial" w:hAnsi="Arial" w:cs="Arial"/>
          <w:sz w:val="20"/>
          <w:szCs w:val="20"/>
        </w:rPr>
        <w:t>1</w:t>
      </w:r>
      <w:r w:rsidRPr="006C64D9">
        <w:rPr>
          <w:rFonts w:ascii="Arial" w:hAnsi="Arial" w:cs="Arial"/>
          <w:sz w:val="20"/>
          <w:szCs w:val="20"/>
        </w:rPr>
        <w:t xml:space="preserve"> per share, compared to $</w:t>
      </w:r>
      <w:r w:rsidR="005973DB">
        <w:rPr>
          <w:rFonts w:ascii="Arial" w:hAnsi="Arial" w:cs="Arial"/>
          <w:sz w:val="20"/>
          <w:szCs w:val="20"/>
        </w:rPr>
        <w:t>2,282,676</w:t>
      </w:r>
      <w:r w:rsidRPr="006C64D9">
        <w:rPr>
          <w:rFonts w:ascii="Arial" w:hAnsi="Arial" w:cs="Arial"/>
          <w:sz w:val="20"/>
          <w:szCs w:val="20"/>
        </w:rPr>
        <w:t xml:space="preserve"> or $</w:t>
      </w:r>
      <w:r w:rsidR="00E27B44">
        <w:rPr>
          <w:rFonts w:ascii="Arial" w:hAnsi="Arial" w:cs="Arial"/>
          <w:sz w:val="20"/>
          <w:szCs w:val="20"/>
        </w:rPr>
        <w:t>0.0</w:t>
      </w:r>
      <w:r w:rsidR="005973DB">
        <w:rPr>
          <w:rFonts w:ascii="Arial" w:hAnsi="Arial" w:cs="Arial"/>
          <w:sz w:val="20"/>
          <w:szCs w:val="20"/>
        </w:rPr>
        <w:t>5</w:t>
      </w:r>
      <w:r w:rsidRPr="006C64D9">
        <w:rPr>
          <w:rFonts w:ascii="Arial" w:hAnsi="Arial" w:cs="Arial"/>
          <w:sz w:val="20"/>
          <w:szCs w:val="20"/>
        </w:rPr>
        <w:t xml:space="preserve"> per share for </w:t>
      </w:r>
      <w:r w:rsidR="008F357A">
        <w:rPr>
          <w:rFonts w:ascii="Arial" w:hAnsi="Arial" w:cs="Arial"/>
          <w:sz w:val="20"/>
          <w:szCs w:val="20"/>
        </w:rPr>
        <w:t>Q1 2018</w:t>
      </w:r>
      <w:r w:rsidR="005973DB">
        <w:rPr>
          <w:rFonts w:ascii="Arial" w:hAnsi="Arial" w:cs="Arial"/>
          <w:sz w:val="20"/>
          <w:szCs w:val="20"/>
        </w:rPr>
        <w:t>.</w:t>
      </w:r>
    </w:p>
    <w:p w14:paraId="030448FC" w14:textId="77777777" w:rsidR="006C64D9" w:rsidRPr="006C64D9" w:rsidRDefault="006C64D9" w:rsidP="00C33AED">
      <w:pPr>
        <w:pStyle w:val="NormalWeb"/>
        <w:spacing w:before="0" w:beforeAutospacing="0" w:after="0" w:afterAutospacing="0"/>
        <w:ind w:right="-101"/>
        <w:jc w:val="both"/>
        <w:rPr>
          <w:rFonts w:ascii="Arial" w:hAnsi="Arial" w:cs="Arial"/>
          <w:sz w:val="20"/>
          <w:szCs w:val="20"/>
        </w:rPr>
      </w:pPr>
    </w:p>
    <w:p w14:paraId="7FE729DD" w14:textId="1252403E" w:rsidR="00C00F4C" w:rsidRPr="00731EA5"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Cash used in operating activities was $</w:t>
      </w:r>
      <w:r w:rsidR="00652F1A">
        <w:rPr>
          <w:rFonts w:ascii="Arial" w:hAnsi="Arial" w:cs="Arial"/>
          <w:sz w:val="20"/>
          <w:szCs w:val="20"/>
        </w:rPr>
        <w:t>219,21</w:t>
      </w:r>
      <w:r w:rsidR="00DF5EEB">
        <w:rPr>
          <w:rFonts w:ascii="Arial" w:hAnsi="Arial" w:cs="Arial"/>
          <w:sz w:val="20"/>
          <w:szCs w:val="20"/>
        </w:rPr>
        <w:t>2</w:t>
      </w:r>
      <w:r w:rsidRPr="006C64D9">
        <w:rPr>
          <w:rFonts w:ascii="Arial" w:hAnsi="Arial" w:cs="Arial"/>
          <w:sz w:val="20"/>
          <w:szCs w:val="20"/>
        </w:rPr>
        <w:t xml:space="preserve"> or </w:t>
      </w:r>
      <w:r w:rsidRPr="00731EA5">
        <w:rPr>
          <w:rFonts w:ascii="Arial" w:hAnsi="Arial" w:cs="Arial"/>
          <w:sz w:val="20"/>
          <w:szCs w:val="20"/>
        </w:rPr>
        <w:t>$</w:t>
      </w:r>
      <w:r w:rsidR="00652F1A">
        <w:rPr>
          <w:rFonts w:ascii="Arial" w:hAnsi="Arial" w:cs="Arial"/>
          <w:sz w:val="20"/>
          <w:szCs w:val="20"/>
        </w:rPr>
        <w:t>0.00</w:t>
      </w:r>
      <w:r w:rsidR="008F357A">
        <w:rPr>
          <w:rFonts w:ascii="Arial" w:hAnsi="Arial" w:cs="Arial"/>
          <w:sz w:val="20"/>
          <w:szCs w:val="20"/>
        </w:rPr>
        <w:t xml:space="preserve"> </w:t>
      </w:r>
      <w:r w:rsidRPr="00731EA5">
        <w:rPr>
          <w:rFonts w:ascii="Arial" w:hAnsi="Arial" w:cs="Arial"/>
          <w:sz w:val="20"/>
          <w:szCs w:val="20"/>
        </w:rPr>
        <w:t>per share, compared to $</w:t>
      </w:r>
      <w:r w:rsidR="00652F1A">
        <w:rPr>
          <w:rFonts w:ascii="Arial" w:hAnsi="Arial" w:cs="Arial"/>
          <w:sz w:val="20"/>
          <w:szCs w:val="20"/>
        </w:rPr>
        <w:t>202,712</w:t>
      </w:r>
      <w:r w:rsidRPr="00731EA5">
        <w:rPr>
          <w:rFonts w:ascii="Arial" w:hAnsi="Arial" w:cs="Arial"/>
          <w:sz w:val="20"/>
          <w:szCs w:val="20"/>
        </w:rPr>
        <w:t xml:space="preserve"> or $</w:t>
      </w:r>
      <w:r w:rsidR="00652F1A">
        <w:rPr>
          <w:rFonts w:ascii="Arial" w:hAnsi="Arial" w:cs="Arial"/>
          <w:sz w:val="20"/>
          <w:szCs w:val="20"/>
        </w:rPr>
        <w:t>0.00</w:t>
      </w:r>
      <w:r w:rsidRPr="00731EA5">
        <w:rPr>
          <w:rFonts w:ascii="Arial" w:hAnsi="Arial" w:cs="Arial"/>
          <w:sz w:val="20"/>
          <w:szCs w:val="20"/>
        </w:rPr>
        <w:t xml:space="preserve"> per share for </w:t>
      </w:r>
      <w:r w:rsidR="008F357A">
        <w:rPr>
          <w:rFonts w:ascii="Arial" w:hAnsi="Arial" w:cs="Arial"/>
          <w:sz w:val="20"/>
          <w:szCs w:val="20"/>
        </w:rPr>
        <w:t>Q1 2018</w:t>
      </w:r>
      <w:r w:rsidR="005973DB">
        <w:rPr>
          <w:rFonts w:ascii="Arial" w:hAnsi="Arial" w:cs="Arial"/>
          <w:sz w:val="20"/>
          <w:szCs w:val="20"/>
        </w:rPr>
        <w:t>.</w:t>
      </w:r>
    </w:p>
    <w:bookmarkEnd w:id="1"/>
    <w:p w14:paraId="71D5F6E6" w14:textId="77777777" w:rsidR="006C64D9" w:rsidRPr="006C64D9" w:rsidRDefault="006C64D9" w:rsidP="00C33AED">
      <w:pPr>
        <w:pStyle w:val="NormalWeb"/>
        <w:spacing w:before="0" w:beforeAutospacing="0" w:after="0" w:afterAutospacing="0"/>
        <w:ind w:right="-101"/>
        <w:jc w:val="both"/>
        <w:rPr>
          <w:rFonts w:ascii="Arial" w:hAnsi="Arial" w:cs="Arial"/>
          <w:sz w:val="20"/>
          <w:szCs w:val="20"/>
        </w:rPr>
      </w:pPr>
    </w:p>
    <w:p w14:paraId="409F893B" w14:textId="117E3895" w:rsidR="00C00F4C" w:rsidRPr="00B52C92"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 xml:space="preserve">Cash at </w:t>
      </w:r>
      <w:r w:rsidR="008F357A">
        <w:rPr>
          <w:rFonts w:ascii="Arial" w:hAnsi="Arial" w:cs="Arial"/>
          <w:sz w:val="20"/>
          <w:szCs w:val="20"/>
        </w:rPr>
        <w:t>March</w:t>
      </w:r>
      <w:r w:rsidRPr="006C64D9">
        <w:rPr>
          <w:rFonts w:ascii="Arial" w:hAnsi="Arial" w:cs="Arial"/>
          <w:sz w:val="20"/>
          <w:szCs w:val="20"/>
        </w:rPr>
        <w:t xml:space="preserve"> 31, 201</w:t>
      </w:r>
      <w:r w:rsidR="008F357A">
        <w:rPr>
          <w:rFonts w:ascii="Arial" w:hAnsi="Arial" w:cs="Arial"/>
          <w:sz w:val="20"/>
          <w:szCs w:val="20"/>
        </w:rPr>
        <w:t>9</w:t>
      </w:r>
      <w:r w:rsidRPr="006C64D9">
        <w:rPr>
          <w:rFonts w:ascii="Arial" w:hAnsi="Arial" w:cs="Arial"/>
          <w:sz w:val="20"/>
          <w:szCs w:val="20"/>
        </w:rPr>
        <w:t xml:space="preserve"> of </w:t>
      </w:r>
      <w:r w:rsidRPr="00B52C92">
        <w:rPr>
          <w:rFonts w:ascii="Arial" w:hAnsi="Arial" w:cs="Arial"/>
          <w:sz w:val="20"/>
          <w:szCs w:val="20"/>
        </w:rPr>
        <w:t>$</w:t>
      </w:r>
      <w:r w:rsidR="003937A3">
        <w:rPr>
          <w:rFonts w:ascii="Arial" w:hAnsi="Arial" w:cs="Arial"/>
          <w:sz w:val="20"/>
          <w:szCs w:val="20"/>
        </w:rPr>
        <w:t>1,974,48</w:t>
      </w:r>
      <w:r w:rsidR="00DF5EEB">
        <w:rPr>
          <w:rFonts w:ascii="Arial" w:hAnsi="Arial" w:cs="Arial"/>
          <w:sz w:val="20"/>
          <w:szCs w:val="20"/>
        </w:rPr>
        <w:t>3</w:t>
      </w:r>
      <w:r w:rsidR="00800DF4" w:rsidRPr="00B52C92">
        <w:rPr>
          <w:rFonts w:ascii="Arial" w:hAnsi="Arial" w:cs="Arial"/>
          <w:sz w:val="20"/>
          <w:szCs w:val="20"/>
        </w:rPr>
        <w:t>.</w:t>
      </w:r>
    </w:p>
    <w:p w14:paraId="7C72844C" w14:textId="77777777" w:rsidR="006C64D9" w:rsidRPr="00B52C92" w:rsidRDefault="006C64D9" w:rsidP="00C33AED">
      <w:pPr>
        <w:pStyle w:val="NormalWeb"/>
        <w:spacing w:before="0" w:beforeAutospacing="0" w:after="0" w:afterAutospacing="0"/>
        <w:ind w:right="-101"/>
        <w:jc w:val="both"/>
        <w:rPr>
          <w:rFonts w:ascii="Arial" w:hAnsi="Arial" w:cs="Arial"/>
          <w:sz w:val="20"/>
          <w:szCs w:val="20"/>
        </w:rPr>
      </w:pPr>
    </w:p>
    <w:p w14:paraId="116D3D07" w14:textId="6B48727E" w:rsidR="00C00F4C" w:rsidRPr="00B52C92"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B52C92">
        <w:rPr>
          <w:rFonts w:ascii="Arial" w:hAnsi="Arial" w:cs="Arial"/>
          <w:sz w:val="20"/>
          <w:szCs w:val="20"/>
        </w:rPr>
        <w:t xml:space="preserve">Working capital </w:t>
      </w:r>
      <w:r w:rsidR="00800DF4" w:rsidRPr="00B52C92">
        <w:rPr>
          <w:rFonts w:ascii="Arial" w:hAnsi="Arial" w:cs="Arial"/>
          <w:sz w:val="20"/>
          <w:szCs w:val="20"/>
        </w:rPr>
        <w:t xml:space="preserve">deficit </w:t>
      </w:r>
      <w:r w:rsidRPr="00B52C92">
        <w:rPr>
          <w:rFonts w:ascii="Arial" w:hAnsi="Arial" w:cs="Arial"/>
          <w:sz w:val="20"/>
          <w:szCs w:val="20"/>
        </w:rPr>
        <w:t xml:space="preserve">at </w:t>
      </w:r>
      <w:r w:rsidR="008F357A">
        <w:rPr>
          <w:rFonts w:ascii="Arial" w:hAnsi="Arial" w:cs="Arial"/>
          <w:sz w:val="20"/>
          <w:szCs w:val="20"/>
        </w:rPr>
        <w:t xml:space="preserve">March 31, 2019 </w:t>
      </w:r>
      <w:r w:rsidRPr="00B52C92">
        <w:rPr>
          <w:rFonts w:ascii="Arial" w:hAnsi="Arial" w:cs="Arial"/>
          <w:sz w:val="20"/>
          <w:szCs w:val="20"/>
        </w:rPr>
        <w:t>of $</w:t>
      </w:r>
      <w:r w:rsidR="00DF5EEB">
        <w:rPr>
          <w:rFonts w:ascii="Arial" w:hAnsi="Arial" w:cs="Arial"/>
          <w:sz w:val="20"/>
          <w:szCs w:val="20"/>
        </w:rPr>
        <w:t>3,</w:t>
      </w:r>
      <w:r w:rsidR="00290443">
        <w:rPr>
          <w:rFonts w:ascii="Arial" w:hAnsi="Arial" w:cs="Arial"/>
          <w:sz w:val="20"/>
          <w:szCs w:val="20"/>
        </w:rPr>
        <w:t>1</w:t>
      </w:r>
      <w:r w:rsidR="00BC0961">
        <w:rPr>
          <w:rFonts w:ascii="Arial" w:hAnsi="Arial" w:cs="Arial"/>
          <w:sz w:val="20"/>
          <w:szCs w:val="20"/>
        </w:rPr>
        <w:t>79,272</w:t>
      </w:r>
      <w:r w:rsidR="00800DF4" w:rsidRPr="00B52C92">
        <w:rPr>
          <w:rFonts w:ascii="Arial" w:hAnsi="Arial" w:cs="Arial"/>
          <w:sz w:val="20"/>
          <w:szCs w:val="20"/>
        </w:rPr>
        <w:t>.</w:t>
      </w:r>
    </w:p>
    <w:p w14:paraId="0CB782DA" w14:textId="77777777" w:rsidR="005811F3" w:rsidRDefault="005811F3" w:rsidP="005811F3">
      <w:pPr>
        <w:pStyle w:val="NormalWeb"/>
        <w:spacing w:before="0" w:beforeAutospacing="0" w:after="0" w:afterAutospacing="0"/>
        <w:ind w:right="-101"/>
        <w:rPr>
          <w:rFonts w:ascii="Arial" w:hAnsi="Arial" w:cs="Arial"/>
          <w:b/>
          <w:sz w:val="20"/>
          <w:szCs w:val="20"/>
        </w:rPr>
      </w:pPr>
    </w:p>
    <w:p w14:paraId="0EF4A315" w14:textId="77777777" w:rsidR="00DF5EEB" w:rsidRDefault="00DF5EEB" w:rsidP="00DF5EEB">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Q1 2019 KEY DEVELOPMENTS</w:t>
      </w:r>
    </w:p>
    <w:p w14:paraId="02CE048E" w14:textId="77777777" w:rsidR="00DF5EEB" w:rsidRDefault="00DF5EEB" w:rsidP="00DF5EEB">
      <w:pPr>
        <w:spacing w:after="0"/>
        <w:jc w:val="both"/>
        <w:rPr>
          <w:rFonts w:ascii="Arial" w:hAnsi="Arial" w:cs="Arial"/>
          <w:b/>
          <w:i/>
          <w:sz w:val="20"/>
          <w:szCs w:val="20"/>
          <w:u w:val="single"/>
        </w:rPr>
      </w:pPr>
    </w:p>
    <w:p w14:paraId="67F40B51" w14:textId="721AA237" w:rsidR="00DF5EEB" w:rsidRDefault="00DF5EEB" w:rsidP="00DF5EEB">
      <w:pPr>
        <w:spacing w:after="0"/>
        <w:jc w:val="both"/>
        <w:rPr>
          <w:rFonts w:ascii="Arial" w:hAnsi="Arial" w:cs="Arial"/>
          <w:spacing w:val="-2"/>
          <w:sz w:val="20"/>
          <w:szCs w:val="20"/>
        </w:rPr>
      </w:pPr>
      <w:r w:rsidRPr="00731EA5">
        <w:rPr>
          <w:rFonts w:ascii="Arial" w:hAnsi="Arial" w:cs="Arial"/>
          <w:b/>
          <w:i/>
          <w:sz w:val="20"/>
          <w:szCs w:val="20"/>
          <w:u w:val="single"/>
        </w:rPr>
        <w:t>Focus on CBD Product Sales</w:t>
      </w:r>
      <w:r w:rsidRPr="00731EA5">
        <w:rPr>
          <w:rFonts w:ascii="Arial" w:hAnsi="Arial" w:cs="Arial"/>
          <w:spacing w:val="-2"/>
          <w:sz w:val="20"/>
          <w:szCs w:val="20"/>
        </w:rPr>
        <w:t xml:space="preserve"> </w:t>
      </w:r>
    </w:p>
    <w:p w14:paraId="18630AAC" w14:textId="77777777" w:rsidR="00DF5EEB" w:rsidRDefault="00DF5EEB" w:rsidP="00DF5EEB">
      <w:pPr>
        <w:spacing w:after="0"/>
        <w:jc w:val="both"/>
        <w:rPr>
          <w:rFonts w:ascii="Arial" w:hAnsi="Arial" w:cs="Arial"/>
          <w:spacing w:val="-2"/>
          <w:sz w:val="20"/>
          <w:szCs w:val="20"/>
        </w:rPr>
      </w:pPr>
    </w:p>
    <w:p w14:paraId="2A9D2D7F" w14:textId="77777777" w:rsidR="00DF5EEB" w:rsidRPr="00731EA5" w:rsidRDefault="00DF5EEB" w:rsidP="00DF5EEB">
      <w:pPr>
        <w:spacing w:after="0"/>
        <w:jc w:val="both"/>
        <w:rPr>
          <w:rFonts w:ascii="Arial" w:hAnsi="Arial" w:cs="Arial"/>
          <w:spacing w:val="-2"/>
          <w:sz w:val="20"/>
          <w:szCs w:val="20"/>
        </w:rPr>
      </w:pPr>
      <w:r w:rsidRPr="00731EA5">
        <w:rPr>
          <w:rFonts w:ascii="Arial" w:hAnsi="Arial" w:cs="Arial"/>
          <w:spacing w:val="-2"/>
          <w:sz w:val="20"/>
          <w:szCs w:val="20"/>
        </w:rPr>
        <w:t>Empower has commenced selling its proprietary line of CBD-based products called SOLLIEVO</w:t>
      </w:r>
      <w:r>
        <w:rPr>
          <w:rFonts w:ascii="Arial" w:hAnsi="Arial" w:cs="Arial"/>
          <w:spacing w:val="-2"/>
          <w:sz w:val="20"/>
          <w:szCs w:val="20"/>
        </w:rPr>
        <w:t xml:space="preserve">, </w:t>
      </w:r>
      <w:r w:rsidRPr="005E2002">
        <w:rPr>
          <w:rFonts w:ascii="Arial" w:hAnsi="Arial" w:cs="Arial"/>
          <w:i/>
          <w:spacing w:val="-2"/>
          <w:sz w:val="20"/>
          <w:szCs w:val="20"/>
        </w:rPr>
        <w:t>Italian for Relief</w:t>
      </w:r>
      <w:r w:rsidRPr="00731EA5">
        <w:rPr>
          <w:rFonts w:ascii="Arial" w:hAnsi="Arial" w:cs="Arial"/>
          <w:spacing w:val="-2"/>
          <w:sz w:val="20"/>
          <w:szCs w:val="20"/>
        </w:rPr>
        <w:t xml:space="preserve">, through its network of company-owned clinics in the United States.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home delivery and e-commerce platform. </w:t>
      </w:r>
    </w:p>
    <w:p w14:paraId="11B1AAD9" w14:textId="77777777" w:rsidR="00DF5EEB" w:rsidRDefault="00DF5EEB" w:rsidP="00E27B44">
      <w:pPr>
        <w:pStyle w:val="NormalWeb"/>
        <w:pBdr>
          <w:bottom w:val="single" w:sz="12" w:space="1" w:color="auto"/>
        </w:pBdr>
        <w:spacing w:before="0" w:beforeAutospacing="0" w:after="0" w:afterAutospacing="0"/>
        <w:ind w:right="-101"/>
        <w:rPr>
          <w:rFonts w:ascii="Arial" w:hAnsi="Arial" w:cs="Arial"/>
          <w:b/>
          <w:sz w:val="20"/>
          <w:szCs w:val="20"/>
        </w:rPr>
      </w:pPr>
    </w:p>
    <w:p w14:paraId="74CC0A1E" w14:textId="00171C9F"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RECENT DEVELOPMENTS</w:t>
      </w:r>
    </w:p>
    <w:p w14:paraId="52AD1C74" w14:textId="77777777" w:rsidR="00E27B44" w:rsidRDefault="00E27B44" w:rsidP="00E27B44">
      <w:pPr>
        <w:pStyle w:val="NormalWeb"/>
        <w:spacing w:before="0" w:beforeAutospacing="0" w:after="0" w:afterAutospacing="0"/>
        <w:ind w:right="-101"/>
        <w:rPr>
          <w:rFonts w:ascii="Arial" w:hAnsi="Arial" w:cs="Arial"/>
          <w:b/>
          <w:sz w:val="20"/>
          <w:szCs w:val="20"/>
        </w:rPr>
      </w:pPr>
    </w:p>
    <w:p w14:paraId="56297C36"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Intention to Launch CBD Extraction Facility</w:t>
      </w:r>
      <w:r w:rsidRPr="00731EA5">
        <w:rPr>
          <w:rFonts w:ascii="Arial" w:hAnsi="Arial" w:cs="Arial"/>
          <w:spacing w:val="-2"/>
          <w:sz w:val="20"/>
          <w:szCs w:val="20"/>
        </w:rPr>
        <w:t xml:space="preserve"> </w:t>
      </w:r>
    </w:p>
    <w:p w14:paraId="108EF6F1" w14:textId="77777777" w:rsidR="00E27B44" w:rsidRDefault="00E27B44" w:rsidP="00E27B44">
      <w:pPr>
        <w:spacing w:after="0"/>
        <w:jc w:val="both"/>
        <w:rPr>
          <w:rFonts w:ascii="Arial" w:hAnsi="Arial" w:cs="Arial"/>
          <w:spacing w:val="-2"/>
          <w:sz w:val="20"/>
          <w:szCs w:val="20"/>
        </w:rPr>
      </w:pPr>
    </w:p>
    <w:p w14:paraId="57A42E6D" w14:textId="77777777" w:rsidR="00E27B44"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The Company intends to open a fully functioning hemp-based CBD extraction facility in greater Portland, Oregon in Q2 2019, with the first extraction system expected to have the capacity to produce 6,000 kilograms of extracted product per year. The 5,000 sq. ft. facility in Sandy,</w:t>
      </w:r>
      <w:r>
        <w:rPr>
          <w:rFonts w:ascii="Arial" w:hAnsi="Arial" w:cs="Arial"/>
          <w:spacing w:val="-2"/>
          <w:sz w:val="20"/>
          <w:szCs w:val="20"/>
        </w:rPr>
        <w:t xml:space="preserve"> Oregon</w:t>
      </w:r>
      <w:r w:rsidRPr="00731EA5">
        <w:rPr>
          <w:rFonts w:ascii="Arial" w:hAnsi="Arial" w:cs="Arial"/>
          <w:spacing w:val="-2"/>
          <w:sz w:val="20"/>
          <w:szCs w:val="20"/>
        </w:rPr>
        <w:t xml:space="preserve"> has now been secured through a </w:t>
      </w:r>
      <w:r w:rsidRPr="000317FF">
        <w:rPr>
          <w:rFonts w:ascii="Arial" w:hAnsi="Arial"/>
          <w:spacing w:val="-2"/>
          <w:sz w:val="20"/>
        </w:rPr>
        <w:t>5-year</w:t>
      </w:r>
      <w:r w:rsidRPr="00731EA5">
        <w:rPr>
          <w:rFonts w:ascii="Arial" w:hAnsi="Arial" w:cs="Arial"/>
          <w:spacing w:val="-2"/>
          <w:sz w:val="20"/>
          <w:szCs w:val="20"/>
        </w:rPr>
        <w:t xml:space="preserve"> lease agreement and preparations are underway to begin licensing and permit requirements to commence operations in 2019.</w:t>
      </w:r>
    </w:p>
    <w:p w14:paraId="5095F240" w14:textId="77777777" w:rsidR="00E27B44" w:rsidRPr="00C14FA4" w:rsidRDefault="00E27B44" w:rsidP="00E27B44">
      <w:pPr>
        <w:spacing w:after="0"/>
        <w:jc w:val="both"/>
        <w:rPr>
          <w:rFonts w:ascii="Arial" w:hAnsi="Arial" w:cs="Arial"/>
          <w:spacing w:val="-2"/>
          <w:sz w:val="18"/>
          <w:szCs w:val="20"/>
        </w:rPr>
      </w:pPr>
    </w:p>
    <w:p w14:paraId="237B553F"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Acquisition of Sun Valley Clinics</w:t>
      </w:r>
      <w:r w:rsidRPr="00731EA5">
        <w:rPr>
          <w:rFonts w:ascii="Arial" w:hAnsi="Arial" w:cs="Arial"/>
          <w:spacing w:val="-2"/>
          <w:sz w:val="20"/>
          <w:szCs w:val="20"/>
        </w:rPr>
        <w:t xml:space="preserve"> </w:t>
      </w:r>
    </w:p>
    <w:p w14:paraId="4D821D1D" w14:textId="77777777" w:rsidR="00E27B44" w:rsidRPr="00C14FA4" w:rsidRDefault="00E27B44" w:rsidP="00E27B44">
      <w:pPr>
        <w:spacing w:after="0"/>
        <w:jc w:val="both"/>
        <w:rPr>
          <w:rFonts w:ascii="Arial" w:hAnsi="Arial" w:cs="Arial"/>
          <w:spacing w:val="-2"/>
          <w:sz w:val="18"/>
          <w:szCs w:val="20"/>
        </w:rPr>
      </w:pPr>
    </w:p>
    <w:p w14:paraId="13A3C977" w14:textId="349176B5" w:rsidR="00E27B44"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 xml:space="preserve">Empower has completed the acquisition of the business of Sun Valley Certification Clinics Holdings LLC (“Sun Valley”), including its interests in certain affiliates, by way of a share acquisition. Sun Valley operates a network of professional medical cannabis and pain management practices, with five clinics in Arizona, one clinic in Las Vegas, a tele-medicine platform serving California, and a fully developed franchise business model for the domestic </w:t>
      </w:r>
      <w:r>
        <w:rPr>
          <w:rFonts w:ascii="Arial" w:hAnsi="Arial" w:cs="Arial"/>
          <w:spacing w:val="-2"/>
          <w:sz w:val="20"/>
          <w:szCs w:val="20"/>
        </w:rPr>
        <w:t xml:space="preserve">and international medical </w:t>
      </w:r>
      <w:r w:rsidRPr="00731EA5">
        <w:rPr>
          <w:rFonts w:ascii="Arial" w:hAnsi="Arial" w:cs="Arial"/>
          <w:spacing w:val="-2"/>
          <w:sz w:val="20"/>
          <w:szCs w:val="20"/>
        </w:rPr>
        <w:t>cannabis industry. The current Sun Valley clinic locations are:</w:t>
      </w:r>
    </w:p>
    <w:p w14:paraId="0D748B3D"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 xml:space="preserve">4218 W Dunlap Ave, Phoenix, AZ </w:t>
      </w:r>
    </w:p>
    <w:p w14:paraId="4B0E4EB1"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12801 W Bell Rd #145, Surprise, AZ</w:t>
      </w:r>
    </w:p>
    <w:p w14:paraId="7EEDCA97"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4015 E Bell Rd #130, Phoenix, AZ</w:t>
      </w:r>
    </w:p>
    <w:p w14:paraId="03821173"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2011 E University Dr, Mesa, AZ</w:t>
      </w:r>
    </w:p>
    <w:p w14:paraId="2FE40F5E"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7074 E Speedway Blvd, Tucson, AZ</w:t>
      </w:r>
    </w:p>
    <w:p w14:paraId="5B2E5187" w14:textId="77777777" w:rsidR="00E27B44" w:rsidRPr="00CF76E9" w:rsidRDefault="00E27B44" w:rsidP="00E27B44">
      <w:pPr>
        <w:pStyle w:val="ListParagraph"/>
        <w:numPr>
          <w:ilvl w:val="0"/>
          <w:numId w:val="36"/>
        </w:numPr>
        <w:jc w:val="both"/>
        <w:rPr>
          <w:rFonts w:ascii="Arial" w:hAnsi="Arial" w:cs="Arial"/>
          <w:spacing w:val="-2"/>
          <w:sz w:val="20"/>
          <w:szCs w:val="20"/>
        </w:rPr>
      </w:pPr>
      <w:r w:rsidRPr="00CF76E9">
        <w:rPr>
          <w:rFonts w:ascii="Arial" w:hAnsi="Arial" w:cs="Arial"/>
          <w:spacing w:val="-2"/>
          <w:sz w:val="20"/>
          <w:szCs w:val="20"/>
        </w:rPr>
        <w:t>2550 S Rainbow Blvd, Las Vegas, NV</w:t>
      </w:r>
    </w:p>
    <w:p w14:paraId="1AFA93B8" w14:textId="77777777" w:rsidR="00E27B44" w:rsidRPr="00731EA5" w:rsidRDefault="00E27B44" w:rsidP="00E27B44">
      <w:pPr>
        <w:spacing w:after="0"/>
        <w:jc w:val="both"/>
        <w:rPr>
          <w:rFonts w:ascii="Arial" w:hAnsi="Arial" w:cs="Arial"/>
          <w:spacing w:val="-2"/>
          <w:sz w:val="20"/>
          <w:szCs w:val="20"/>
        </w:rPr>
      </w:pPr>
    </w:p>
    <w:p w14:paraId="16E9A51E" w14:textId="77777777" w:rsidR="009C2644" w:rsidRDefault="009C2644" w:rsidP="00E27B44">
      <w:pPr>
        <w:spacing w:after="0"/>
        <w:jc w:val="both"/>
        <w:rPr>
          <w:rFonts w:ascii="Arial" w:hAnsi="Arial" w:cs="Arial"/>
          <w:b/>
          <w:i/>
          <w:sz w:val="20"/>
          <w:szCs w:val="20"/>
          <w:u w:val="single"/>
        </w:rPr>
      </w:pPr>
    </w:p>
    <w:p w14:paraId="47565EF7" w14:textId="36E8AAB5"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CBD Market Demand</w:t>
      </w:r>
      <w:r w:rsidRPr="00731EA5">
        <w:rPr>
          <w:rFonts w:ascii="Arial" w:hAnsi="Arial" w:cs="Arial"/>
          <w:spacing w:val="-2"/>
          <w:sz w:val="20"/>
          <w:szCs w:val="20"/>
        </w:rPr>
        <w:t xml:space="preserve"> </w:t>
      </w:r>
    </w:p>
    <w:p w14:paraId="5785FC13" w14:textId="77777777" w:rsidR="00E27B44" w:rsidRDefault="00E27B44" w:rsidP="00E27B44">
      <w:pPr>
        <w:spacing w:after="0"/>
        <w:jc w:val="both"/>
        <w:rPr>
          <w:rFonts w:ascii="Arial" w:hAnsi="Arial" w:cs="Arial"/>
          <w:spacing w:val="-2"/>
          <w:sz w:val="20"/>
          <w:szCs w:val="20"/>
        </w:rPr>
      </w:pPr>
    </w:p>
    <w:p w14:paraId="4A2456A5"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The passing in the United States of the US$867 billion Agriculture Improvement Act (the “Farm Bill”) has legalized hemp and hemp-based products. This has created an opportunity for the production and sale of a variety of CBD-based products that can provide genuine help and effective relief to millions of people suffering from a variety of qualifying conditions. Recent reports and studies indicate the approval of the Farm Bill could create a US$20 billion industry by 2022.</w:t>
      </w:r>
    </w:p>
    <w:p w14:paraId="6F1CC770" w14:textId="77777777" w:rsidR="00E27B44" w:rsidRPr="00731EA5" w:rsidRDefault="00E27B44" w:rsidP="00E27B44">
      <w:pPr>
        <w:spacing w:after="0"/>
        <w:jc w:val="both"/>
        <w:rPr>
          <w:rFonts w:ascii="Arial" w:hAnsi="Arial" w:cs="Arial"/>
          <w:spacing w:val="-2"/>
          <w:sz w:val="20"/>
          <w:szCs w:val="20"/>
        </w:rPr>
      </w:pPr>
    </w:p>
    <w:p w14:paraId="3E1C092D"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Increased Patient Access</w:t>
      </w:r>
      <w:r w:rsidRPr="00731EA5">
        <w:rPr>
          <w:rFonts w:ascii="Arial" w:hAnsi="Arial" w:cs="Arial"/>
          <w:spacing w:val="-2"/>
          <w:sz w:val="20"/>
          <w:szCs w:val="20"/>
        </w:rPr>
        <w:t xml:space="preserve"> </w:t>
      </w:r>
    </w:p>
    <w:p w14:paraId="5498D5FE" w14:textId="77777777" w:rsidR="00E27B44" w:rsidRDefault="00E27B44" w:rsidP="00E27B44">
      <w:pPr>
        <w:spacing w:after="0"/>
        <w:jc w:val="both"/>
        <w:rPr>
          <w:rFonts w:ascii="Arial" w:hAnsi="Arial" w:cs="Arial"/>
          <w:spacing w:val="-2"/>
          <w:sz w:val="20"/>
          <w:szCs w:val="20"/>
        </w:rPr>
      </w:pPr>
    </w:p>
    <w:p w14:paraId="06565887"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 xml:space="preserve">With a rapidly expanding company-owned clinic network and significant expansion opportunity </w:t>
      </w:r>
      <w:r>
        <w:rPr>
          <w:rFonts w:ascii="Arial" w:hAnsi="Arial" w:cs="Arial"/>
          <w:spacing w:val="-2"/>
          <w:sz w:val="20"/>
          <w:szCs w:val="20"/>
        </w:rPr>
        <w:t>with</w:t>
      </w:r>
      <w:r w:rsidRPr="00731EA5">
        <w:rPr>
          <w:rFonts w:ascii="Arial" w:hAnsi="Arial" w:cs="Arial"/>
          <w:spacing w:val="-2"/>
          <w:sz w:val="20"/>
          <w:szCs w:val="20"/>
        </w:rPr>
        <w:t xml:space="preserve"> the successful acquisition of Sun Valley </w:t>
      </w:r>
      <w:r>
        <w:rPr>
          <w:rFonts w:ascii="Arial" w:hAnsi="Arial" w:cs="Arial"/>
          <w:spacing w:val="-2"/>
          <w:sz w:val="20"/>
          <w:szCs w:val="20"/>
        </w:rPr>
        <w:t xml:space="preserve">Clinics and the roll-out of the Sun Valley </w:t>
      </w:r>
      <w:r w:rsidRPr="00731EA5">
        <w:rPr>
          <w:rFonts w:ascii="Arial" w:hAnsi="Arial" w:cs="Arial"/>
          <w:spacing w:val="-2"/>
          <w:sz w:val="20"/>
          <w:szCs w:val="20"/>
        </w:rPr>
        <w:t>franchise model, Empower anticipates it will grow its total patient list substantially in the years ahead. This is expected to provide greater opportunity for treatment analysis using artificial intelligence (AI)</w:t>
      </w:r>
      <w:r>
        <w:rPr>
          <w:rFonts w:ascii="Arial" w:hAnsi="Arial" w:cs="Arial"/>
          <w:spacing w:val="-2"/>
          <w:sz w:val="20"/>
          <w:szCs w:val="20"/>
        </w:rPr>
        <w:t xml:space="preserve"> data collection and analysis</w:t>
      </w:r>
      <w:r w:rsidRPr="00731EA5">
        <w:rPr>
          <w:rFonts w:ascii="Arial" w:hAnsi="Arial" w:cs="Arial"/>
          <w:spacing w:val="-2"/>
          <w:sz w:val="20"/>
          <w:szCs w:val="20"/>
        </w:rPr>
        <w:t xml:space="preserve">. </w:t>
      </w:r>
    </w:p>
    <w:p w14:paraId="398EF20F" w14:textId="77777777" w:rsidR="00E27B44" w:rsidRPr="00731EA5" w:rsidRDefault="00E27B44" w:rsidP="00E27B44">
      <w:pPr>
        <w:spacing w:after="0"/>
        <w:jc w:val="both"/>
        <w:rPr>
          <w:rFonts w:ascii="Arial" w:hAnsi="Arial" w:cs="Arial"/>
          <w:spacing w:val="-2"/>
          <w:sz w:val="20"/>
          <w:szCs w:val="20"/>
        </w:rPr>
      </w:pPr>
    </w:p>
    <w:p w14:paraId="3BE8FA13"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Market Leading Technology</w:t>
      </w:r>
      <w:r w:rsidRPr="00731EA5">
        <w:rPr>
          <w:rFonts w:ascii="Arial" w:hAnsi="Arial" w:cs="Arial"/>
          <w:spacing w:val="-2"/>
          <w:sz w:val="20"/>
          <w:szCs w:val="20"/>
        </w:rPr>
        <w:t xml:space="preserve"> </w:t>
      </w:r>
    </w:p>
    <w:p w14:paraId="73CE6F75" w14:textId="77777777" w:rsidR="00E27B44" w:rsidRDefault="00E27B44" w:rsidP="00E27B44">
      <w:pPr>
        <w:spacing w:after="0"/>
        <w:jc w:val="both"/>
        <w:rPr>
          <w:rFonts w:ascii="Arial" w:hAnsi="Arial" w:cs="Arial"/>
          <w:spacing w:val="-2"/>
          <w:sz w:val="20"/>
          <w:szCs w:val="20"/>
        </w:rPr>
      </w:pPr>
    </w:p>
    <w:p w14:paraId="5196E36C"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Empower utilizes a market-leading patient electronic management and POS system that is HIPAA compliant and provides insight to patient care. The Company supports remote patients using its tele-medicine portal, enabling patients who are unable to come to a location to benefit from a doctor consultation.</w:t>
      </w:r>
    </w:p>
    <w:p w14:paraId="249F9342" w14:textId="77777777" w:rsidR="00E27B44" w:rsidRPr="00C17BA8" w:rsidRDefault="00E27B44" w:rsidP="00E27B44">
      <w:pPr>
        <w:pStyle w:val="NormalWeb"/>
        <w:spacing w:before="0" w:beforeAutospacing="0" w:after="0" w:afterAutospacing="0"/>
        <w:ind w:right="-101"/>
        <w:rPr>
          <w:rFonts w:ascii="Arial" w:hAnsi="Arial" w:cs="Arial"/>
          <w:b/>
          <w:sz w:val="20"/>
          <w:szCs w:val="20"/>
        </w:rPr>
      </w:pPr>
    </w:p>
    <w:p w14:paraId="18E10978" w14:textId="77777777" w:rsidR="00E27B44" w:rsidRDefault="00E27B44" w:rsidP="00E27B44">
      <w:pPr>
        <w:spacing w:after="0"/>
        <w:jc w:val="both"/>
      </w:pPr>
      <w:r>
        <w:rPr>
          <w:rFonts w:ascii="Arial" w:hAnsi="Arial" w:cs="Arial"/>
          <w:b/>
          <w:i/>
          <w:sz w:val="20"/>
          <w:szCs w:val="20"/>
          <w:u w:val="single"/>
        </w:rPr>
        <w:t>Subsequent Share Transactions</w:t>
      </w:r>
    </w:p>
    <w:p w14:paraId="37B87848" w14:textId="2AB86A65" w:rsidR="00E27B44" w:rsidRPr="00C44552" w:rsidRDefault="00E27B44" w:rsidP="00E27B44">
      <w:pPr>
        <w:jc w:val="both"/>
        <w:rPr>
          <w:rFonts w:ascii="Arial" w:eastAsia="Times New Roman" w:hAnsi="Arial" w:cs="Arial"/>
          <w:sz w:val="20"/>
          <w:szCs w:val="20"/>
        </w:rPr>
      </w:pPr>
      <w:r>
        <w:rPr>
          <w:rFonts w:ascii="Arial" w:hAnsi="Arial" w:cs="Arial"/>
          <w:sz w:val="20"/>
          <w:szCs w:val="20"/>
        </w:rPr>
        <w:br/>
      </w:r>
      <w:r w:rsidRPr="00C44552">
        <w:rPr>
          <w:rFonts w:ascii="Arial" w:eastAsia="Times New Roman" w:hAnsi="Arial" w:cs="Arial"/>
          <w:sz w:val="20"/>
          <w:szCs w:val="20"/>
        </w:rPr>
        <w:t xml:space="preserve">On April 2, 2019, the Company raised $599,145 (C$799,500) through the issue of convertible debentures, expiring on April 2, 2020. The holder may at any time during the term of the convertible debenture convert all or part into units of the Company consisting of one common share and one </w:t>
      </w:r>
      <w:r>
        <w:rPr>
          <w:rFonts w:ascii="Arial" w:eastAsia="Times New Roman" w:hAnsi="Arial" w:cs="Arial"/>
          <w:sz w:val="20"/>
          <w:szCs w:val="20"/>
        </w:rPr>
        <w:t xml:space="preserve">common </w:t>
      </w:r>
      <w:r w:rsidRPr="00C44552">
        <w:rPr>
          <w:rFonts w:ascii="Arial" w:eastAsia="Times New Roman" w:hAnsi="Arial" w:cs="Arial"/>
          <w:sz w:val="20"/>
          <w:szCs w:val="20"/>
        </w:rPr>
        <w:t xml:space="preserve">share purchase warrant. Each warrant entitles the holder to acquire one common share at an exercise price equal to $0.12 (C$0.16). </w:t>
      </w:r>
    </w:p>
    <w:p w14:paraId="3AEB249E"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April 2, 2019, pursuant to a private placement financing, the Company issued 21,115,000 units at a price of $0.08 (C$0.10) per unit for gross proceeds of $1,582,359 (C$2,111,500).  Each unit consists of one common share and one common share purchase warrant. Each warrant entitles the holder to acquire one common share at a price of $0.12 (C$0.16) per share for a period of two years following the closing date of the financing. </w:t>
      </w:r>
    </w:p>
    <w:p w14:paraId="69E89FA8"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April 30, 2019, pursuant to the acquisition of Sun Valley, </w:t>
      </w:r>
      <w:r>
        <w:rPr>
          <w:rFonts w:ascii="Arial" w:eastAsia="Times New Roman" w:hAnsi="Arial" w:cs="Arial"/>
          <w:sz w:val="20"/>
          <w:szCs w:val="20"/>
        </w:rPr>
        <w:t xml:space="preserve">the Company issued </w:t>
      </w:r>
      <w:r w:rsidRPr="00C44552">
        <w:rPr>
          <w:rFonts w:ascii="Arial" w:eastAsia="Times New Roman" w:hAnsi="Arial" w:cs="Arial"/>
          <w:sz w:val="20"/>
          <w:szCs w:val="20"/>
        </w:rPr>
        <w:t>22,409,425 common shares at a</w:t>
      </w:r>
      <w:r>
        <w:rPr>
          <w:rFonts w:ascii="Arial" w:eastAsia="Times New Roman" w:hAnsi="Arial" w:cs="Arial"/>
          <w:sz w:val="20"/>
          <w:szCs w:val="20"/>
        </w:rPr>
        <w:t xml:space="preserve"> deemed</w:t>
      </w:r>
      <w:r w:rsidRPr="00C44552">
        <w:rPr>
          <w:rFonts w:ascii="Arial" w:eastAsia="Times New Roman" w:hAnsi="Arial" w:cs="Arial"/>
          <w:sz w:val="20"/>
          <w:szCs w:val="20"/>
        </w:rPr>
        <w:t xml:space="preserve"> price of $0.14 (C$0.183)</w:t>
      </w:r>
      <w:r>
        <w:rPr>
          <w:rFonts w:ascii="Arial" w:eastAsia="Times New Roman" w:hAnsi="Arial" w:cs="Arial"/>
          <w:sz w:val="20"/>
          <w:szCs w:val="20"/>
        </w:rPr>
        <w:t>.</w:t>
      </w:r>
    </w:p>
    <w:p w14:paraId="1C41DD34"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On May 3, 2019, the Company raised $154,345 (C$207,270) through the issue of convertible debentures, expiring on May 3, 2020. The holder may at any time during the term of the convertible debenture convert all or part into units of the Company consisting of one common share and one</w:t>
      </w:r>
      <w:r>
        <w:rPr>
          <w:rFonts w:ascii="Arial" w:eastAsia="Times New Roman" w:hAnsi="Arial" w:cs="Arial"/>
          <w:sz w:val="20"/>
          <w:szCs w:val="20"/>
        </w:rPr>
        <w:t xml:space="preserve"> common</w:t>
      </w:r>
      <w:r w:rsidRPr="00C44552">
        <w:rPr>
          <w:rFonts w:ascii="Arial" w:eastAsia="Times New Roman" w:hAnsi="Arial" w:cs="Arial"/>
          <w:sz w:val="20"/>
          <w:szCs w:val="20"/>
        </w:rPr>
        <w:t xml:space="preserve"> share purchase warrant. Each warrant entitles the holder to acquire one common share at an exercise price equal to $0.12 (C$0.16). </w:t>
      </w:r>
    </w:p>
    <w:p w14:paraId="25CFE052"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May 3, 2019, pursuant to a private placement financing, the Company issued 5,762,500 units at a price of $0.08 (C$0.10) per unit for gross proceeds of $429,109 (C$576,250).  Each unit consists of one common share and one common share purchase warrant. Each warrant entitles the holder to acquire one common share at a price of $0.12 (C$0.16) per share for a period of two years following the closing date of the financing. </w:t>
      </w:r>
    </w:p>
    <w:p w14:paraId="5FC73B59" w14:textId="77777777"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p>
    <w:p w14:paraId="2853CE65" w14:textId="77777777"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p>
    <w:p w14:paraId="32DD67C2" w14:textId="793CB0B3"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OVERVIEW OF THE BUSINESS</w:t>
      </w:r>
    </w:p>
    <w:p w14:paraId="72E23944" w14:textId="77777777" w:rsidR="00E27B44" w:rsidRPr="00C90A0A" w:rsidRDefault="00E27B44" w:rsidP="00E27B44">
      <w:pPr>
        <w:pStyle w:val="NormalWeb"/>
        <w:spacing w:before="0" w:beforeAutospacing="0" w:after="0" w:afterAutospacing="0"/>
        <w:ind w:right="-101"/>
        <w:rPr>
          <w:rFonts w:ascii="Arial" w:hAnsi="Arial" w:cs="Arial"/>
          <w:b/>
          <w:sz w:val="20"/>
          <w:szCs w:val="20"/>
        </w:rPr>
      </w:pPr>
    </w:p>
    <w:p w14:paraId="6BBBE3F4" w14:textId="77777777" w:rsidR="00E27B44" w:rsidRDefault="00E27B44" w:rsidP="00E27B44">
      <w:pPr>
        <w:spacing w:after="0"/>
        <w:jc w:val="both"/>
        <w:rPr>
          <w:rFonts w:ascii="Arial" w:hAnsi="Arial" w:cs="Arial"/>
          <w:sz w:val="20"/>
          <w:szCs w:val="20"/>
        </w:rPr>
      </w:pPr>
      <w:r w:rsidRPr="00C90A0A">
        <w:rPr>
          <w:rFonts w:ascii="Arial" w:hAnsi="Arial" w:cs="Arial"/>
          <w:sz w:val="20"/>
          <w:szCs w:val="20"/>
        </w:rPr>
        <w:t xml:space="preserve">The Company is a British Columbia incorporated Canadian company which operates a growing network of physician-staffed medical </w:t>
      </w:r>
      <w:r>
        <w:rPr>
          <w:rFonts w:ascii="Arial" w:hAnsi="Arial" w:cs="Arial"/>
          <w:sz w:val="20"/>
          <w:szCs w:val="20"/>
        </w:rPr>
        <w:t xml:space="preserve">certification </w:t>
      </w:r>
      <w:r w:rsidRPr="00C90A0A">
        <w:rPr>
          <w:rFonts w:ascii="Arial" w:hAnsi="Arial" w:cs="Arial"/>
          <w:sz w:val="20"/>
          <w:szCs w:val="20"/>
        </w:rPr>
        <w:t xml:space="preserve">clinics with a primary focus on enabling patients to improve and protect their health. </w:t>
      </w:r>
    </w:p>
    <w:p w14:paraId="22250A65" w14:textId="77777777" w:rsidR="00E27B44" w:rsidRDefault="00E27B44" w:rsidP="00E27B44">
      <w:pPr>
        <w:spacing w:after="0"/>
        <w:jc w:val="both"/>
        <w:rPr>
          <w:rFonts w:ascii="Arial" w:hAnsi="Arial" w:cs="Arial"/>
          <w:sz w:val="20"/>
          <w:szCs w:val="20"/>
        </w:rPr>
      </w:pPr>
    </w:p>
    <w:p w14:paraId="020C76D3" w14:textId="77777777" w:rsidR="00E27B44" w:rsidRPr="009E7418" w:rsidRDefault="00E27B44" w:rsidP="00E27B44">
      <w:pPr>
        <w:spacing w:after="0"/>
        <w:jc w:val="both"/>
        <w:rPr>
          <w:rFonts w:ascii="Arial" w:hAnsi="Arial" w:cs="Arial"/>
          <w:sz w:val="20"/>
          <w:szCs w:val="20"/>
          <w:lang w:val="en-CA"/>
        </w:rPr>
      </w:pPr>
      <w:r w:rsidRPr="00CC3B7F">
        <w:rPr>
          <w:rFonts w:ascii="Arial" w:hAnsi="Arial" w:cs="Arial"/>
          <w:sz w:val="20"/>
          <w:szCs w:val="20"/>
          <w:lang w:val="en-CA"/>
        </w:rPr>
        <w:t xml:space="preserve">The new Empower Clinics is a growth focused, vertically integrated CBD Life Sciences company committed to improving patients’ lives with products, technology and health systems, through a network of medical clinics across the US. </w:t>
      </w:r>
    </w:p>
    <w:p w14:paraId="33371D9F" w14:textId="77777777" w:rsidR="00E27B44" w:rsidRPr="00C90A0A" w:rsidRDefault="00E27B44" w:rsidP="00E27B44">
      <w:pPr>
        <w:spacing w:after="0"/>
        <w:jc w:val="both"/>
        <w:rPr>
          <w:rFonts w:ascii="Arial" w:hAnsi="Arial" w:cs="Arial"/>
          <w:sz w:val="20"/>
          <w:szCs w:val="20"/>
        </w:rPr>
      </w:pPr>
    </w:p>
    <w:p w14:paraId="6478339B" w14:textId="77777777" w:rsidR="00E27B44" w:rsidRPr="007703A7" w:rsidRDefault="00E27B44" w:rsidP="00E27B44">
      <w:pPr>
        <w:spacing w:after="0"/>
        <w:jc w:val="both"/>
        <w:rPr>
          <w:rFonts w:ascii="Arial" w:hAnsi="Arial" w:cs="Arial"/>
          <w:sz w:val="20"/>
          <w:szCs w:val="20"/>
        </w:rPr>
      </w:pPr>
      <w:r w:rsidRPr="007703A7">
        <w:rPr>
          <w:rFonts w:ascii="Arial" w:hAnsi="Arial" w:cs="Arial"/>
          <w:sz w:val="20"/>
          <w:szCs w:val="20"/>
        </w:rPr>
        <w:t xml:space="preserve">It is expected that </w:t>
      </w:r>
      <w:proofErr w:type="spellStart"/>
      <w:r w:rsidRPr="007703A7">
        <w:rPr>
          <w:rFonts w:ascii="Arial" w:hAnsi="Arial" w:cs="Arial"/>
          <w:sz w:val="20"/>
          <w:szCs w:val="20"/>
        </w:rPr>
        <w:t>Empower’s</w:t>
      </w:r>
      <w:proofErr w:type="spellEnd"/>
      <w:r w:rsidRPr="007703A7">
        <w:rPr>
          <w:rFonts w:ascii="Arial" w:hAnsi="Arial" w:cs="Arial"/>
          <w:sz w:val="20"/>
          <w:szCs w:val="20"/>
        </w:rPr>
        <w:t xml:space="preserve"> proprietary product line “Sollievo” will offer patients a variety of delivery methods of doctor recommended cannabidiol (</w:t>
      </w:r>
      <w:r>
        <w:rPr>
          <w:rFonts w:ascii="Arial" w:hAnsi="Arial" w:cs="Arial"/>
          <w:sz w:val="20"/>
          <w:szCs w:val="20"/>
        </w:rPr>
        <w:t>“</w:t>
      </w:r>
      <w:r w:rsidRPr="007703A7">
        <w:rPr>
          <w:rFonts w:ascii="Arial" w:hAnsi="Arial" w:cs="Arial"/>
          <w:sz w:val="20"/>
          <w:szCs w:val="20"/>
        </w:rPr>
        <w:t>CBD</w:t>
      </w:r>
      <w:r>
        <w:rPr>
          <w:rFonts w:ascii="Arial" w:hAnsi="Arial" w:cs="Arial"/>
          <w:sz w:val="20"/>
          <w:szCs w:val="20"/>
        </w:rPr>
        <w:t>”</w:t>
      </w:r>
      <w:r w:rsidRPr="007703A7">
        <w:rPr>
          <w:rFonts w:ascii="Arial" w:hAnsi="Arial" w:cs="Arial"/>
          <w:sz w:val="20"/>
          <w:szCs w:val="20"/>
        </w:rPr>
        <w:t>) based products in its clinics, online and a</w:t>
      </w:r>
      <w:r>
        <w:rPr>
          <w:rFonts w:ascii="Arial" w:hAnsi="Arial" w:cs="Arial"/>
          <w:sz w:val="20"/>
          <w:szCs w:val="20"/>
        </w:rPr>
        <w:t>t major retailers. With over 165</w:t>
      </w:r>
      <w:r w:rsidRPr="007703A7">
        <w:rPr>
          <w:rFonts w:ascii="Arial" w:hAnsi="Arial" w:cs="Arial"/>
          <w:sz w:val="20"/>
          <w:szCs w:val="20"/>
        </w:rPr>
        <w:t>,000 patients</w:t>
      </w:r>
      <w:r>
        <w:rPr>
          <w:rFonts w:ascii="Arial" w:hAnsi="Arial" w:cs="Arial"/>
          <w:sz w:val="20"/>
          <w:szCs w:val="20"/>
        </w:rPr>
        <w:t xml:space="preserve"> in its database</w:t>
      </w:r>
      <w:r w:rsidRPr="007703A7">
        <w:rPr>
          <w:rFonts w:ascii="Arial" w:hAnsi="Arial" w:cs="Arial"/>
          <w:sz w:val="20"/>
          <w:szCs w:val="20"/>
        </w:rPr>
        <w:t>,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72609FCA" w14:textId="77777777" w:rsidR="00E27B44" w:rsidRPr="00C90A0A" w:rsidRDefault="00E27B44" w:rsidP="00E27B44">
      <w:pPr>
        <w:spacing w:after="0"/>
        <w:jc w:val="both"/>
        <w:rPr>
          <w:rFonts w:ascii="Arial" w:hAnsi="Arial" w:cs="Arial"/>
          <w:sz w:val="20"/>
          <w:szCs w:val="20"/>
        </w:rPr>
      </w:pPr>
    </w:p>
    <w:p w14:paraId="7FDF0A74" w14:textId="77777777" w:rsidR="00E27B44" w:rsidRDefault="00E27B44" w:rsidP="00E27B44">
      <w:pPr>
        <w:spacing w:after="0"/>
        <w:jc w:val="both"/>
        <w:rPr>
          <w:rFonts w:ascii="Arial" w:hAnsi="Arial" w:cs="Arial"/>
          <w:sz w:val="20"/>
          <w:szCs w:val="20"/>
        </w:rPr>
      </w:pPr>
      <w:r w:rsidRPr="00C90A0A">
        <w:rPr>
          <w:rFonts w:ascii="Arial" w:hAnsi="Arial" w:cs="Arial"/>
          <w:sz w:val="20"/>
          <w:szCs w:val="20"/>
        </w:rPr>
        <w:t>The Company currently operates 1</w:t>
      </w:r>
      <w:r>
        <w:rPr>
          <w:rFonts w:ascii="Arial" w:hAnsi="Arial" w:cs="Arial"/>
          <w:sz w:val="20"/>
          <w:szCs w:val="20"/>
        </w:rPr>
        <w:t>0 physical</w:t>
      </w:r>
      <w:r w:rsidRPr="00C90A0A">
        <w:rPr>
          <w:rFonts w:ascii="Arial" w:hAnsi="Arial" w:cs="Arial"/>
          <w:sz w:val="20"/>
          <w:szCs w:val="20"/>
        </w:rPr>
        <w:t xml:space="preserve"> clinics locat</w:t>
      </w:r>
      <w:r>
        <w:rPr>
          <w:rFonts w:ascii="Arial" w:hAnsi="Arial" w:cs="Arial"/>
          <w:sz w:val="20"/>
          <w:szCs w:val="20"/>
        </w:rPr>
        <w:t>ions and multiple mobile clinics in the State of Oregon that in combination serve patients</w:t>
      </w:r>
      <w:r w:rsidRPr="00C90A0A">
        <w:rPr>
          <w:rFonts w:ascii="Arial" w:hAnsi="Arial" w:cs="Arial"/>
          <w:sz w:val="20"/>
          <w:szCs w:val="20"/>
        </w:rPr>
        <w:t xml:space="preserve"> across the states of Oregon</w:t>
      </w:r>
      <w:r>
        <w:rPr>
          <w:rFonts w:ascii="Arial" w:hAnsi="Arial" w:cs="Arial"/>
          <w:sz w:val="20"/>
          <w:szCs w:val="20"/>
        </w:rPr>
        <w:t>,</w:t>
      </w:r>
      <w:r w:rsidRPr="00C90A0A">
        <w:rPr>
          <w:rFonts w:ascii="Arial" w:hAnsi="Arial" w:cs="Arial"/>
          <w:sz w:val="20"/>
          <w:szCs w:val="20"/>
        </w:rPr>
        <w:t xml:space="preserve"> Washington</w:t>
      </w:r>
      <w:r>
        <w:rPr>
          <w:rFonts w:ascii="Arial" w:hAnsi="Arial" w:cs="Arial"/>
          <w:sz w:val="20"/>
          <w:szCs w:val="20"/>
        </w:rPr>
        <w:t>, Illinois, Arizona, Nevada and operates a tele-medicine platform to serve patients in California.</w:t>
      </w:r>
      <w:r w:rsidRPr="00C90A0A">
        <w:rPr>
          <w:rFonts w:ascii="Arial" w:hAnsi="Arial" w:cs="Arial"/>
          <w:sz w:val="20"/>
          <w:szCs w:val="20"/>
        </w:rPr>
        <w:t xml:space="preserve"> </w:t>
      </w:r>
    </w:p>
    <w:p w14:paraId="2AA110EF" w14:textId="77777777" w:rsidR="00E27B44" w:rsidRPr="00C90A0A" w:rsidRDefault="00E27B44" w:rsidP="00E27B44">
      <w:pPr>
        <w:spacing w:after="0"/>
        <w:jc w:val="both"/>
        <w:rPr>
          <w:rFonts w:ascii="Arial" w:hAnsi="Arial" w:cs="Arial"/>
          <w:sz w:val="20"/>
          <w:szCs w:val="20"/>
        </w:rPr>
      </w:pPr>
    </w:p>
    <w:p w14:paraId="0A61F665" w14:textId="77777777" w:rsidR="00E27B44" w:rsidRPr="00C8580E" w:rsidRDefault="00E27B44" w:rsidP="00E27B44">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franchise model allowing for easy and fast nationwide scalability that will increase the distribution of Sollievo and Sun Valley CBD products,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6B363A89" w14:textId="77777777" w:rsidR="00E27B44" w:rsidRPr="00C90A0A" w:rsidRDefault="00E27B44" w:rsidP="00E27B44">
      <w:pPr>
        <w:spacing w:after="0"/>
        <w:jc w:val="both"/>
        <w:rPr>
          <w:rFonts w:ascii="Arial" w:hAnsi="Arial" w:cs="Arial"/>
          <w:sz w:val="20"/>
          <w:szCs w:val="20"/>
        </w:rPr>
      </w:pPr>
    </w:p>
    <w:p w14:paraId="1A707C4E" w14:textId="77777777" w:rsidR="00E27B44" w:rsidRDefault="00E27B44" w:rsidP="00E27B44">
      <w:pPr>
        <w:spacing w:after="0"/>
        <w:jc w:val="both"/>
        <w:rPr>
          <w:rFonts w:ascii="Arial" w:hAnsi="Arial" w:cs="Arial"/>
          <w:sz w:val="20"/>
          <w:szCs w:val="20"/>
          <w:lang w:val="en-CA"/>
        </w:rPr>
      </w:pPr>
      <w:r w:rsidRPr="000B495A">
        <w:rPr>
          <w:rFonts w:ascii="Arial" w:hAnsi="Arial" w:cs="Arial"/>
          <w:sz w:val="20"/>
          <w:szCs w:val="20"/>
          <w:lang w:val="en-CA"/>
        </w:rPr>
        <w:t xml:space="preserve">Empower has multiple distribution strategies for our branded Sollievo CBD products </w:t>
      </w:r>
      <w:r>
        <w:rPr>
          <w:rFonts w:ascii="Arial" w:hAnsi="Arial" w:cs="Arial"/>
          <w:sz w:val="20"/>
          <w:szCs w:val="20"/>
          <w:lang w:val="en-CA"/>
        </w:rPr>
        <w:t xml:space="preserve">that </w:t>
      </w:r>
      <w:r w:rsidRPr="000B495A">
        <w:rPr>
          <w:rFonts w:ascii="Arial" w:hAnsi="Arial" w:cs="Arial"/>
          <w:sz w:val="20"/>
          <w:szCs w:val="20"/>
          <w:lang w:val="en-CA"/>
        </w:rPr>
        <w:t>target chronic pain, insomnia, digestion, anxiety, sleep disorders and more</w:t>
      </w:r>
      <w:r>
        <w:rPr>
          <w:rFonts w:ascii="Arial" w:hAnsi="Arial" w:cs="Arial"/>
          <w:sz w:val="20"/>
          <w:szCs w:val="20"/>
          <w:lang w:val="en-CA"/>
        </w:rPr>
        <w:t>.</w:t>
      </w:r>
      <w:r w:rsidRPr="000B495A">
        <w:rPr>
          <w:rFonts w:ascii="Arial" w:hAnsi="Arial" w:cs="Arial"/>
          <w:sz w:val="20"/>
          <w:szCs w:val="20"/>
          <w:lang w:val="en-CA"/>
        </w:rPr>
        <w:t xml:space="preserve"> </w:t>
      </w:r>
      <w:r>
        <w:rPr>
          <w:rFonts w:ascii="Arial" w:hAnsi="Arial" w:cs="Arial"/>
          <w:sz w:val="20"/>
          <w:szCs w:val="20"/>
          <w:lang w:val="en-CA"/>
        </w:rPr>
        <w:t xml:space="preserve">The Company </w:t>
      </w:r>
      <w:r w:rsidRPr="000B495A">
        <w:rPr>
          <w:rFonts w:ascii="Arial" w:hAnsi="Arial" w:cs="Arial"/>
          <w:sz w:val="20"/>
          <w:szCs w:val="20"/>
          <w:lang w:val="en-CA"/>
        </w:rPr>
        <w:t xml:space="preserve">owns the proprietary formulations for these products based on </w:t>
      </w:r>
      <w:r>
        <w:rPr>
          <w:rFonts w:ascii="Arial" w:hAnsi="Arial" w:cs="Arial"/>
          <w:sz w:val="20"/>
          <w:szCs w:val="20"/>
          <w:lang w:val="en-CA"/>
        </w:rPr>
        <w:t>feedback from scientists and patients, and the Company intends to invest in developing these formulations to become a market leading hemp-derived CBD based product distributor.</w:t>
      </w:r>
      <w:r w:rsidRPr="000B495A">
        <w:rPr>
          <w:rFonts w:ascii="Arial" w:hAnsi="Arial" w:cs="Arial"/>
          <w:sz w:val="20"/>
          <w:szCs w:val="20"/>
          <w:lang w:val="en-CA"/>
        </w:rPr>
        <w:t xml:space="preserve"> </w:t>
      </w:r>
      <w:r>
        <w:rPr>
          <w:rFonts w:ascii="Arial" w:hAnsi="Arial" w:cs="Arial"/>
          <w:sz w:val="20"/>
          <w:szCs w:val="20"/>
          <w:lang w:val="en-CA"/>
        </w:rPr>
        <w:t>Distribution of products will naturally fit into the Company’s clinic strategy with the development of retail-like kiosks in clinics and as a standard feature in franchises n</w:t>
      </w:r>
      <w:r w:rsidRPr="000B495A">
        <w:rPr>
          <w:rFonts w:ascii="Arial" w:hAnsi="Arial" w:cs="Arial"/>
          <w:sz w:val="20"/>
          <w:szCs w:val="20"/>
          <w:lang w:val="en-CA"/>
        </w:rPr>
        <w:t>ationwide</w:t>
      </w:r>
      <w:r>
        <w:rPr>
          <w:rFonts w:ascii="Arial" w:hAnsi="Arial" w:cs="Arial"/>
          <w:sz w:val="20"/>
          <w:szCs w:val="20"/>
          <w:lang w:val="en-CA"/>
        </w:rPr>
        <w:t>.</w:t>
      </w:r>
      <w:r w:rsidRPr="000B495A">
        <w:rPr>
          <w:rFonts w:ascii="Arial" w:hAnsi="Arial" w:cs="Arial"/>
          <w:sz w:val="20"/>
          <w:szCs w:val="20"/>
          <w:lang w:val="en-CA"/>
        </w:rPr>
        <w:t xml:space="preserve"> </w:t>
      </w:r>
      <w:r>
        <w:rPr>
          <w:rFonts w:ascii="Arial" w:hAnsi="Arial" w:cs="Arial"/>
          <w:sz w:val="20"/>
          <w:szCs w:val="20"/>
          <w:lang w:val="en-CA"/>
        </w:rPr>
        <w:t>E</w:t>
      </w:r>
      <w:r w:rsidRPr="000B495A">
        <w:rPr>
          <w:rFonts w:ascii="Arial" w:hAnsi="Arial" w:cs="Arial"/>
          <w:sz w:val="20"/>
          <w:szCs w:val="20"/>
          <w:lang w:val="en-CA"/>
        </w:rPr>
        <w:t xml:space="preserve">-commerce </w:t>
      </w:r>
      <w:r>
        <w:rPr>
          <w:rFonts w:ascii="Arial" w:hAnsi="Arial" w:cs="Arial"/>
          <w:sz w:val="20"/>
          <w:szCs w:val="20"/>
          <w:lang w:val="en-CA"/>
        </w:rPr>
        <w:t xml:space="preserve">will be an important distribution channel going forward providing patients and general consumers the opportunity to access and purchase Company products. </w:t>
      </w:r>
      <w:r w:rsidRPr="000B495A">
        <w:rPr>
          <w:rFonts w:ascii="Arial" w:hAnsi="Arial" w:cs="Arial"/>
          <w:sz w:val="20"/>
          <w:szCs w:val="20"/>
          <w:lang w:val="en-CA"/>
        </w:rPr>
        <w:t>Sollievo products include lotions and balms, tinctures, gel caps, pain patches and an e-drink, all at vario</w:t>
      </w:r>
      <w:r>
        <w:rPr>
          <w:rFonts w:ascii="Arial" w:hAnsi="Arial" w:cs="Arial"/>
          <w:sz w:val="20"/>
          <w:szCs w:val="20"/>
          <w:lang w:val="en-CA"/>
        </w:rPr>
        <w:t>us phases of R&amp;D and production.</w:t>
      </w:r>
    </w:p>
    <w:p w14:paraId="685D6A6A" w14:textId="77777777" w:rsidR="00E27B44" w:rsidRDefault="00E27B44" w:rsidP="00E27B44">
      <w:pPr>
        <w:spacing w:after="0"/>
        <w:jc w:val="both"/>
        <w:rPr>
          <w:rFonts w:ascii="Arial" w:hAnsi="Arial" w:cs="Arial"/>
          <w:sz w:val="20"/>
          <w:szCs w:val="20"/>
          <w:lang w:val="en-CA"/>
        </w:rPr>
      </w:pPr>
    </w:p>
    <w:p w14:paraId="62C8598B" w14:textId="77777777" w:rsidR="00E27B44" w:rsidRPr="00DF5FF5" w:rsidRDefault="00E27B44" w:rsidP="00E27B44">
      <w:pPr>
        <w:spacing w:after="0"/>
        <w:jc w:val="both"/>
        <w:rPr>
          <w:rFonts w:ascii="Arial" w:hAnsi="Arial" w:cs="Arial"/>
          <w:sz w:val="20"/>
          <w:szCs w:val="20"/>
          <w:lang w:val="en-CA"/>
        </w:rPr>
      </w:pPr>
      <w:r>
        <w:rPr>
          <w:rFonts w:ascii="Arial" w:hAnsi="Arial" w:cs="Arial"/>
          <w:sz w:val="20"/>
          <w:szCs w:val="20"/>
          <w:lang w:val="en-CA"/>
        </w:rPr>
        <w:t>The Company</w:t>
      </w:r>
      <w:r w:rsidRPr="00DF5FF5">
        <w:rPr>
          <w:rFonts w:ascii="Arial" w:hAnsi="Arial" w:cs="Arial"/>
          <w:sz w:val="20"/>
          <w:szCs w:val="20"/>
          <w:lang w:val="en-CA"/>
        </w:rPr>
        <w:t xml:space="preserve"> has developed a proprietary software</w:t>
      </w:r>
      <w:r>
        <w:rPr>
          <w:rFonts w:ascii="Arial" w:hAnsi="Arial" w:cs="Arial"/>
          <w:sz w:val="20"/>
          <w:szCs w:val="20"/>
          <w:lang w:val="en-CA"/>
        </w:rPr>
        <w:t xml:space="preserve"> platform</w:t>
      </w:r>
      <w:r w:rsidRPr="00DF5FF5">
        <w:rPr>
          <w:rFonts w:ascii="Arial" w:hAnsi="Arial" w:cs="Arial"/>
          <w:sz w:val="20"/>
          <w:szCs w:val="20"/>
          <w:lang w:val="en-CA"/>
        </w:rPr>
        <w:t xml:space="preserve"> to manage patients through the medical </w:t>
      </w:r>
      <w:r>
        <w:rPr>
          <w:rFonts w:ascii="Arial" w:hAnsi="Arial" w:cs="Arial"/>
          <w:sz w:val="20"/>
          <w:szCs w:val="20"/>
          <w:lang w:val="en-CA"/>
        </w:rPr>
        <w:t>certification</w:t>
      </w:r>
      <w:r w:rsidRPr="00DF5FF5">
        <w:rPr>
          <w:rFonts w:ascii="Arial" w:hAnsi="Arial" w:cs="Arial"/>
          <w:sz w:val="20"/>
          <w:szCs w:val="20"/>
          <w:lang w:val="en-CA"/>
        </w:rPr>
        <w:t xml:space="preserve"> process</w:t>
      </w:r>
      <w:r>
        <w:rPr>
          <w:rFonts w:ascii="Arial" w:hAnsi="Arial" w:cs="Arial"/>
          <w:sz w:val="20"/>
          <w:szCs w:val="20"/>
          <w:lang w:val="en-CA"/>
        </w:rPr>
        <w:t xml:space="preserve"> that is a</w:t>
      </w:r>
      <w:r w:rsidRPr="00DF5FF5">
        <w:rPr>
          <w:rFonts w:ascii="Arial" w:hAnsi="Arial" w:cs="Arial"/>
          <w:sz w:val="20"/>
          <w:szCs w:val="20"/>
          <w:lang w:val="en-CA"/>
        </w:rPr>
        <w:t xml:space="preserve"> HIPAA compliant Electronic Health Record system and patient management portal</w:t>
      </w:r>
      <w:r>
        <w:rPr>
          <w:rFonts w:ascii="Arial" w:hAnsi="Arial" w:cs="Arial"/>
          <w:sz w:val="20"/>
          <w:szCs w:val="20"/>
          <w:lang w:val="en-CA"/>
        </w:rPr>
        <w:t>. It provides improved management of patients while improving the ability of our doctors, admins and staff to treat and serve patients needs. The t</w:t>
      </w:r>
      <w:r w:rsidRPr="00DF5FF5">
        <w:rPr>
          <w:rFonts w:ascii="Arial" w:hAnsi="Arial" w:cs="Arial"/>
          <w:sz w:val="20"/>
          <w:szCs w:val="20"/>
          <w:lang w:val="en-CA"/>
        </w:rPr>
        <w:t xml:space="preserve">ele-medicine platform </w:t>
      </w:r>
      <w:r>
        <w:rPr>
          <w:rFonts w:ascii="Arial" w:hAnsi="Arial" w:cs="Arial"/>
          <w:sz w:val="20"/>
          <w:szCs w:val="20"/>
          <w:lang w:val="en-CA"/>
        </w:rPr>
        <w:t>allows patients to register and select an appointment time to conduct a private consultation with one of the physicians remotely through a secure video link, thereby extending the reach of our clinic operations beyond the physical clinic locations. We believe going forward, greater demand for professional consultations will evolve the service offering for Company owned clinics and for franchisees throughout our network.</w:t>
      </w:r>
    </w:p>
    <w:p w14:paraId="3B201F0F" w14:textId="77777777" w:rsidR="00E27B44" w:rsidRDefault="00E27B44" w:rsidP="00E27B44">
      <w:pPr>
        <w:spacing w:after="0"/>
        <w:jc w:val="both"/>
        <w:rPr>
          <w:rFonts w:ascii="Arial" w:hAnsi="Arial" w:cs="Arial"/>
          <w:sz w:val="20"/>
          <w:szCs w:val="20"/>
          <w:lang w:val="en-CA"/>
        </w:rPr>
      </w:pPr>
    </w:p>
    <w:p w14:paraId="5D987E9D" w14:textId="77777777" w:rsidR="00652F1A" w:rsidRDefault="00652F1A" w:rsidP="00E27B44">
      <w:pPr>
        <w:spacing w:after="0"/>
        <w:jc w:val="both"/>
        <w:rPr>
          <w:rFonts w:ascii="Arial" w:hAnsi="Arial" w:cs="Arial"/>
          <w:sz w:val="20"/>
          <w:szCs w:val="20"/>
          <w:lang w:val="en-CA"/>
        </w:rPr>
      </w:pPr>
    </w:p>
    <w:p w14:paraId="70D397A4" w14:textId="77777777" w:rsidR="00652F1A" w:rsidRDefault="00652F1A" w:rsidP="00E27B44">
      <w:pPr>
        <w:spacing w:after="0"/>
        <w:jc w:val="both"/>
        <w:rPr>
          <w:rFonts w:ascii="Arial" w:hAnsi="Arial" w:cs="Arial"/>
          <w:sz w:val="20"/>
          <w:szCs w:val="20"/>
          <w:lang w:val="en-CA"/>
        </w:rPr>
      </w:pPr>
    </w:p>
    <w:p w14:paraId="7E2F03C8" w14:textId="77777777" w:rsidR="00652F1A" w:rsidRDefault="00652F1A" w:rsidP="00E27B44">
      <w:pPr>
        <w:spacing w:after="0"/>
        <w:jc w:val="both"/>
        <w:rPr>
          <w:rFonts w:ascii="Arial" w:hAnsi="Arial" w:cs="Arial"/>
          <w:sz w:val="20"/>
          <w:szCs w:val="20"/>
          <w:lang w:val="en-CA"/>
        </w:rPr>
      </w:pPr>
    </w:p>
    <w:p w14:paraId="5A545C10" w14:textId="006D5A54" w:rsidR="00E27B44" w:rsidRPr="00DF5FF5" w:rsidRDefault="00E27B44" w:rsidP="00E27B44">
      <w:pPr>
        <w:spacing w:after="0"/>
        <w:jc w:val="both"/>
        <w:rPr>
          <w:rFonts w:ascii="Arial" w:hAnsi="Arial" w:cs="Arial"/>
          <w:sz w:val="20"/>
          <w:szCs w:val="20"/>
          <w:lang w:val="en-CA"/>
        </w:rPr>
      </w:pPr>
      <w:r w:rsidRPr="00DF5FF5">
        <w:rPr>
          <w:rFonts w:ascii="Arial" w:hAnsi="Arial" w:cs="Arial"/>
          <w:sz w:val="20"/>
          <w:szCs w:val="20"/>
          <w:lang w:val="en-CA"/>
        </w:rPr>
        <w:t>E-commerce platform</w:t>
      </w:r>
      <w:r>
        <w:rPr>
          <w:rFonts w:ascii="Arial" w:hAnsi="Arial" w:cs="Arial"/>
          <w:sz w:val="20"/>
          <w:szCs w:val="20"/>
          <w:lang w:val="en-CA"/>
        </w:rPr>
        <w:t>s</w:t>
      </w:r>
      <w:r w:rsidRPr="00DF5FF5">
        <w:rPr>
          <w:rFonts w:ascii="Arial" w:hAnsi="Arial" w:cs="Arial"/>
          <w:sz w:val="20"/>
          <w:szCs w:val="20"/>
          <w:lang w:val="en-CA"/>
        </w:rPr>
        <w:t xml:space="preserve"> for Sollievo an</w:t>
      </w:r>
      <w:r>
        <w:rPr>
          <w:rFonts w:ascii="Arial" w:hAnsi="Arial" w:cs="Arial"/>
          <w:sz w:val="20"/>
          <w:szCs w:val="20"/>
          <w:lang w:val="en-CA"/>
        </w:rPr>
        <w:t>d Sun Valley CBD product l</w:t>
      </w:r>
      <w:r w:rsidRPr="00DF5FF5">
        <w:rPr>
          <w:rFonts w:ascii="Arial" w:hAnsi="Arial" w:cs="Arial"/>
          <w:sz w:val="20"/>
          <w:szCs w:val="20"/>
          <w:lang w:val="en-CA"/>
        </w:rPr>
        <w:t>ines</w:t>
      </w:r>
      <w:r>
        <w:rPr>
          <w:rFonts w:ascii="Arial" w:hAnsi="Arial" w:cs="Arial"/>
          <w:sz w:val="20"/>
          <w:szCs w:val="20"/>
          <w:lang w:val="en-CA"/>
        </w:rPr>
        <w:t xml:space="preserve"> present a developing opportunity for the Company and our network of future franchise partners. </w:t>
      </w:r>
      <w:r w:rsidRPr="003B0546">
        <w:rPr>
          <w:rFonts w:ascii="Arial" w:hAnsi="Arial" w:cs="Arial"/>
          <w:sz w:val="20"/>
          <w:szCs w:val="20"/>
        </w:rPr>
        <w:t xml:space="preserve">The passing in the United States of the US$867 billion </w:t>
      </w:r>
      <w:r w:rsidRPr="003B0546">
        <w:rPr>
          <w:rFonts w:ascii="Arial" w:hAnsi="Arial" w:cs="Arial"/>
          <w:i/>
          <w:sz w:val="20"/>
          <w:szCs w:val="20"/>
        </w:rPr>
        <w:t xml:space="preserve">Agriculture Improvement Act </w:t>
      </w:r>
      <w:r w:rsidRPr="003B0546">
        <w:rPr>
          <w:rFonts w:ascii="Arial" w:hAnsi="Arial" w:cs="Arial"/>
          <w:sz w:val="20"/>
          <w:szCs w:val="20"/>
        </w:rPr>
        <w:t>has legalized hemp and hemp-based products. This has created an opportunity for the production and sale of a variety of CBD-based products that can provide genuine help and effective relief to millions of people suffering from a variety of qualifying conditions. Recent reports and studies indicate the approval of the Farm Bill could create a US$20 billion industry by 2022.</w:t>
      </w:r>
      <w:r w:rsidRPr="00DF5FF5">
        <w:rPr>
          <w:rFonts w:ascii="Arial" w:hAnsi="Arial" w:cs="Arial"/>
          <w:sz w:val="20"/>
          <w:szCs w:val="20"/>
          <w:lang w:val="en-CA"/>
        </w:rPr>
        <w:t xml:space="preserve"> </w:t>
      </w:r>
      <w:r>
        <w:rPr>
          <w:rFonts w:ascii="Arial" w:hAnsi="Arial" w:cs="Arial"/>
          <w:sz w:val="20"/>
          <w:szCs w:val="20"/>
          <w:lang w:val="en-CA"/>
        </w:rPr>
        <w:t>Online distribution channels supported by strong social media presence, influencer strategies and the ability to reach a wide-array of consumers, will provide the Company new growth opportunities with greater overall brand awareness.</w:t>
      </w:r>
    </w:p>
    <w:p w14:paraId="715CB4F1" w14:textId="77777777" w:rsidR="00E27B44" w:rsidRDefault="00E27B44" w:rsidP="00E27B44">
      <w:pPr>
        <w:spacing w:after="0"/>
        <w:jc w:val="both"/>
        <w:rPr>
          <w:rFonts w:ascii="Arial" w:hAnsi="Arial" w:cs="Arial"/>
          <w:sz w:val="20"/>
          <w:szCs w:val="20"/>
          <w:lang w:val="en-CA"/>
        </w:rPr>
      </w:pPr>
    </w:p>
    <w:p w14:paraId="0C96674F" w14:textId="77777777" w:rsidR="00E27B44" w:rsidRDefault="00E27B44" w:rsidP="00E27B44">
      <w:pPr>
        <w:spacing w:after="0"/>
        <w:jc w:val="both"/>
        <w:rPr>
          <w:rFonts w:ascii="Arial" w:hAnsi="Arial" w:cs="Arial"/>
          <w:sz w:val="20"/>
          <w:szCs w:val="20"/>
          <w:lang w:val="en-CA"/>
        </w:rPr>
      </w:pPr>
      <w:r w:rsidRPr="00F772B5">
        <w:rPr>
          <w:rFonts w:ascii="Arial" w:hAnsi="Arial" w:cs="Arial"/>
          <w:sz w:val="20"/>
          <w:szCs w:val="20"/>
          <w:lang w:val="en-CA"/>
        </w:rPr>
        <w:t>Empower will open its first CBD extraction facility in</w:t>
      </w:r>
      <w:r>
        <w:rPr>
          <w:rFonts w:ascii="Arial" w:hAnsi="Arial" w:cs="Arial"/>
          <w:sz w:val="20"/>
          <w:szCs w:val="20"/>
          <w:lang w:val="en-CA"/>
        </w:rPr>
        <w:t xml:space="preserve"> greater </w:t>
      </w:r>
      <w:r w:rsidRPr="00F772B5">
        <w:rPr>
          <w:rFonts w:ascii="Arial" w:hAnsi="Arial" w:cs="Arial"/>
          <w:sz w:val="20"/>
          <w:szCs w:val="20"/>
          <w:lang w:val="en-CA"/>
        </w:rPr>
        <w:t xml:space="preserve">Portland, Oregon </w:t>
      </w:r>
      <w:r>
        <w:rPr>
          <w:rFonts w:ascii="Arial" w:hAnsi="Arial" w:cs="Arial"/>
          <w:sz w:val="20"/>
          <w:szCs w:val="20"/>
          <w:lang w:val="en-CA"/>
        </w:rPr>
        <w:t xml:space="preserve">taking possession June 1, 2019 then we will immediately commence the build-out of a new </w:t>
      </w:r>
      <w:r w:rsidRPr="00F772B5">
        <w:rPr>
          <w:rFonts w:ascii="Arial" w:hAnsi="Arial" w:cs="Arial"/>
          <w:sz w:val="20"/>
          <w:szCs w:val="20"/>
          <w:lang w:val="en-CA"/>
        </w:rPr>
        <w:t xml:space="preserve">5,000 square foot leased building </w:t>
      </w:r>
      <w:r>
        <w:rPr>
          <w:rFonts w:ascii="Arial" w:hAnsi="Arial" w:cs="Arial"/>
          <w:sz w:val="20"/>
          <w:szCs w:val="20"/>
          <w:lang w:val="en-CA"/>
        </w:rPr>
        <w:t xml:space="preserve">to contain the </w:t>
      </w:r>
      <w:r w:rsidRPr="00F772B5">
        <w:rPr>
          <w:rFonts w:ascii="Arial" w:hAnsi="Arial" w:cs="Arial"/>
          <w:sz w:val="20"/>
          <w:szCs w:val="20"/>
          <w:lang w:val="en-CA"/>
        </w:rPr>
        <w:t xml:space="preserve">first </w:t>
      </w:r>
      <w:r>
        <w:rPr>
          <w:rFonts w:ascii="Arial" w:hAnsi="Arial" w:cs="Arial"/>
          <w:sz w:val="20"/>
          <w:szCs w:val="20"/>
          <w:lang w:val="en-CA"/>
        </w:rPr>
        <w:t xml:space="preserve">operating </w:t>
      </w:r>
      <w:r w:rsidRPr="00F772B5">
        <w:rPr>
          <w:rFonts w:ascii="Arial" w:hAnsi="Arial" w:cs="Arial"/>
          <w:sz w:val="20"/>
          <w:szCs w:val="20"/>
          <w:lang w:val="en-CA"/>
        </w:rPr>
        <w:t>extraction system</w:t>
      </w:r>
      <w:r>
        <w:rPr>
          <w:rFonts w:ascii="Arial" w:hAnsi="Arial" w:cs="Arial"/>
          <w:sz w:val="20"/>
          <w:szCs w:val="20"/>
          <w:lang w:val="en-CA"/>
        </w:rPr>
        <w:t>s</w:t>
      </w:r>
      <w:r w:rsidRPr="00F772B5">
        <w:rPr>
          <w:rFonts w:ascii="Arial" w:hAnsi="Arial" w:cs="Arial"/>
          <w:sz w:val="20"/>
          <w:szCs w:val="20"/>
          <w:lang w:val="en-CA"/>
        </w:rPr>
        <w:t xml:space="preserve"> capable of producing </w:t>
      </w:r>
      <w:r>
        <w:rPr>
          <w:rFonts w:ascii="Arial" w:hAnsi="Arial" w:cs="Arial"/>
          <w:sz w:val="20"/>
          <w:szCs w:val="20"/>
          <w:lang w:val="en-CA"/>
        </w:rPr>
        <w:t xml:space="preserve">up to </w:t>
      </w:r>
      <w:r w:rsidRPr="00F772B5">
        <w:rPr>
          <w:rFonts w:ascii="Arial" w:hAnsi="Arial" w:cs="Arial"/>
          <w:sz w:val="20"/>
          <w:szCs w:val="20"/>
          <w:lang w:val="en-CA"/>
        </w:rPr>
        <w:t xml:space="preserve">20kg per day of </w:t>
      </w:r>
      <w:r>
        <w:rPr>
          <w:rFonts w:ascii="Arial" w:hAnsi="Arial" w:cs="Arial"/>
          <w:sz w:val="20"/>
          <w:szCs w:val="20"/>
          <w:lang w:val="en-CA"/>
        </w:rPr>
        <w:t>high quality</w:t>
      </w:r>
      <w:r w:rsidRPr="00F772B5">
        <w:rPr>
          <w:rFonts w:ascii="Arial" w:hAnsi="Arial" w:cs="Arial"/>
          <w:sz w:val="20"/>
          <w:szCs w:val="20"/>
          <w:lang w:val="en-CA"/>
        </w:rPr>
        <w:t xml:space="preserve"> spectrum oil, isolate </w:t>
      </w:r>
      <w:r>
        <w:rPr>
          <w:rFonts w:ascii="Arial" w:hAnsi="Arial" w:cs="Arial"/>
          <w:sz w:val="20"/>
          <w:szCs w:val="20"/>
          <w:lang w:val="en-CA"/>
        </w:rPr>
        <w:t>and/</w:t>
      </w:r>
      <w:r w:rsidRPr="00F772B5">
        <w:rPr>
          <w:rFonts w:ascii="Arial" w:hAnsi="Arial" w:cs="Arial"/>
          <w:sz w:val="20"/>
          <w:szCs w:val="20"/>
          <w:lang w:val="en-CA"/>
        </w:rPr>
        <w:t>or distillate</w:t>
      </w:r>
      <w:r>
        <w:rPr>
          <w:rFonts w:ascii="Arial" w:hAnsi="Arial" w:cs="Arial"/>
          <w:sz w:val="20"/>
          <w:szCs w:val="20"/>
          <w:lang w:val="en-CA"/>
        </w:rPr>
        <w:t>.</w:t>
      </w:r>
      <w:r w:rsidRPr="00F772B5">
        <w:rPr>
          <w:rFonts w:ascii="Arial" w:hAnsi="Arial" w:cs="Arial"/>
          <w:sz w:val="20"/>
          <w:szCs w:val="20"/>
          <w:lang w:val="en-CA"/>
        </w:rPr>
        <w:t xml:space="preserve"> </w:t>
      </w:r>
      <w:r>
        <w:rPr>
          <w:rFonts w:ascii="Arial" w:hAnsi="Arial" w:cs="Arial"/>
          <w:sz w:val="20"/>
          <w:szCs w:val="20"/>
          <w:lang w:val="en-CA"/>
        </w:rPr>
        <w:t>The facility is strategically located in the agricultural plains of Mt. Hood, Oregon with over 200 licenced hemp farms in the neighbouring counties. Over time, the facility has the potential to be scaled to add multiple extraction, post-production and product manufacturing systems.</w:t>
      </w:r>
    </w:p>
    <w:p w14:paraId="48B9B9AD" w14:textId="77777777"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p>
    <w:p w14:paraId="1814F3E6" w14:textId="77777777" w:rsidR="00E27B44" w:rsidRPr="00954E48" w:rsidRDefault="00E27B44" w:rsidP="00E27B44">
      <w:pPr>
        <w:pStyle w:val="NormalWeb"/>
        <w:pBdr>
          <w:bottom w:val="single" w:sz="12" w:space="1" w:color="auto"/>
        </w:pBdr>
        <w:spacing w:before="0" w:beforeAutospacing="0" w:after="0" w:afterAutospacing="0"/>
        <w:ind w:right="-101"/>
        <w:rPr>
          <w:rFonts w:ascii="Arial" w:hAnsi="Arial" w:cs="Arial"/>
          <w:b/>
          <w:color w:val="FF0000"/>
          <w:sz w:val="20"/>
          <w:szCs w:val="20"/>
        </w:rPr>
      </w:pPr>
      <w:r w:rsidRPr="00954E48">
        <w:rPr>
          <w:rFonts w:ascii="Arial" w:hAnsi="Arial" w:cs="Arial"/>
          <w:b/>
          <w:sz w:val="20"/>
          <w:szCs w:val="20"/>
        </w:rPr>
        <w:t>OUTLOOK</w:t>
      </w:r>
      <w:r>
        <w:rPr>
          <w:rFonts w:ascii="Arial" w:hAnsi="Arial" w:cs="Arial"/>
          <w:b/>
          <w:sz w:val="20"/>
          <w:szCs w:val="20"/>
        </w:rPr>
        <w:t xml:space="preserve"> </w:t>
      </w:r>
    </w:p>
    <w:p w14:paraId="76DD6E0E" w14:textId="77777777" w:rsidR="00E27B44" w:rsidRDefault="00E27B44" w:rsidP="00E27B44">
      <w:pPr>
        <w:spacing w:after="0"/>
      </w:pPr>
    </w:p>
    <w:p w14:paraId="27D4156F" w14:textId="03BF5DEF" w:rsidR="00E27B44" w:rsidRDefault="00E27B44" w:rsidP="00E27B44">
      <w:pPr>
        <w:spacing w:after="0"/>
        <w:jc w:val="both"/>
        <w:rPr>
          <w:rFonts w:ascii="Arial" w:hAnsi="Arial" w:cs="Arial"/>
          <w:sz w:val="20"/>
          <w:szCs w:val="20"/>
        </w:rPr>
      </w:pPr>
      <w:r w:rsidRPr="00C90A0A">
        <w:rPr>
          <w:rFonts w:ascii="Arial" w:hAnsi="Arial" w:cs="Arial"/>
          <w:sz w:val="20"/>
          <w:szCs w:val="20"/>
        </w:rPr>
        <w:t xml:space="preserve">The Company </w:t>
      </w:r>
      <w:r>
        <w:rPr>
          <w:rFonts w:ascii="Arial" w:hAnsi="Arial" w:cs="Arial"/>
          <w:sz w:val="20"/>
          <w:szCs w:val="20"/>
        </w:rPr>
        <w:t>will continue</w:t>
      </w:r>
      <w:r w:rsidRPr="00C90A0A">
        <w:rPr>
          <w:rFonts w:ascii="Arial" w:hAnsi="Arial" w:cs="Arial"/>
          <w:sz w:val="20"/>
          <w:szCs w:val="20"/>
        </w:rPr>
        <w:t xml:space="preserve"> to be active and opportunistic with respect to mergers and acquisitions</w:t>
      </w:r>
      <w:r>
        <w:rPr>
          <w:rFonts w:ascii="Arial" w:hAnsi="Arial" w:cs="Arial"/>
          <w:sz w:val="20"/>
          <w:szCs w:val="20"/>
        </w:rPr>
        <w:t xml:space="preserve"> opportunities</w:t>
      </w:r>
      <w:r w:rsidRPr="00C90A0A">
        <w:rPr>
          <w:rFonts w:ascii="Arial" w:hAnsi="Arial" w:cs="Arial"/>
          <w:sz w:val="20"/>
          <w:szCs w:val="20"/>
        </w:rPr>
        <w:t xml:space="preserve">, </w:t>
      </w:r>
      <w:r>
        <w:rPr>
          <w:rFonts w:ascii="Arial" w:hAnsi="Arial" w:cs="Arial"/>
          <w:sz w:val="20"/>
          <w:szCs w:val="20"/>
        </w:rPr>
        <w:t>with the goal of advancing</w:t>
      </w:r>
      <w:r w:rsidRPr="00C90A0A">
        <w:rPr>
          <w:rFonts w:ascii="Arial" w:hAnsi="Arial" w:cs="Arial"/>
          <w:sz w:val="20"/>
          <w:szCs w:val="20"/>
        </w:rPr>
        <w:t xml:space="preserve"> its business plan </w:t>
      </w:r>
      <w:r>
        <w:rPr>
          <w:rFonts w:ascii="Arial" w:hAnsi="Arial" w:cs="Arial"/>
          <w:sz w:val="20"/>
          <w:szCs w:val="20"/>
        </w:rPr>
        <w:t>and to</w:t>
      </w:r>
      <w:r w:rsidRPr="00C90A0A">
        <w:rPr>
          <w:rFonts w:ascii="Arial" w:hAnsi="Arial" w:cs="Arial"/>
          <w:sz w:val="20"/>
          <w:szCs w:val="20"/>
        </w:rPr>
        <w:t xml:space="preserve"> increase shareholder value where possible. Additionally, the Company may seek to acquire third party channel partners to increase its patient base, margin per patient, and to increase shareholder value through the accretion of these operations and/or assets. </w:t>
      </w:r>
    </w:p>
    <w:p w14:paraId="689EFEAA" w14:textId="77777777" w:rsidR="00A976E9" w:rsidRDefault="00A976E9" w:rsidP="00E27B44">
      <w:pPr>
        <w:spacing w:after="0"/>
        <w:jc w:val="both"/>
        <w:rPr>
          <w:rFonts w:ascii="Arial" w:hAnsi="Arial" w:cs="Arial"/>
          <w:sz w:val="20"/>
          <w:szCs w:val="20"/>
        </w:rPr>
      </w:pPr>
    </w:p>
    <w:p w14:paraId="369C9D58" w14:textId="77777777" w:rsidR="00A976E9" w:rsidRDefault="00A976E9" w:rsidP="00A976E9">
      <w:pPr>
        <w:spacing w:after="0"/>
        <w:jc w:val="both"/>
        <w:rPr>
          <w:rFonts w:ascii="Arial" w:hAnsi="Arial" w:cs="Arial"/>
          <w:sz w:val="20"/>
          <w:szCs w:val="20"/>
        </w:rPr>
      </w:pPr>
      <w:r>
        <w:rPr>
          <w:rFonts w:ascii="Arial" w:hAnsi="Arial" w:cs="Arial"/>
          <w:sz w:val="20"/>
          <w:szCs w:val="20"/>
        </w:rPr>
        <w:t>The Company is in active discussions to secure hemp bio-mass supply agreements from licensed producers in Oregon and Arizona with the objectives of locking in raw material supply agreements to support the new extraction facilities.</w:t>
      </w:r>
    </w:p>
    <w:p w14:paraId="314D0DCA" w14:textId="77777777" w:rsidR="00A976E9" w:rsidRDefault="00A976E9" w:rsidP="00A976E9">
      <w:pPr>
        <w:spacing w:after="0"/>
        <w:jc w:val="both"/>
        <w:rPr>
          <w:rFonts w:ascii="Arial" w:hAnsi="Arial" w:cs="Arial"/>
          <w:sz w:val="20"/>
          <w:szCs w:val="20"/>
        </w:rPr>
      </w:pPr>
    </w:p>
    <w:p w14:paraId="7416C988" w14:textId="77777777" w:rsidR="00A976E9" w:rsidRDefault="00A976E9" w:rsidP="00A976E9">
      <w:pPr>
        <w:spacing w:after="0"/>
        <w:jc w:val="both"/>
        <w:rPr>
          <w:rFonts w:ascii="Arial" w:hAnsi="Arial" w:cs="Arial"/>
          <w:sz w:val="20"/>
          <w:szCs w:val="20"/>
        </w:rPr>
      </w:pPr>
      <w:r>
        <w:rPr>
          <w:rFonts w:ascii="Arial" w:hAnsi="Arial" w:cs="Arial"/>
          <w:sz w:val="20"/>
          <w:szCs w:val="20"/>
        </w:rPr>
        <w:t>In addition, the Company is in active discussion with various product brands, brokers and retail sales outlet to secure short and long term sales contracts to support the revenue growth objectives for our hemp-derived CBD extract and CBD based products.</w:t>
      </w:r>
    </w:p>
    <w:p w14:paraId="0E471107" w14:textId="0427095E" w:rsidR="00E27B44" w:rsidRDefault="00E27B44" w:rsidP="00E27B44">
      <w:pPr>
        <w:spacing w:after="0"/>
        <w:jc w:val="both"/>
        <w:rPr>
          <w:rFonts w:ascii="Arial" w:hAnsi="Arial" w:cs="Arial"/>
          <w:sz w:val="20"/>
          <w:szCs w:val="20"/>
        </w:rPr>
      </w:pPr>
      <w:r>
        <w:rPr>
          <w:rFonts w:ascii="Arial" w:hAnsi="Arial" w:cs="Arial"/>
          <w:sz w:val="20"/>
          <w:szCs w:val="20"/>
        </w:rPr>
        <w:br/>
      </w:r>
      <w:r w:rsidRPr="00C90A0A">
        <w:rPr>
          <w:rFonts w:ascii="Arial" w:hAnsi="Arial" w:cs="Arial"/>
          <w:sz w:val="20"/>
          <w:szCs w:val="20"/>
        </w:rPr>
        <w:t xml:space="preserve">Currently, the market for both clinics and </w:t>
      </w:r>
      <w:r>
        <w:rPr>
          <w:rFonts w:ascii="Arial" w:hAnsi="Arial" w:cs="Arial"/>
          <w:sz w:val="20"/>
          <w:szCs w:val="20"/>
        </w:rPr>
        <w:t>CBD based</w:t>
      </w:r>
      <w:r w:rsidRPr="00C90A0A">
        <w:rPr>
          <w:rFonts w:ascii="Arial" w:hAnsi="Arial" w:cs="Arial"/>
          <w:sz w:val="20"/>
          <w:szCs w:val="20"/>
        </w:rPr>
        <w:t xml:space="preserve"> products in the United States remains highly fragmented with very few nationwide competitors. The Company seeks to take advantage of this by using its capital</w:t>
      </w:r>
      <w:r>
        <w:rPr>
          <w:rFonts w:ascii="Arial" w:hAnsi="Arial" w:cs="Arial"/>
          <w:sz w:val="20"/>
          <w:szCs w:val="20"/>
        </w:rPr>
        <w:t>-light</w:t>
      </w:r>
      <w:r w:rsidRPr="00C90A0A">
        <w:rPr>
          <w:rFonts w:ascii="Arial" w:hAnsi="Arial" w:cs="Arial"/>
          <w:sz w:val="20"/>
          <w:szCs w:val="20"/>
        </w:rPr>
        <w:t xml:space="preserve"> expenditure model </w:t>
      </w:r>
      <w:r>
        <w:rPr>
          <w:rFonts w:ascii="Arial" w:hAnsi="Arial" w:cs="Arial"/>
          <w:sz w:val="20"/>
          <w:szCs w:val="20"/>
        </w:rPr>
        <w:t>to open</w:t>
      </w:r>
      <w:r w:rsidRPr="00C90A0A">
        <w:rPr>
          <w:rFonts w:ascii="Arial" w:hAnsi="Arial" w:cs="Arial"/>
          <w:sz w:val="20"/>
          <w:szCs w:val="20"/>
        </w:rPr>
        <w:t xml:space="preserve"> </w:t>
      </w:r>
      <w:r>
        <w:rPr>
          <w:rFonts w:ascii="Arial" w:hAnsi="Arial" w:cs="Arial"/>
          <w:sz w:val="20"/>
          <w:szCs w:val="20"/>
        </w:rPr>
        <w:t xml:space="preserve">franchised </w:t>
      </w:r>
      <w:r w:rsidRPr="00C90A0A">
        <w:rPr>
          <w:rFonts w:ascii="Arial" w:hAnsi="Arial" w:cs="Arial"/>
          <w:sz w:val="20"/>
          <w:szCs w:val="20"/>
        </w:rPr>
        <w:t>clinics, to create highly valuable patient relationships</w:t>
      </w:r>
      <w:r>
        <w:rPr>
          <w:rFonts w:ascii="Arial" w:hAnsi="Arial" w:cs="Arial"/>
          <w:sz w:val="20"/>
          <w:szCs w:val="20"/>
        </w:rPr>
        <w:t xml:space="preserve"> in new markets, further develop a wide-array of CBD formulations and product lines for nationwide distribution and own and operate hemp-derived CBD extraction facilities with the first location secured in Sandy, Oregon strategically located in the S.W. region of Portland, Oregon surrounded by over 200 hemp farms. </w:t>
      </w:r>
    </w:p>
    <w:p w14:paraId="00C2BC30" w14:textId="77777777" w:rsidR="00652F1A" w:rsidRPr="00C90A0A" w:rsidRDefault="00652F1A" w:rsidP="00E27B44">
      <w:pPr>
        <w:spacing w:after="0"/>
        <w:jc w:val="both"/>
        <w:rPr>
          <w:rFonts w:ascii="Arial" w:hAnsi="Arial" w:cs="Arial"/>
          <w:sz w:val="20"/>
          <w:szCs w:val="20"/>
        </w:rPr>
      </w:pPr>
    </w:p>
    <w:p w14:paraId="125AD67A"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325D7484"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60BC9346"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468A66C7"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77E4A999"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583D88F9"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1DD4CD4F"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123B0346"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1EB4D6F7"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5681B0A4" w14:textId="2D25D04D" w:rsidR="00954E48" w:rsidRPr="00954E48" w:rsidRDefault="00954E48" w:rsidP="00954E48">
      <w:pPr>
        <w:pStyle w:val="NormalWeb"/>
        <w:pBdr>
          <w:bottom w:val="single" w:sz="12" w:space="1" w:color="auto"/>
        </w:pBdr>
        <w:spacing w:before="0" w:beforeAutospacing="0" w:after="0" w:afterAutospacing="0"/>
        <w:ind w:right="-101"/>
        <w:rPr>
          <w:rFonts w:ascii="Arial" w:hAnsi="Arial" w:cs="Arial"/>
          <w:b/>
          <w:sz w:val="20"/>
          <w:szCs w:val="20"/>
        </w:rPr>
      </w:pPr>
      <w:r w:rsidRPr="00954E48">
        <w:rPr>
          <w:rFonts w:ascii="Arial" w:hAnsi="Arial" w:cs="Arial"/>
          <w:b/>
          <w:sz w:val="20"/>
          <w:szCs w:val="20"/>
        </w:rPr>
        <w:t>REVIEW OF QUARTERLY RESULTS</w:t>
      </w:r>
    </w:p>
    <w:p w14:paraId="4A642A8C" w14:textId="77777777" w:rsidR="009E0B8F" w:rsidRDefault="009E0B8F" w:rsidP="00743A78">
      <w:pPr>
        <w:spacing w:after="0"/>
        <w:jc w:val="both"/>
        <w:rPr>
          <w:rFonts w:ascii="Arial" w:hAnsi="Arial" w:cs="Arial"/>
          <w:sz w:val="20"/>
          <w:szCs w:val="20"/>
        </w:rPr>
      </w:pPr>
    </w:p>
    <w:p w14:paraId="55002E08" w14:textId="4E662397" w:rsidR="00743A78" w:rsidRDefault="00743A78" w:rsidP="00743A78">
      <w:pPr>
        <w:spacing w:after="0"/>
        <w:jc w:val="both"/>
        <w:rPr>
          <w:rFonts w:ascii="Arial" w:hAnsi="Arial" w:cs="Arial"/>
          <w:sz w:val="20"/>
          <w:szCs w:val="20"/>
        </w:rPr>
      </w:pPr>
      <w:r w:rsidRPr="00743A78">
        <w:rPr>
          <w:rFonts w:ascii="Arial" w:hAnsi="Arial" w:cs="Arial"/>
          <w:sz w:val="20"/>
          <w:szCs w:val="20"/>
        </w:rPr>
        <w:t>Amounts presented in thousands except per share amounts:</w:t>
      </w:r>
    </w:p>
    <w:p w14:paraId="3F704361" w14:textId="77777777" w:rsidR="00372D83" w:rsidRPr="00743A78" w:rsidRDefault="00372D83" w:rsidP="00743A78">
      <w:pPr>
        <w:spacing w:after="0"/>
        <w:jc w:val="both"/>
        <w:rPr>
          <w:rFonts w:ascii="Arial" w:hAnsi="Arial" w:cs="Arial"/>
          <w:sz w:val="20"/>
          <w:szCs w:val="20"/>
        </w:rPr>
      </w:pPr>
    </w:p>
    <w:tbl>
      <w:tblPr>
        <w:tblStyle w:val="TableGrid"/>
        <w:tblW w:w="9568" w:type="dxa"/>
        <w:tblInd w:w="-5" w:type="dxa"/>
        <w:tblLayout w:type="fixed"/>
        <w:tblLook w:val="04A0" w:firstRow="1" w:lastRow="0" w:firstColumn="1" w:lastColumn="0" w:noHBand="0" w:noVBand="1"/>
      </w:tblPr>
      <w:tblGrid>
        <w:gridCol w:w="1727"/>
        <w:gridCol w:w="784"/>
        <w:gridCol w:w="784"/>
        <w:gridCol w:w="784"/>
        <w:gridCol w:w="784"/>
        <w:gridCol w:w="784"/>
        <w:gridCol w:w="784"/>
        <w:gridCol w:w="784"/>
        <w:gridCol w:w="784"/>
        <w:gridCol w:w="784"/>
        <w:gridCol w:w="785"/>
      </w:tblGrid>
      <w:tr w:rsidR="009E0B8F" w14:paraId="1402EE78" w14:textId="77777777" w:rsidTr="009E0B8F">
        <w:tc>
          <w:tcPr>
            <w:tcW w:w="1727" w:type="dxa"/>
          </w:tcPr>
          <w:p w14:paraId="36C81C5C" w14:textId="77777777" w:rsidR="009E0B8F" w:rsidRPr="00731EA5" w:rsidRDefault="009E0B8F" w:rsidP="00C870E2">
            <w:pPr>
              <w:rPr>
                <w:rFonts w:ascii="Arial" w:hAnsi="Arial" w:cs="Arial"/>
                <w:sz w:val="17"/>
                <w:szCs w:val="17"/>
              </w:rPr>
            </w:pPr>
            <w:bookmarkStart w:id="2" w:name="_Hlk9498167"/>
          </w:p>
        </w:tc>
        <w:tc>
          <w:tcPr>
            <w:tcW w:w="784" w:type="dxa"/>
            <w:shd w:val="clear" w:color="auto" w:fill="D0CECE" w:themeFill="background2" w:themeFillShade="E6"/>
          </w:tcPr>
          <w:p w14:paraId="392DADB2" w14:textId="74554E92" w:rsidR="009E0B8F" w:rsidRPr="008F357A" w:rsidRDefault="009E0B8F" w:rsidP="00C870E2">
            <w:pPr>
              <w:jc w:val="right"/>
              <w:rPr>
                <w:rFonts w:ascii="Arial" w:hAnsi="Arial" w:cs="Arial"/>
                <w:b/>
                <w:sz w:val="17"/>
                <w:szCs w:val="17"/>
              </w:rPr>
            </w:pPr>
            <w:r w:rsidRPr="008F357A">
              <w:rPr>
                <w:rFonts w:ascii="Arial" w:hAnsi="Arial" w:cs="Arial"/>
                <w:b/>
                <w:sz w:val="17"/>
                <w:szCs w:val="17"/>
              </w:rPr>
              <w:t>Q1 2019</w:t>
            </w:r>
          </w:p>
        </w:tc>
        <w:tc>
          <w:tcPr>
            <w:tcW w:w="784" w:type="dxa"/>
            <w:shd w:val="clear" w:color="auto" w:fill="FFFFFF" w:themeFill="background1"/>
            <w:vAlign w:val="bottom"/>
          </w:tcPr>
          <w:p w14:paraId="35F4C260" w14:textId="6960947F" w:rsidR="009E0B8F" w:rsidRPr="00770FCE" w:rsidRDefault="009E0B8F" w:rsidP="00C870E2">
            <w:pPr>
              <w:jc w:val="right"/>
              <w:rPr>
                <w:rFonts w:ascii="Arial" w:hAnsi="Arial" w:cs="Arial"/>
                <w:sz w:val="17"/>
                <w:szCs w:val="17"/>
              </w:rPr>
            </w:pPr>
            <w:r w:rsidRPr="00770FCE">
              <w:rPr>
                <w:rFonts w:ascii="Arial" w:hAnsi="Arial" w:cs="Arial"/>
                <w:sz w:val="17"/>
                <w:szCs w:val="17"/>
              </w:rPr>
              <w:t>Q4 2018</w:t>
            </w:r>
          </w:p>
        </w:tc>
        <w:tc>
          <w:tcPr>
            <w:tcW w:w="784" w:type="dxa"/>
            <w:vAlign w:val="bottom"/>
          </w:tcPr>
          <w:p w14:paraId="09D1A542" w14:textId="522B377E" w:rsidR="009E0B8F" w:rsidRPr="00731EA5" w:rsidRDefault="009E0B8F" w:rsidP="00C870E2">
            <w:pPr>
              <w:jc w:val="right"/>
              <w:rPr>
                <w:rFonts w:ascii="Arial" w:hAnsi="Arial" w:cs="Arial"/>
                <w:sz w:val="17"/>
                <w:szCs w:val="17"/>
              </w:rPr>
            </w:pPr>
            <w:r w:rsidRPr="00731EA5">
              <w:rPr>
                <w:rFonts w:ascii="Arial" w:hAnsi="Arial" w:cs="Arial"/>
                <w:sz w:val="17"/>
                <w:szCs w:val="17"/>
              </w:rPr>
              <w:t>Q3 2018</w:t>
            </w:r>
          </w:p>
        </w:tc>
        <w:tc>
          <w:tcPr>
            <w:tcW w:w="784" w:type="dxa"/>
            <w:vAlign w:val="bottom"/>
          </w:tcPr>
          <w:p w14:paraId="4ABD9A49" w14:textId="42744D73" w:rsidR="009E0B8F" w:rsidRPr="00731EA5" w:rsidRDefault="009E0B8F" w:rsidP="00C870E2">
            <w:pPr>
              <w:jc w:val="right"/>
              <w:rPr>
                <w:rFonts w:ascii="Arial" w:hAnsi="Arial" w:cs="Arial"/>
                <w:sz w:val="17"/>
                <w:szCs w:val="17"/>
              </w:rPr>
            </w:pPr>
            <w:r w:rsidRPr="00731EA5">
              <w:rPr>
                <w:rFonts w:ascii="Arial" w:hAnsi="Arial" w:cs="Arial"/>
                <w:sz w:val="17"/>
                <w:szCs w:val="17"/>
              </w:rPr>
              <w:t>Q2 2018</w:t>
            </w:r>
          </w:p>
        </w:tc>
        <w:tc>
          <w:tcPr>
            <w:tcW w:w="784" w:type="dxa"/>
            <w:vAlign w:val="bottom"/>
          </w:tcPr>
          <w:p w14:paraId="66D4BD08" w14:textId="1E047077" w:rsidR="009E0B8F" w:rsidRPr="00731EA5" w:rsidRDefault="009E0B8F" w:rsidP="00C870E2">
            <w:pPr>
              <w:jc w:val="right"/>
              <w:rPr>
                <w:rFonts w:ascii="Arial" w:hAnsi="Arial" w:cs="Arial"/>
                <w:sz w:val="17"/>
                <w:szCs w:val="17"/>
              </w:rPr>
            </w:pPr>
            <w:r w:rsidRPr="00731EA5">
              <w:rPr>
                <w:rFonts w:ascii="Arial" w:hAnsi="Arial" w:cs="Arial"/>
                <w:sz w:val="17"/>
                <w:szCs w:val="17"/>
              </w:rPr>
              <w:t>Q1 2018</w:t>
            </w:r>
          </w:p>
        </w:tc>
        <w:tc>
          <w:tcPr>
            <w:tcW w:w="784" w:type="dxa"/>
            <w:vAlign w:val="bottom"/>
          </w:tcPr>
          <w:p w14:paraId="0A64C5EF" w14:textId="1ABFC846" w:rsidR="009E0B8F" w:rsidRPr="00731EA5" w:rsidRDefault="009E0B8F" w:rsidP="00C870E2">
            <w:pPr>
              <w:jc w:val="right"/>
              <w:rPr>
                <w:rFonts w:ascii="Arial" w:hAnsi="Arial" w:cs="Arial"/>
                <w:sz w:val="17"/>
                <w:szCs w:val="17"/>
              </w:rPr>
            </w:pPr>
            <w:r w:rsidRPr="00731EA5">
              <w:rPr>
                <w:rFonts w:ascii="Arial" w:hAnsi="Arial" w:cs="Arial"/>
                <w:sz w:val="17"/>
                <w:szCs w:val="17"/>
              </w:rPr>
              <w:t>Q4 2017</w:t>
            </w:r>
          </w:p>
        </w:tc>
        <w:tc>
          <w:tcPr>
            <w:tcW w:w="784" w:type="dxa"/>
            <w:vAlign w:val="bottom"/>
          </w:tcPr>
          <w:p w14:paraId="570A1620" w14:textId="33AD25CE" w:rsidR="009E0B8F" w:rsidRPr="00731EA5" w:rsidRDefault="009E0B8F" w:rsidP="00C870E2">
            <w:pPr>
              <w:jc w:val="right"/>
              <w:rPr>
                <w:rFonts w:ascii="Arial" w:hAnsi="Arial" w:cs="Arial"/>
                <w:sz w:val="17"/>
                <w:szCs w:val="17"/>
              </w:rPr>
            </w:pPr>
            <w:r w:rsidRPr="00731EA5">
              <w:rPr>
                <w:rFonts w:ascii="Arial" w:hAnsi="Arial" w:cs="Arial"/>
                <w:sz w:val="17"/>
                <w:szCs w:val="17"/>
              </w:rPr>
              <w:t>Q3 2017</w:t>
            </w:r>
          </w:p>
        </w:tc>
        <w:tc>
          <w:tcPr>
            <w:tcW w:w="784" w:type="dxa"/>
            <w:vAlign w:val="bottom"/>
          </w:tcPr>
          <w:p w14:paraId="38FF9B39" w14:textId="7AE074E7" w:rsidR="009E0B8F" w:rsidRPr="00731EA5" w:rsidRDefault="009E0B8F" w:rsidP="00C870E2">
            <w:pPr>
              <w:jc w:val="right"/>
              <w:rPr>
                <w:rFonts w:ascii="Arial" w:hAnsi="Arial" w:cs="Arial"/>
                <w:sz w:val="17"/>
                <w:szCs w:val="17"/>
              </w:rPr>
            </w:pPr>
            <w:r w:rsidRPr="00731EA5">
              <w:rPr>
                <w:rFonts w:ascii="Arial" w:hAnsi="Arial" w:cs="Arial"/>
                <w:sz w:val="17"/>
                <w:szCs w:val="17"/>
              </w:rPr>
              <w:t>Q2 2017</w:t>
            </w:r>
          </w:p>
        </w:tc>
        <w:tc>
          <w:tcPr>
            <w:tcW w:w="784" w:type="dxa"/>
            <w:shd w:val="clear" w:color="auto" w:fill="D0CECE" w:themeFill="background2" w:themeFillShade="E6"/>
            <w:vAlign w:val="bottom"/>
          </w:tcPr>
          <w:p w14:paraId="003C5E84" w14:textId="5BC4874F" w:rsidR="009E0B8F" w:rsidRPr="00731EA5" w:rsidRDefault="009E0B8F" w:rsidP="00C870E2">
            <w:pPr>
              <w:jc w:val="right"/>
              <w:rPr>
                <w:rFonts w:ascii="Arial" w:hAnsi="Arial" w:cs="Arial"/>
                <w:b/>
                <w:sz w:val="17"/>
                <w:szCs w:val="17"/>
              </w:rPr>
            </w:pPr>
            <w:r>
              <w:rPr>
                <w:rFonts w:ascii="Arial" w:hAnsi="Arial" w:cs="Arial"/>
                <w:b/>
                <w:sz w:val="17"/>
                <w:szCs w:val="17"/>
              </w:rPr>
              <w:t>YTD</w:t>
            </w:r>
          </w:p>
          <w:p w14:paraId="38C24056" w14:textId="7C7A2B86" w:rsidR="009E0B8F" w:rsidRPr="00731EA5" w:rsidRDefault="009E0B8F" w:rsidP="00C870E2">
            <w:pPr>
              <w:jc w:val="right"/>
              <w:rPr>
                <w:rFonts w:ascii="Arial" w:hAnsi="Arial" w:cs="Arial"/>
                <w:b/>
                <w:sz w:val="17"/>
                <w:szCs w:val="17"/>
              </w:rPr>
            </w:pPr>
            <w:r w:rsidRPr="00731EA5">
              <w:rPr>
                <w:rFonts w:ascii="Arial" w:hAnsi="Arial" w:cs="Arial"/>
                <w:b/>
                <w:sz w:val="17"/>
                <w:szCs w:val="17"/>
              </w:rPr>
              <w:t>201</w:t>
            </w:r>
            <w:r>
              <w:rPr>
                <w:rFonts w:ascii="Arial" w:hAnsi="Arial" w:cs="Arial"/>
                <w:b/>
                <w:sz w:val="17"/>
                <w:szCs w:val="17"/>
              </w:rPr>
              <w:t>9</w:t>
            </w:r>
          </w:p>
        </w:tc>
        <w:tc>
          <w:tcPr>
            <w:tcW w:w="785" w:type="dxa"/>
            <w:vAlign w:val="bottom"/>
          </w:tcPr>
          <w:p w14:paraId="6E10C356" w14:textId="5256F357" w:rsidR="009E0B8F" w:rsidRPr="00731EA5" w:rsidRDefault="00FD71F6" w:rsidP="00C870E2">
            <w:pPr>
              <w:jc w:val="right"/>
              <w:rPr>
                <w:rFonts w:ascii="Arial" w:hAnsi="Arial" w:cs="Arial"/>
                <w:sz w:val="17"/>
                <w:szCs w:val="17"/>
              </w:rPr>
            </w:pPr>
            <w:r>
              <w:rPr>
                <w:rFonts w:ascii="Arial" w:hAnsi="Arial" w:cs="Arial"/>
                <w:sz w:val="17"/>
                <w:szCs w:val="17"/>
              </w:rPr>
              <w:t>YTD</w:t>
            </w:r>
          </w:p>
          <w:p w14:paraId="0F2AEEA0" w14:textId="624FA1C5" w:rsidR="009E0B8F" w:rsidRPr="00731EA5" w:rsidRDefault="009E0B8F" w:rsidP="00C870E2">
            <w:pPr>
              <w:jc w:val="right"/>
              <w:rPr>
                <w:rFonts w:ascii="Arial" w:hAnsi="Arial" w:cs="Arial"/>
                <w:sz w:val="17"/>
                <w:szCs w:val="17"/>
              </w:rPr>
            </w:pPr>
            <w:r w:rsidRPr="00731EA5">
              <w:rPr>
                <w:rFonts w:ascii="Arial" w:hAnsi="Arial" w:cs="Arial"/>
                <w:sz w:val="17"/>
                <w:szCs w:val="17"/>
              </w:rPr>
              <w:t>201</w:t>
            </w:r>
            <w:r>
              <w:rPr>
                <w:rFonts w:ascii="Arial" w:hAnsi="Arial" w:cs="Arial"/>
                <w:sz w:val="17"/>
                <w:szCs w:val="17"/>
              </w:rPr>
              <w:t>8</w:t>
            </w:r>
          </w:p>
        </w:tc>
      </w:tr>
      <w:tr w:rsidR="009E0B8F" w14:paraId="06949BFD" w14:textId="77777777" w:rsidTr="009E0B8F">
        <w:tc>
          <w:tcPr>
            <w:tcW w:w="1727" w:type="dxa"/>
          </w:tcPr>
          <w:p w14:paraId="4F831DE0" w14:textId="6569B04E" w:rsidR="009E0B8F" w:rsidRPr="00731EA5" w:rsidRDefault="009E0B8F" w:rsidP="00136ADE">
            <w:pPr>
              <w:rPr>
                <w:rFonts w:ascii="Arial" w:hAnsi="Arial" w:cs="Arial"/>
                <w:b/>
                <w:sz w:val="17"/>
                <w:szCs w:val="17"/>
              </w:rPr>
            </w:pPr>
            <w:r w:rsidRPr="00731EA5">
              <w:rPr>
                <w:rFonts w:ascii="Arial" w:hAnsi="Arial" w:cs="Arial"/>
                <w:b/>
                <w:sz w:val="17"/>
                <w:szCs w:val="17"/>
              </w:rPr>
              <w:t>FINANCIAL RESULTS:</w:t>
            </w:r>
          </w:p>
        </w:tc>
        <w:tc>
          <w:tcPr>
            <w:tcW w:w="784" w:type="dxa"/>
            <w:shd w:val="clear" w:color="auto" w:fill="D0CECE" w:themeFill="background2" w:themeFillShade="E6"/>
          </w:tcPr>
          <w:p w14:paraId="04100AE8" w14:textId="77777777" w:rsidR="009E0B8F" w:rsidRPr="00731EA5" w:rsidRDefault="009E0B8F" w:rsidP="00136ADE">
            <w:pPr>
              <w:jc w:val="right"/>
              <w:rPr>
                <w:rFonts w:ascii="Arial" w:hAnsi="Arial" w:cs="Arial"/>
                <w:sz w:val="17"/>
                <w:szCs w:val="17"/>
              </w:rPr>
            </w:pPr>
          </w:p>
        </w:tc>
        <w:tc>
          <w:tcPr>
            <w:tcW w:w="784" w:type="dxa"/>
            <w:shd w:val="clear" w:color="auto" w:fill="FFFFFF" w:themeFill="background1"/>
            <w:vAlign w:val="bottom"/>
          </w:tcPr>
          <w:p w14:paraId="741E01A0" w14:textId="286D4C2C" w:rsidR="009E0B8F" w:rsidRPr="008F357A" w:rsidRDefault="009E0B8F" w:rsidP="00136ADE">
            <w:pPr>
              <w:jc w:val="right"/>
              <w:rPr>
                <w:rFonts w:ascii="Arial" w:hAnsi="Arial" w:cs="Arial"/>
                <w:sz w:val="17"/>
                <w:szCs w:val="17"/>
              </w:rPr>
            </w:pPr>
          </w:p>
        </w:tc>
        <w:tc>
          <w:tcPr>
            <w:tcW w:w="784" w:type="dxa"/>
            <w:vAlign w:val="bottom"/>
          </w:tcPr>
          <w:p w14:paraId="3E313C81" w14:textId="77777777" w:rsidR="009E0B8F" w:rsidRPr="00731EA5" w:rsidRDefault="009E0B8F" w:rsidP="00136ADE">
            <w:pPr>
              <w:jc w:val="right"/>
              <w:rPr>
                <w:rFonts w:ascii="Arial" w:hAnsi="Arial" w:cs="Arial"/>
                <w:sz w:val="17"/>
                <w:szCs w:val="17"/>
              </w:rPr>
            </w:pPr>
          </w:p>
        </w:tc>
        <w:tc>
          <w:tcPr>
            <w:tcW w:w="784" w:type="dxa"/>
            <w:vAlign w:val="bottom"/>
          </w:tcPr>
          <w:p w14:paraId="01EAF191" w14:textId="77777777" w:rsidR="009E0B8F" w:rsidRPr="00731EA5" w:rsidRDefault="009E0B8F" w:rsidP="00136ADE">
            <w:pPr>
              <w:jc w:val="right"/>
              <w:rPr>
                <w:rFonts w:ascii="Arial" w:hAnsi="Arial" w:cs="Arial"/>
                <w:sz w:val="17"/>
                <w:szCs w:val="17"/>
              </w:rPr>
            </w:pPr>
          </w:p>
        </w:tc>
        <w:tc>
          <w:tcPr>
            <w:tcW w:w="784" w:type="dxa"/>
            <w:vAlign w:val="bottom"/>
          </w:tcPr>
          <w:p w14:paraId="2D41ECD7" w14:textId="77777777" w:rsidR="009E0B8F" w:rsidRPr="00731EA5" w:rsidRDefault="009E0B8F" w:rsidP="00136ADE">
            <w:pPr>
              <w:jc w:val="right"/>
              <w:rPr>
                <w:rFonts w:ascii="Arial" w:hAnsi="Arial" w:cs="Arial"/>
                <w:sz w:val="17"/>
                <w:szCs w:val="17"/>
              </w:rPr>
            </w:pPr>
          </w:p>
        </w:tc>
        <w:tc>
          <w:tcPr>
            <w:tcW w:w="784" w:type="dxa"/>
            <w:vAlign w:val="bottom"/>
          </w:tcPr>
          <w:p w14:paraId="5527D18B" w14:textId="77777777" w:rsidR="009E0B8F" w:rsidRPr="00731EA5" w:rsidRDefault="009E0B8F" w:rsidP="00136ADE">
            <w:pPr>
              <w:jc w:val="right"/>
              <w:rPr>
                <w:rFonts w:ascii="Arial" w:hAnsi="Arial" w:cs="Arial"/>
                <w:sz w:val="17"/>
                <w:szCs w:val="17"/>
              </w:rPr>
            </w:pPr>
          </w:p>
        </w:tc>
        <w:tc>
          <w:tcPr>
            <w:tcW w:w="784" w:type="dxa"/>
            <w:vAlign w:val="bottom"/>
          </w:tcPr>
          <w:p w14:paraId="739E9F61" w14:textId="77777777" w:rsidR="009E0B8F" w:rsidRPr="00731EA5" w:rsidRDefault="009E0B8F" w:rsidP="00136ADE">
            <w:pPr>
              <w:jc w:val="right"/>
              <w:rPr>
                <w:rFonts w:ascii="Arial" w:hAnsi="Arial" w:cs="Arial"/>
                <w:sz w:val="17"/>
                <w:szCs w:val="17"/>
              </w:rPr>
            </w:pPr>
          </w:p>
        </w:tc>
        <w:tc>
          <w:tcPr>
            <w:tcW w:w="784" w:type="dxa"/>
            <w:vAlign w:val="bottom"/>
          </w:tcPr>
          <w:p w14:paraId="27553CEF" w14:textId="77777777" w:rsidR="009E0B8F" w:rsidRPr="00731EA5" w:rsidRDefault="009E0B8F" w:rsidP="00136ADE">
            <w:pPr>
              <w:jc w:val="right"/>
              <w:rPr>
                <w:rFonts w:ascii="Arial" w:hAnsi="Arial" w:cs="Arial"/>
                <w:sz w:val="17"/>
                <w:szCs w:val="17"/>
              </w:rPr>
            </w:pPr>
          </w:p>
        </w:tc>
        <w:tc>
          <w:tcPr>
            <w:tcW w:w="784" w:type="dxa"/>
            <w:shd w:val="clear" w:color="auto" w:fill="D0CECE" w:themeFill="background2" w:themeFillShade="E6"/>
            <w:vAlign w:val="bottom"/>
          </w:tcPr>
          <w:p w14:paraId="439C5F3B" w14:textId="77777777" w:rsidR="009E0B8F" w:rsidRPr="00731EA5" w:rsidRDefault="009E0B8F" w:rsidP="00136ADE">
            <w:pPr>
              <w:jc w:val="right"/>
              <w:rPr>
                <w:rFonts w:ascii="Arial" w:hAnsi="Arial" w:cs="Arial"/>
                <w:sz w:val="17"/>
                <w:szCs w:val="17"/>
              </w:rPr>
            </w:pPr>
          </w:p>
        </w:tc>
        <w:tc>
          <w:tcPr>
            <w:tcW w:w="785" w:type="dxa"/>
            <w:vAlign w:val="bottom"/>
          </w:tcPr>
          <w:p w14:paraId="60FE27D5" w14:textId="77777777" w:rsidR="009E0B8F" w:rsidRPr="00731EA5" w:rsidRDefault="009E0B8F" w:rsidP="00136ADE">
            <w:pPr>
              <w:jc w:val="right"/>
              <w:rPr>
                <w:rFonts w:ascii="Arial" w:hAnsi="Arial" w:cs="Arial"/>
                <w:sz w:val="17"/>
                <w:szCs w:val="17"/>
              </w:rPr>
            </w:pPr>
          </w:p>
        </w:tc>
      </w:tr>
      <w:tr w:rsidR="009C2644" w14:paraId="4F6B914B" w14:textId="77777777" w:rsidTr="005435FC">
        <w:tc>
          <w:tcPr>
            <w:tcW w:w="1727" w:type="dxa"/>
          </w:tcPr>
          <w:p w14:paraId="0E30EF50" w14:textId="11FCB8A3" w:rsidR="009C2644" w:rsidRPr="00731EA5" w:rsidRDefault="009C2644" w:rsidP="009C2644">
            <w:pPr>
              <w:rPr>
                <w:rFonts w:ascii="Arial" w:hAnsi="Arial" w:cs="Arial"/>
                <w:sz w:val="17"/>
                <w:szCs w:val="17"/>
              </w:rPr>
            </w:pPr>
            <w:r w:rsidRPr="00731EA5">
              <w:rPr>
                <w:rFonts w:ascii="Arial" w:hAnsi="Arial" w:cs="Arial"/>
                <w:sz w:val="17"/>
                <w:szCs w:val="17"/>
              </w:rPr>
              <w:t>Net revenues</w:t>
            </w:r>
          </w:p>
        </w:tc>
        <w:tc>
          <w:tcPr>
            <w:tcW w:w="784" w:type="dxa"/>
            <w:shd w:val="clear" w:color="auto" w:fill="D0CECE" w:themeFill="background2" w:themeFillShade="E6"/>
          </w:tcPr>
          <w:p w14:paraId="03570CCF" w14:textId="1FB2F32C" w:rsidR="009C2644" w:rsidRPr="00C81A29" w:rsidRDefault="009C2644" w:rsidP="009C2644">
            <w:pPr>
              <w:jc w:val="right"/>
              <w:rPr>
                <w:rFonts w:ascii="Arial" w:hAnsi="Arial" w:cs="Arial"/>
                <w:b/>
                <w:sz w:val="17"/>
                <w:szCs w:val="17"/>
              </w:rPr>
            </w:pPr>
            <w:r w:rsidRPr="00C81A29">
              <w:rPr>
                <w:rFonts w:ascii="Arial" w:hAnsi="Arial" w:cs="Arial"/>
                <w:b/>
                <w:sz w:val="17"/>
                <w:szCs w:val="17"/>
              </w:rPr>
              <w:t>153</w:t>
            </w:r>
          </w:p>
        </w:tc>
        <w:tc>
          <w:tcPr>
            <w:tcW w:w="784" w:type="dxa"/>
            <w:shd w:val="clear" w:color="auto" w:fill="FFFFFF" w:themeFill="background1"/>
            <w:vAlign w:val="bottom"/>
          </w:tcPr>
          <w:p w14:paraId="06597E99" w14:textId="7FA4F146" w:rsidR="009C2644" w:rsidRPr="009C2644" w:rsidRDefault="009C2644" w:rsidP="009C2644">
            <w:pPr>
              <w:jc w:val="right"/>
              <w:rPr>
                <w:rFonts w:ascii="Arial" w:hAnsi="Arial" w:cs="Arial"/>
                <w:sz w:val="17"/>
                <w:szCs w:val="17"/>
              </w:rPr>
            </w:pPr>
            <w:r w:rsidRPr="009C2644">
              <w:rPr>
                <w:rFonts w:ascii="Arial" w:hAnsi="Arial" w:cs="Arial"/>
                <w:sz w:val="17"/>
                <w:szCs w:val="17"/>
              </w:rPr>
              <w:t>197</w:t>
            </w:r>
          </w:p>
        </w:tc>
        <w:tc>
          <w:tcPr>
            <w:tcW w:w="784" w:type="dxa"/>
            <w:vAlign w:val="bottom"/>
          </w:tcPr>
          <w:p w14:paraId="325A5F57" w14:textId="0648BECE" w:rsidR="009C2644" w:rsidRPr="00731EA5" w:rsidRDefault="009C2644" w:rsidP="009C2644">
            <w:pPr>
              <w:jc w:val="right"/>
              <w:rPr>
                <w:rFonts w:ascii="Arial" w:hAnsi="Arial" w:cs="Arial"/>
                <w:sz w:val="17"/>
                <w:szCs w:val="17"/>
              </w:rPr>
            </w:pPr>
            <w:r w:rsidRPr="00731EA5">
              <w:rPr>
                <w:rFonts w:ascii="Arial" w:hAnsi="Arial" w:cs="Arial"/>
                <w:sz w:val="17"/>
                <w:szCs w:val="17"/>
              </w:rPr>
              <w:t>280</w:t>
            </w:r>
          </w:p>
        </w:tc>
        <w:tc>
          <w:tcPr>
            <w:tcW w:w="784" w:type="dxa"/>
            <w:vAlign w:val="bottom"/>
          </w:tcPr>
          <w:p w14:paraId="50086971" w14:textId="56EDA761" w:rsidR="009C2644" w:rsidRPr="00731EA5" w:rsidRDefault="009C2644" w:rsidP="009C2644">
            <w:pPr>
              <w:jc w:val="right"/>
              <w:rPr>
                <w:rFonts w:ascii="Arial" w:hAnsi="Arial" w:cs="Arial"/>
                <w:sz w:val="17"/>
                <w:szCs w:val="17"/>
              </w:rPr>
            </w:pPr>
            <w:r w:rsidRPr="00731EA5">
              <w:rPr>
                <w:rFonts w:ascii="Arial" w:hAnsi="Arial" w:cs="Arial"/>
                <w:sz w:val="17"/>
                <w:szCs w:val="17"/>
              </w:rPr>
              <w:t>312</w:t>
            </w:r>
          </w:p>
        </w:tc>
        <w:tc>
          <w:tcPr>
            <w:tcW w:w="784" w:type="dxa"/>
            <w:vAlign w:val="bottom"/>
          </w:tcPr>
          <w:p w14:paraId="6DC1EFE9" w14:textId="559D2426" w:rsidR="009C2644" w:rsidRPr="00731EA5" w:rsidRDefault="009C2644" w:rsidP="009C2644">
            <w:pPr>
              <w:jc w:val="right"/>
              <w:rPr>
                <w:rFonts w:ascii="Arial" w:hAnsi="Arial" w:cs="Arial"/>
                <w:sz w:val="17"/>
                <w:szCs w:val="17"/>
              </w:rPr>
            </w:pPr>
            <w:r w:rsidRPr="00731EA5">
              <w:rPr>
                <w:rFonts w:ascii="Arial" w:hAnsi="Arial" w:cs="Arial"/>
                <w:sz w:val="17"/>
                <w:szCs w:val="17"/>
              </w:rPr>
              <w:t>302</w:t>
            </w:r>
          </w:p>
        </w:tc>
        <w:tc>
          <w:tcPr>
            <w:tcW w:w="784" w:type="dxa"/>
            <w:vAlign w:val="bottom"/>
          </w:tcPr>
          <w:p w14:paraId="441DB202" w14:textId="6B674BE5" w:rsidR="009C2644" w:rsidRPr="00731EA5" w:rsidRDefault="009C2644" w:rsidP="009C2644">
            <w:pPr>
              <w:jc w:val="right"/>
              <w:rPr>
                <w:rFonts w:ascii="Arial" w:hAnsi="Arial" w:cs="Arial"/>
                <w:sz w:val="17"/>
                <w:szCs w:val="17"/>
              </w:rPr>
            </w:pPr>
            <w:r w:rsidRPr="00731EA5">
              <w:rPr>
                <w:rFonts w:ascii="Arial" w:hAnsi="Arial" w:cs="Arial"/>
                <w:sz w:val="17"/>
                <w:szCs w:val="17"/>
              </w:rPr>
              <w:t>29</w:t>
            </w:r>
            <w:r>
              <w:rPr>
                <w:rFonts w:ascii="Arial" w:hAnsi="Arial" w:cs="Arial"/>
                <w:sz w:val="17"/>
                <w:szCs w:val="17"/>
              </w:rPr>
              <w:t>1</w:t>
            </w:r>
          </w:p>
        </w:tc>
        <w:tc>
          <w:tcPr>
            <w:tcW w:w="784" w:type="dxa"/>
            <w:vAlign w:val="bottom"/>
          </w:tcPr>
          <w:p w14:paraId="4242D403" w14:textId="6CB74B8E" w:rsidR="009C2644" w:rsidRPr="00731EA5" w:rsidRDefault="009C2644" w:rsidP="009C2644">
            <w:pPr>
              <w:jc w:val="right"/>
              <w:rPr>
                <w:rFonts w:ascii="Arial" w:hAnsi="Arial" w:cs="Arial"/>
                <w:sz w:val="17"/>
                <w:szCs w:val="17"/>
              </w:rPr>
            </w:pPr>
            <w:r w:rsidRPr="00731EA5">
              <w:rPr>
                <w:rFonts w:ascii="Arial" w:hAnsi="Arial" w:cs="Arial"/>
                <w:sz w:val="17"/>
                <w:szCs w:val="17"/>
              </w:rPr>
              <w:t>389</w:t>
            </w:r>
          </w:p>
        </w:tc>
        <w:tc>
          <w:tcPr>
            <w:tcW w:w="784" w:type="dxa"/>
            <w:vAlign w:val="bottom"/>
          </w:tcPr>
          <w:p w14:paraId="18CC5667" w14:textId="2BFF7858" w:rsidR="009C2644" w:rsidRPr="00731EA5" w:rsidRDefault="009C2644" w:rsidP="009C2644">
            <w:pPr>
              <w:jc w:val="right"/>
              <w:rPr>
                <w:rFonts w:ascii="Arial" w:hAnsi="Arial" w:cs="Arial"/>
                <w:sz w:val="17"/>
                <w:szCs w:val="17"/>
              </w:rPr>
            </w:pPr>
            <w:r w:rsidRPr="00731EA5">
              <w:rPr>
                <w:rFonts w:ascii="Arial" w:hAnsi="Arial" w:cs="Arial"/>
                <w:sz w:val="17"/>
                <w:szCs w:val="17"/>
              </w:rPr>
              <w:t>418</w:t>
            </w:r>
          </w:p>
        </w:tc>
        <w:tc>
          <w:tcPr>
            <w:tcW w:w="784" w:type="dxa"/>
            <w:shd w:val="clear" w:color="auto" w:fill="D0CECE" w:themeFill="background2" w:themeFillShade="E6"/>
          </w:tcPr>
          <w:p w14:paraId="1FA5FFC3" w14:textId="6606C71C" w:rsidR="009C2644" w:rsidRPr="00C81A29" w:rsidRDefault="009C2644" w:rsidP="009C2644">
            <w:pPr>
              <w:jc w:val="right"/>
              <w:rPr>
                <w:rFonts w:ascii="Arial" w:hAnsi="Arial" w:cs="Arial"/>
                <w:b/>
                <w:sz w:val="17"/>
                <w:szCs w:val="17"/>
              </w:rPr>
            </w:pPr>
            <w:r w:rsidRPr="00C81A29">
              <w:rPr>
                <w:rFonts w:ascii="Arial" w:hAnsi="Arial" w:cs="Arial"/>
                <w:b/>
                <w:sz w:val="17"/>
                <w:szCs w:val="17"/>
              </w:rPr>
              <w:t>153</w:t>
            </w:r>
          </w:p>
        </w:tc>
        <w:tc>
          <w:tcPr>
            <w:tcW w:w="785" w:type="dxa"/>
            <w:vAlign w:val="bottom"/>
          </w:tcPr>
          <w:p w14:paraId="3E519F33" w14:textId="70D8FD37" w:rsidR="009C2644" w:rsidRPr="00731EA5" w:rsidRDefault="009C2644" w:rsidP="009C2644">
            <w:pPr>
              <w:jc w:val="right"/>
              <w:rPr>
                <w:rFonts w:ascii="Arial" w:hAnsi="Arial" w:cs="Arial"/>
                <w:sz w:val="17"/>
                <w:szCs w:val="17"/>
              </w:rPr>
            </w:pPr>
            <w:r w:rsidRPr="00731EA5">
              <w:rPr>
                <w:rFonts w:ascii="Arial" w:hAnsi="Arial" w:cs="Arial"/>
                <w:sz w:val="17"/>
                <w:szCs w:val="17"/>
              </w:rPr>
              <w:t>302</w:t>
            </w:r>
          </w:p>
        </w:tc>
      </w:tr>
      <w:tr w:rsidR="009C2644" w14:paraId="255F2150" w14:textId="77777777" w:rsidTr="005435FC">
        <w:tc>
          <w:tcPr>
            <w:tcW w:w="1727" w:type="dxa"/>
          </w:tcPr>
          <w:p w14:paraId="6C1CAD8C" w14:textId="174F8CD1" w:rsidR="009C2644" w:rsidRPr="00731EA5" w:rsidRDefault="009C2644" w:rsidP="009C2644">
            <w:pPr>
              <w:rPr>
                <w:rFonts w:ascii="Arial" w:hAnsi="Arial" w:cs="Arial"/>
                <w:sz w:val="17"/>
                <w:szCs w:val="17"/>
              </w:rPr>
            </w:pPr>
            <w:r w:rsidRPr="00731EA5">
              <w:rPr>
                <w:rFonts w:ascii="Arial" w:hAnsi="Arial" w:cs="Arial"/>
                <w:sz w:val="17"/>
                <w:szCs w:val="17"/>
              </w:rPr>
              <w:t>Income (loss)</w:t>
            </w:r>
          </w:p>
        </w:tc>
        <w:tc>
          <w:tcPr>
            <w:tcW w:w="784" w:type="dxa"/>
            <w:shd w:val="clear" w:color="auto" w:fill="D0CECE" w:themeFill="background2" w:themeFillShade="E6"/>
          </w:tcPr>
          <w:p w14:paraId="50646D4F" w14:textId="1C9B6478" w:rsidR="009C2644" w:rsidRPr="00C81A29" w:rsidRDefault="009C2644" w:rsidP="009C2644">
            <w:pPr>
              <w:jc w:val="right"/>
              <w:rPr>
                <w:rFonts w:ascii="Arial" w:hAnsi="Arial" w:cs="Arial"/>
                <w:b/>
                <w:sz w:val="17"/>
                <w:szCs w:val="17"/>
              </w:rPr>
            </w:pPr>
            <w:r w:rsidRPr="00C81A29">
              <w:rPr>
                <w:rFonts w:ascii="Arial" w:hAnsi="Arial" w:cs="Arial"/>
                <w:b/>
                <w:sz w:val="17"/>
                <w:szCs w:val="17"/>
              </w:rPr>
              <w:t>(3</w:t>
            </w:r>
            <w:r w:rsidR="00290443">
              <w:rPr>
                <w:rFonts w:ascii="Arial" w:hAnsi="Arial" w:cs="Arial"/>
                <w:b/>
                <w:sz w:val="17"/>
                <w:szCs w:val="17"/>
              </w:rPr>
              <w:t>9</w:t>
            </w:r>
            <w:r w:rsidR="00CD0382">
              <w:rPr>
                <w:rFonts w:ascii="Arial" w:hAnsi="Arial" w:cs="Arial"/>
                <w:b/>
                <w:sz w:val="17"/>
                <w:szCs w:val="17"/>
              </w:rPr>
              <w:t>9</w:t>
            </w:r>
            <w:r w:rsidRPr="00C81A29">
              <w:rPr>
                <w:rFonts w:ascii="Arial" w:hAnsi="Arial" w:cs="Arial"/>
                <w:b/>
                <w:sz w:val="17"/>
                <w:szCs w:val="17"/>
              </w:rPr>
              <w:t>)</w:t>
            </w:r>
          </w:p>
        </w:tc>
        <w:tc>
          <w:tcPr>
            <w:tcW w:w="784" w:type="dxa"/>
            <w:shd w:val="clear" w:color="auto" w:fill="FFFFFF" w:themeFill="background1"/>
            <w:vAlign w:val="bottom"/>
          </w:tcPr>
          <w:p w14:paraId="233AC621" w14:textId="1B165E12" w:rsidR="009C2644" w:rsidRPr="009C2644" w:rsidRDefault="009C2644" w:rsidP="009C2644">
            <w:pPr>
              <w:jc w:val="right"/>
              <w:rPr>
                <w:rFonts w:ascii="Arial" w:hAnsi="Arial" w:cs="Arial"/>
                <w:sz w:val="17"/>
                <w:szCs w:val="17"/>
              </w:rPr>
            </w:pPr>
            <w:r w:rsidRPr="009C2644">
              <w:rPr>
                <w:rFonts w:ascii="Arial" w:hAnsi="Arial" w:cs="Arial"/>
                <w:sz w:val="17"/>
                <w:szCs w:val="17"/>
              </w:rPr>
              <w:t>1</w:t>
            </w:r>
            <w:r w:rsidR="00BC0961">
              <w:rPr>
                <w:rFonts w:ascii="Arial" w:hAnsi="Arial" w:cs="Arial"/>
                <w:sz w:val="17"/>
                <w:szCs w:val="17"/>
              </w:rPr>
              <w:t>,343</w:t>
            </w:r>
          </w:p>
        </w:tc>
        <w:tc>
          <w:tcPr>
            <w:tcW w:w="784" w:type="dxa"/>
            <w:vAlign w:val="bottom"/>
          </w:tcPr>
          <w:p w14:paraId="20CF939E" w14:textId="0C33424D" w:rsidR="009C2644" w:rsidRPr="00731EA5" w:rsidRDefault="009C2644" w:rsidP="009C2644">
            <w:pPr>
              <w:jc w:val="right"/>
              <w:rPr>
                <w:rFonts w:ascii="Arial" w:hAnsi="Arial" w:cs="Arial"/>
                <w:sz w:val="17"/>
                <w:szCs w:val="17"/>
              </w:rPr>
            </w:pPr>
            <w:r w:rsidRPr="00731EA5">
              <w:rPr>
                <w:rFonts w:ascii="Arial" w:hAnsi="Arial" w:cs="Arial"/>
                <w:sz w:val="17"/>
                <w:szCs w:val="17"/>
              </w:rPr>
              <w:t>(1,153)</w:t>
            </w:r>
          </w:p>
        </w:tc>
        <w:tc>
          <w:tcPr>
            <w:tcW w:w="784" w:type="dxa"/>
            <w:vAlign w:val="bottom"/>
          </w:tcPr>
          <w:p w14:paraId="565ECDA5" w14:textId="196A7273" w:rsidR="009C2644" w:rsidRPr="00731EA5" w:rsidRDefault="009C2644" w:rsidP="009C2644">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1,697</w:t>
            </w:r>
            <w:r w:rsidRPr="00731EA5">
              <w:rPr>
                <w:rFonts w:ascii="Arial" w:hAnsi="Arial" w:cs="Arial"/>
                <w:sz w:val="17"/>
                <w:szCs w:val="17"/>
              </w:rPr>
              <w:t>)</w:t>
            </w:r>
          </w:p>
        </w:tc>
        <w:tc>
          <w:tcPr>
            <w:tcW w:w="784" w:type="dxa"/>
            <w:vAlign w:val="bottom"/>
          </w:tcPr>
          <w:p w14:paraId="0E040418" w14:textId="113AF1A7" w:rsidR="009C2644" w:rsidRPr="00731EA5" w:rsidRDefault="009C2644" w:rsidP="009C2644">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2,283</w:t>
            </w:r>
            <w:r w:rsidRPr="00731EA5">
              <w:rPr>
                <w:rFonts w:ascii="Arial" w:hAnsi="Arial" w:cs="Arial"/>
                <w:sz w:val="17"/>
                <w:szCs w:val="17"/>
              </w:rPr>
              <w:t>)</w:t>
            </w:r>
          </w:p>
        </w:tc>
        <w:tc>
          <w:tcPr>
            <w:tcW w:w="784" w:type="dxa"/>
            <w:vAlign w:val="bottom"/>
          </w:tcPr>
          <w:p w14:paraId="4B1DB554" w14:textId="54DA47B4" w:rsidR="009C2644" w:rsidRPr="00731EA5" w:rsidRDefault="009C2644" w:rsidP="009C2644">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815</w:t>
            </w:r>
            <w:r w:rsidRPr="00731EA5">
              <w:rPr>
                <w:rFonts w:ascii="Arial" w:hAnsi="Arial" w:cs="Arial"/>
                <w:sz w:val="17"/>
                <w:szCs w:val="17"/>
              </w:rPr>
              <w:t>)</w:t>
            </w:r>
          </w:p>
        </w:tc>
        <w:tc>
          <w:tcPr>
            <w:tcW w:w="784" w:type="dxa"/>
            <w:vAlign w:val="bottom"/>
          </w:tcPr>
          <w:p w14:paraId="4DC24296" w14:textId="15BE563B" w:rsidR="009C2644" w:rsidRPr="00731EA5" w:rsidRDefault="009C2644" w:rsidP="009C2644">
            <w:pPr>
              <w:jc w:val="right"/>
              <w:rPr>
                <w:rFonts w:ascii="Arial" w:hAnsi="Arial" w:cs="Arial"/>
                <w:sz w:val="17"/>
                <w:szCs w:val="17"/>
              </w:rPr>
            </w:pPr>
            <w:r w:rsidRPr="00731EA5">
              <w:rPr>
                <w:rFonts w:ascii="Arial" w:hAnsi="Arial" w:cs="Arial"/>
                <w:sz w:val="17"/>
                <w:szCs w:val="17"/>
              </w:rPr>
              <w:t>(681)</w:t>
            </w:r>
          </w:p>
        </w:tc>
        <w:tc>
          <w:tcPr>
            <w:tcW w:w="784" w:type="dxa"/>
            <w:vAlign w:val="bottom"/>
          </w:tcPr>
          <w:p w14:paraId="308163FD" w14:textId="68DE5DE0" w:rsidR="009C2644" w:rsidRPr="00731EA5" w:rsidRDefault="009C2644" w:rsidP="009C2644">
            <w:pPr>
              <w:jc w:val="right"/>
              <w:rPr>
                <w:rFonts w:ascii="Arial" w:hAnsi="Arial" w:cs="Arial"/>
                <w:sz w:val="17"/>
                <w:szCs w:val="17"/>
              </w:rPr>
            </w:pPr>
            <w:r w:rsidRPr="00731EA5">
              <w:rPr>
                <w:rFonts w:ascii="Arial" w:hAnsi="Arial" w:cs="Arial"/>
                <w:sz w:val="17"/>
                <w:szCs w:val="17"/>
              </w:rPr>
              <w:t>(</w:t>
            </w:r>
            <w:r w:rsidR="00BC0961">
              <w:rPr>
                <w:rFonts w:ascii="Arial" w:hAnsi="Arial" w:cs="Arial"/>
                <w:sz w:val="17"/>
                <w:szCs w:val="17"/>
              </w:rPr>
              <w:t>837</w:t>
            </w:r>
            <w:r w:rsidRPr="00731EA5">
              <w:rPr>
                <w:rFonts w:ascii="Arial" w:hAnsi="Arial" w:cs="Arial"/>
                <w:sz w:val="17"/>
                <w:szCs w:val="17"/>
              </w:rPr>
              <w:t>)</w:t>
            </w:r>
          </w:p>
        </w:tc>
        <w:tc>
          <w:tcPr>
            <w:tcW w:w="784" w:type="dxa"/>
            <w:shd w:val="clear" w:color="auto" w:fill="D0CECE" w:themeFill="background2" w:themeFillShade="E6"/>
          </w:tcPr>
          <w:p w14:paraId="7A185903" w14:textId="43C317E8" w:rsidR="009C2644" w:rsidRPr="00C81A29" w:rsidRDefault="009C2644" w:rsidP="009C2644">
            <w:pPr>
              <w:jc w:val="right"/>
              <w:rPr>
                <w:rFonts w:ascii="Arial" w:hAnsi="Arial" w:cs="Arial"/>
                <w:b/>
                <w:sz w:val="17"/>
                <w:szCs w:val="17"/>
              </w:rPr>
            </w:pPr>
            <w:r w:rsidRPr="00C81A29">
              <w:rPr>
                <w:rFonts w:ascii="Arial" w:hAnsi="Arial" w:cs="Arial"/>
                <w:b/>
                <w:sz w:val="17"/>
                <w:szCs w:val="17"/>
              </w:rPr>
              <w:t>(3</w:t>
            </w:r>
            <w:r w:rsidR="00CD0382">
              <w:rPr>
                <w:rFonts w:ascii="Arial" w:hAnsi="Arial" w:cs="Arial"/>
                <w:b/>
                <w:sz w:val="17"/>
                <w:szCs w:val="17"/>
              </w:rPr>
              <w:t>99</w:t>
            </w:r>
            <w:r w:rsidRPr="00C81A29">
              <w:rPr>
                <w:rFonts w:ascii="Arial" w:hAnsi="Arial" w:cs="Arial"/>
                <w:b/>
                <w:sz w:val="17"/>
                <w:szCs w:val="17"/>
              </w:rPr>
              <w:t>)</w:t>
            </w:r>
          </w:p>
        </w:tc>
        <w:tc>
          <w:tcPr>
            <w:tcW w:w="785" w:type="dxa"/>
            <w:vAlign w:val="bottom"/>
          </w:tcPr>
          <w:p w14:paraId="131BB603" w14:textId="7FD5AB46" w:rsidR="009C2644" w:rsidRPr="00731EA5" w:rsidRDefault="009C2644" w:rsidP="009C2644">
            <w:pPr>
              <w:jc w:val="right"/>
              <w:rPr>
                <w:rFonts w:ascii="Arial" w:hAnsi="Arial" w:cs="Arial"/>
                <w:sz w:val="17"/>
                <w:szCs w:val="17"/>
              </w:rPr>
            </w:pPr>
            <w:r w:rsidRPr="00731EA5">
              <w:rPr>
                <w:rFonts w:ascii="Arial" w:hAnsi="Arial" w:cs="Arial"/>
                <w:sz w:val="17"/>
                <w:szCs w:val="17"/>
              </w:rPr>
              <w:t>(</w:t>
            </w:r>
            <w:r w:rsidR="003A2C50">
              <w:rPr>
                <w:rFonts w:ascii="Arial" w:hAnsi="Arial" w:cs="Arial"/>
                <w:sz w:val="17"/>
                <w:szCs w:val="17"/>
              </w:rPr>
              <w:t>2,283</w:t>
            </w:r>
            <w:r w:rsidRPr="00731EA5">
              <w:rPr>
                <w:rFonts w:ascii="Arial" w:hAnsi="Arial" w:cs="Arial"/>
                <w:sz w:val="17"/>
                <w:szCs w:val="17"/>
              </w:rPr>
              <w:t>)</w:t>
            </w:r>
          </w:p>
        </w:tc>
      </w:tr>
      <w:tr w:rsidR="009C2644" w14:paraId="378B601F" w14:textId="77777777" w:rsidTr="005435FC">
        <w:tc>
          <w:tcPr>
            <w:tcW w:w="1727" w:type="dxa"/>
          </w:tcPr>
          <w:p w14:paraId="4D8DB57B" w14:textId="5F269272" w:rsidR="009C2644" w:rsidRPr="00731EA5" w:rsidRDefault="009C2644" w:rsidP="009C2644">
            <w:pPr>
              <w:rPr>
                <w:rFonts w:ascii="Arial" w:hAnsi="Arial" w:cs="Arial"/>
                <w:sz w:val="17"/>
                <w:szCs w:val="17"/>
              </w:rPr>
            </w:pPr>
            <w:r w:rsidRPr="00731EA5">
              <w:rPr>
                <w:rFonts w:ascii="Arial" w:hAnsi="Arial" w:cs="Arial"/>
                <w:sz w:val="17"/>
                <w:szCs w:val="17"/>
              </w:rPr>
              <w:t>Income (loss) per share:</w:t>
            </w:r>
          </w:p>
        </w:tc>
        <w:tc>
          <w:tcPr>
            <w:tcW w:w="784" w:type="dxa"/>
            <w:shd w:val="clear" w:color="auto" w:fill="D0CECE" w:themeFill="background2" w:themeFillShade="E6"/>
          </w:tcPr>
          <w:p w14:paraId="35AE2C3C" w14:textId="77777777" w:rsidR="009C2644" w:rsidRPr="00C81A29" w:rsidRDefault="009C2644" w:rsidP="009C2644">
            <w:pPr>
              <w:jc w:val="right"/>
              <w:rPr>
                <w:rFonts w:ascii="Arial" w:hAnsi="Arial" w:cs="Arial"/>
                <w:b/>
                <w:sz w:val="17"/>
                <w:szCs w:val="17"/>
              </w:rPr>
            </w:pPr>
          </w:p>
        </w:tc>
        <w:tc>
          <w:tcPr>
            <w:tcW w:w="784" w:type="dxa"/>
            <w:shd w:val="clear" w:color="auto" w:fill="FFFFFF" w:themeFill="background1"/>
            <w:vAlign w:val="bottom"/>
          </w:tcPr>
          <w:p w14:paraId="50780B18" w14:textId="37C257C7" w:rsidR="009C2644" w:rsidRPr="009C2644" w:rsidRDefault="009C2644" w:rsidP="009C2644">
            <w:pPr>
              <w:jc w:val="right"/>
              <w:rPr>
                <w:rFonts w:ascii="Arial" w:hAnsi="Arial" w:cs="Arial"/>
                <w:sz w:val="17"/>
                <w:szCs w:val="17"/>
              </w:rPr>
            </w:pPr>
          </w:p>
        </w:tc>
        <w:tc>
          <w:tcPr>
            <w:tcW w:w="784" w:type="dxa"/>
            <w:vAlign w:val="bottom"/>
          </w:tcPr>
          <w:p w14:paraId="284E88A3" w14:textId="77777777" w:rsidR="009C2644" w:rsidRPr="00731EA5" w:rsidRDefault="009C2644" w:rsidP="009C2644">
            <w:pPr>
              <w:jc w:val="right"/>
              <w:rPr>
                <w:rFonts w:ascii="Arial" w:hAnsi="Arial" w:cs="Arial"/>
                <w:sz w:val="17"/>
                <w:szCs w:val="17"/>
              </w:rPr>
            </w:pPr>
          </w:p>
        </w:tc>
        <w:tc>
          <w:tcPr>
            <w:tcW w:w="784" w:type="dxa"/>
            <w:vAlign w:val="bottom"/>
          </w:tcPr>
          <w:p w14:paraId="67DCA4C9" w14:textId="77777777" w:rsidR="009C2644" w:rsidRPr="00731EA5" w:rsidRDefault="009C2644" w:rsidP="009C2644">
            <w:pPr>
              <w:jc w:val="right"/>
              <w:rPr>
                <w:rFonts w:ascii="Arial" w:hAnsi="Arial" w:cs="Arial"/>
                <w:sz w:val="17"/>
                <w:szCs w:val="17"/>
              </w:rPr>
            </w:pPr>
          </w:p>
        </w:tc>
        <w:tc>
          <w:tcPr>
            <w:tcW w:w="784" w:type="dxa"/>
            <w:vAlign w:val="bottom"/>
          </w:tcPr>
          <w:p w14:paraId="16AAAF7A" w14:textId="77777777" w:rsidR="009C2644" w:rsidRPr="00731EA5" w:rsidRDefault="009C2644" w:rsidP="009C2644">
            <w:pPr>
              <w:jc w:val="right"/>
              <w:rPr>
                <w:rFonts w:ascii="Arial" w:hAnsi="Arial" w:cs="Arial"/>
                <w:sz w:val="17"/>
                <w:szCs w:val="17"/>
              </w:rPr>
            </w:pPr>
          </w:p>
        </w:tc>
        <w:tc>
          <w:tcPr>
            <w:tcW w:w="784" w:type="dxa"/>
            <w:vAlign w:val="bottom"/>
          </w:tcPr>
          <w:p w14:paraId="2D1AA9D9" w14:textId="77777777" w:rsidR="009C2644" w:rsidRPr="00731EA5" w:rsidRDefault="009C2644" w:rsidP="009C2644">
            <w:pPr>
              <w:jc w:val="right"/>
              <w:rPr>
                <w:rFonts w:ascii="Arial" w:hAnsi="Arial" w:cs="Arial"/>
                <w:sz w:val="17"/>
                <w:szCs w:val="17"/>
              </w:rPr>
            </w:pPr>
          </w:p>
        </w:tc>
        <w:tc>
          <w:tcPr>
            <w:tcW w:w="784" w:type="dxa"/>
            <w:vAlign w:val="bottom"/>
          </w:tcPr>
          <w:p w14:paraId="72F2AB17" w14:textId="77777777" w:rsidR="009C2644" w:rsidRPr="00731EA5" w:rsidRDefault="009C2644" w:rsidP="009C2644">
            <w:pPr>
              <w:jc w:val="right"/>
              <w:rPr>
                <w:rFonts w:ascii="Arial" w:hAnsi="Arial" w:cs="Arial"/>
                <w:sz w:val="17"/>
                <w:szCs w:val="17"/>
              </w:rPr>
            </w:pPr>
          </w:p>
        </w:tc>
        <w:tc>
          <w:tcPr>
            <w:tcW w:w="784" w:type="dxa"/>
            <w:vAlign w:val="bottom"/>
          </w:tcPr>
          <w:p w14:paraId="629A9993" w14:textId="77777777" w:rsidR="009C2644" w:rsidRPr="00731EA5" w:rsidRDefault="009C2644" w:rsidP="009C2644">
            <w:pPr>
              <w:jc w:val="right"/>
              <w:rPr>
                <w:rFonts w:ascii="Arial" w:hAnsi="Arial" w:cs="Arial"/>
                <w:sz w:val="17"/>
                <w:szCs w:val="17"/>
              </w:rPr>
            </w:pPr>
          </w:p>
        </w:tc>
        <w:tc>
          <w:tcPr>
            <w:tcW w:w="784" w:type="dxa"/>
            <w:shd w:val="clear" w:color="auto" w:fill="D0CECE" w:themeFill="background2" w:themeFillShade="E6"/>
          </w:tcPr>
          <w:p w14:paraId="5ACC6B31" w14:textId="77777777" w:rsidR="009C2644" w:rsidRPr="00C81A29" w:rsidRDefault="009C2644" w:rsidP="009C2644">
            <w:pPr>
              <w:jc w:val="right"/>
              <w:rPr>
                <w:rFonts w:ascii="Arial" w:hAnsi="Arial" w:cs="Arial"/>
                <w:b/>
                <w:sz w:val="17"/>
                <w:szCs w:val="17"/>
              </w:rPr>
            </w:pPr>
          </w:p>
        </w:tc>
        <w:tc>
          <w:tcPr>
            <w:tcW w:w="785" w:type="dxa"/>
            <w:vAlign w:val="bottom"/>
          </w:tcPr>
          <w:p w14:paraId="6F3924DE" w14:textId="77777777" w:rsidR="009C2644" w:rsidRPr="00731EA5" w:rsidRDefault="009C2644" w:rsidP="009C2644">
            <w:pPr>
              <w:jc w:val="right"/>
              <w:rPr>
                <w:rFonts w:ascii="Arial" w:hAnsi="Arial" w:cs="Arial"/>
                <w:sz w:val="17"/>
                <w:szCs w:val="17"/>
              </w:rPr>
            </w:pPr>
          </w:p>
        </w:tc>
      </w:tr>
      <w:tr w:rsidR="009C2644" w14:paraId="1880E15D" w14:textId="77777777" w:rsidTr="005435FC">
        <w:tc>
          <w:tcPr>
            <w:tcW w:w="1727" w:type="dxa"/>
          </w:tcPr>
          <w:p w14:paraId="78F3459F" w14:textId="07F830F2" w:rsidR="009C2644" w:rsidRPr="00731EA5" w:rsidRDefault="009C2644" w:rsidP="009C2644">
            <w:pPr>
              <w:rPr>
                <w:rFonts w:ascii="Arial" w:hAnsi="Arial" w:cs="Arial"/>
                <w:sz w:val="17"/>
                <w:szCs w:val="17"/>
              </w:rPr>
            </w:pPr>
            <w:r w:rsidRPr="00731EA5">
              <w:rPr>
                <w:rFonts w:ascii="Arial" w:hAnsi="Arial" w:cs="Arial"/>
                <w:sz w:val="17"/>
                <w:szCs w:val="17"/>
              </w:rPr>
              <w:t>-Basic</w:t>
            </w:r>
          </w:p>
        </w:tc>
        <w:tc>
          <w:tcPr>
            <w:tcW w:w="784" w:type="dxa"/>
            <w:shd w:val="clear" w:color="auto" w:fill="D0CECE" w:themeFill="background2" w:themeFillShade="E6"/>
          </w:tcPr>
          <w:p w14:paraId="3DCE01D2" w14:textId="0722752C" w:rsidR="009C2644" w:rsidRPr="00C81A29" w:rsidRDefault="009C2644" w:rsidP="009C2644">
            <w:pPr>
              <w:jc w:val="right"/>
              <w:rPr>
                <w:rFonts w:ascii="Arial" w:hAnsi="Arial" w:cs="Arial"/>
                <w:b/>
                <w:sz w:val="17"/>
                <w:szCs w:val="17"/>
              </w:rPr>
            </w:pPr>
            <w:r w:rsidRPr="00C81A29">
              <w:rPr>
                <w:rFonts w:ascii="Arial" w:hAnsi="Arial" w:cs="Arial"/>
                <w:b/>
                <w:sz w:val="17"/>
                <w:szCs w:val="17"/>
              </w:rPr>
              <w:t>(0.0</w:t>
            </w:r>
            <w:r w:rsidR="00290443">
              <w:rPr>
                <w:rFonts w:ascii="Arial" w:hAnsi="Arial" w:cs="Arial"/>
                <w:b/>
                <w:sz w:val="17"/>
                <w:szCs w:val="17"/>
              </w:rPr>
              <w:t>1</w:t>
            </w:r>
            <w:r w:rsidRPr="00C81A29">
              <w:rPr>
                <w:rFonts w:ascii="Arial" w:hAnsi="Arial" w:cs="Arial"/>
                <w:b/>
                <w:sz w:val="17"/>
                <w:szCs w:val="17"/>
              </w:rPr>
              <w:t>)</w:t>
            </w:r>
          </w:p>
        </w:tc>
        <w:tc>
          <w:tcPr>
            <w:tcW w:w="784" w:type="dxa"/>
            <w:shd w:val="clear" w:color="auto" w:fill="FFFFFF" w:themeFill="background1"/>
            <w:vAlign w:val="bottom"/>
          </w:tcPr>
          <w:p w14:paraId="27C2E617" w14:textId="27BD927E" w:rsidR="009C2644" w:rsidRPr="009C2644" w:rsidRDefault="009C2644" w:rsidP="009C2644">
            <w:pPr>
              <w:jc w:val="right"/>
              <w:rPr>
                <w:rFonts w:ascii="Arial" w:hAnsi="Arial" w:cs="Arial"/>
                <w:sz w:val="17"/>
                <w:szCs w:val="17"/>
              </w:rPr>
            </w:pPr>
            <w:r w:rsidRPr="009C2644">
              <w:rPr>
                <w:rFonts w:ascii="Arial" w:hAnsi="Arial" w:cs="Arial"/>
                <w:sz w:val="17"/>
                <w:szCs w:val="17"/>
              </w:rPr>
              <w:t>0.0</w:t>
            </w:r>
            <w:r w:rsidR="00D43D18">
              <w:rPr>
                <w:rFonts w:ascii="Arial" w:hAnsi="Arial" w:cs="Arial"/>
                <w:sz w:val="17"/>
                <w:szCs w:val="17"/>
              </w:rPr>
              <w:t>1</w:t>
            </w:r>
          </w:p>
        </w:tc>
        <w:tc>
          <w:tcPr>
            <w:tcW w:w="784" w:type="dxa"/>
            <w:vAlign w:val="bottom"/>
          </w:tcPr>
          <w:p w14:paraId="7B01C79C" w14:textId="50C76B83" w:rsidR="009C2644" w:rsidRPr="00731EA5" w:rsidRDefault="009C2644" w:rsidP="009C2644">
            <w:pPr>
              <w:jc w:val="right"/>
              <w:rPr>
                <w:rFonts w:ascii="Arial" w:hAnsi="Arial" w:cs="Arial"/>
                <w:sz w:val="17"/>
                <w:szCs w:val="17"/>
              </w:rPr>
            </w:pPr>
            <w:r w:rsidRPr="00731EA5">
              <w:rPr>
                <w:rFonts w:ascii="Arial" w:hAnsi="Arial" w:cs="Arial"/>
                <w:sz w:val="17"/>
                <w:szCs w:val="17"/>
              </w:rPr>
              <w:t>(0.</w:t>
            </w:r>
            <w:r>
              <w:rPr>
                <w:rFonts w:ascii="Arial" w:hAnsi="Arial" w:cs="Arial"/>
                <w:sz w:val="17"/>
                <w:szCs w:val="17"/>
              </w:rPr>
              <w:t>01</w:t>
            </w:r>
            <w:r w:rsidRPr="00731EA5">
              <w:rPr>
                <w:rFonts w:ascii="Arial" w:hAnsi="Arial" w:cs="Arial"/>
                <w:sz w:val="17"/>
                <w:szCs w:val="17"/>
              </w:rPr>
              <w:t>)</w:t>
            </w:r>
          </w:p>
        </w:tc>
        <w:tc>
          <w:tcPr>
            <w:tcW w:w="784" w:type="dxa"/>
            <w:vAlign w:val="bottom"/>
          </w:tcPr>
          <w:p w14:paraId="0E53A1E9" w14:textId="0F672058"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39773366" w14:textId="6CA27C15"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5</w:t>
            </w:r>
            <w:r w:rsidRPr="00731EA5">
              <w:rPr>
                <w:rFonts w:ascii="Arial" w:hAnsi="Arial" w:cs="Arial"/>
                <w:sz w:val="17"/>
                <w:szCs w:val="17"/>
              </w:rPr>
              <w:t>)</w:t>
            </w:r>
          </w:p>
        </w:tc>
        <w:tc>
          <w:tcPr>
            <w:tcW w:w="784" w:type="dxa"/>
            <w:vAlign w:val="bottom"/>
          </w:tcPr>
          <w:p w14:paraId="2CFB9C09" w14:textId="7D94F2C9"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4B9DBFCA" w14:textId="4A632732" w:rsidR="009C2644" w:rsidRPr="00731EA5" w:rsidRDefault="009C2644" w:rsidP="009C2644">
            <w:pPr>
              <w:jc w:val="right"/>
              <w:rPr>
                <w:rFonts w:ascii="Arial" w:hAnsi="Arial" w:cs="Arial"/>
                <w:sz w:val="17"/>
                <w:szCs w:val="17"/>
              </w:rPr>
            </w:pPr>
            <w:r w:rsidRPr="00731EA5">
              <w:rPr>
                <w:rFonts w:ascii="Arial" w:hAnsi="Arial" w:cs="Arial"/>
                <w:sz w:val="17"/>
                <w:szCs w:val="17"/>
              </w:rPr>
              <w:t>(0.01)</w:t>
            </w:r>
          </w:p>
        </w:tc>
        <w:tc>
          <w:tcPr>
            <w:tcW w:w="784" w:type="dxa"/>
            <w:vAlign w:val="bottom"/>
          </w:tcPr>
          <w:p w14:paraId="7DD37CE6" w14:textId="2CCEFBE5" w:rsidR="009C2644" w:rsidRPr="00731EA5" w:rsidRDefault="009C2644" w:rsidP="009C2644">
            <w:pPr>
              <w:jc w:val="right"/>
              <w:rPr>
                <w:rFonts w:ascii="Arial" w:hAnsi="Arial" w:cs="Arial"/>
                <w:sz w:val="17"/>
                <w:szCs w:val="17"/>
              </w:rPr>
            </w:pPr>
            <w:r w:rsidRPr="00731EA5">
              <w:rPr>
                <w:rFonts w:ascii="Arial" w:hAnsi="Arial" w:cs="Arial"/>
                <w:sz w:val="17"/>
                <w:szCs w:val="17"/>
              </w:rPr>
              <w:t>(0.04)</w:t>
            </w:r>
          </w:p>
        </w:tc>
        <w:tc>
          <w:tcPr>
            <w:tcW w:w="784" w:type="dxa"/>
            <w:shd w:val="clear" w:color="auto" w:fill="D0CECE" w:themeFill="background2" w:themeFillShade="E6"/>
          </w:tcPr>
          <w:p w14:paraId="78098276" w14:textId="0D56A2A5" w:rsidR="009C2644" w:rsidRPr="00C81A29" w:rsidRDefault="009C2644" w:rsidP="009C2644">
            <w:pPr>
              <w:jc w:val="right"/>
              <w:rPr>
                <w:rFonts w:ascii="Arial" w:hAnsi="Arial" w:cs="Arial"/>
                <w:b/>
                <w:sz w:val="17"/>
                <w:szCs w:val="17"/>
              </w:rPr>
            </w:pPr>
            <w:r w:rsidRPr="00C81A29">
              <w:rPr>
                <w:rFonts w:ascii="Arial" w:hAnsi="Arial" w:cs="Arial"/>
                <w:b/>
                <w:sz w:val="17"/>
                <w:szCs w:val="17"/>
              </w:rPr>
              <w:t>(0.0</w:t>
            </w:r>
            <w:r w:rsidR="00290443">
              <w:rPr>
                <w:rFonts w:ascii="Arial" w:hAnsi="Arial" w:cs="Arial"/>
                <w:b/>
                <w:sz w:val="17"/>
                <w:szCs w:val="17"/>
              </w:rPr>
              <w:t>1</w:t>
            </w:r>
            <w:r w:rsidRPr="00C81A29">
              <w:rPr>
                <w:rFonts w:ascii="Arial" w:hAnsi="Arial" w:cs="Arial"/>
                <w:b/>
                <w:sz w:val="17"/>
                <w:szCs w:val="17"/>
              </w:rPr>
              <w:t>)</w:t>
            </w:r>
          </w:p>
        </w:tc>
        <w:tc>
          <w:tcPr>
            <w:tcW w:w="785" w:type="dxa"/>
            <w:vAlign w:val="bottom"/>
          </w:tcPr>
          <w:p w14:paraId="1FDEF031" w14:textId="22746238" w:rsidR="009C2644" w:rsidRPr="00731EA5" w:rsidRDefault="009C2644" w:rsidP="009C2644">
            <w:pPr>
              <w:jc w:val="right"/>
              <w:rPr>
                <w:rFonts w:ascii="Arial" w:hAnsi="Arial" w:cs="Arial"/>
                <w:sz w:val="17"/>
                <w:szCs w:val="17"/>
              </w:rPr>
            </w:pPr>
            <w:r w:rsidRPr="00731EA5">
              <w:rPr>
                <w:rFonts w:ascii="Arial" w:hAnsi="Arial" w:cs="Arial"/>
                <w:sz w:val="17"/>
                <w:szCs w:val="17"/>
              </w:rPr>
              <w:t>(0.0</w:t>
            </w:r>
            <w:r w:rsidR="003A2C50">
              <w:rPr>
                <w:rFonts w:ascii="Arial" w:hAnsi="Arial" w:cs="Arial"/>
                <w:sz w:val="17"/>
                <w:szCs w:val="17"/>
              </w:rPr>
              <w:t>5</w:t>
            </w:r>
            <w:r w:rsidRPr="00731EA5">
              <w:rPr>
                <w:rFonts w:ascii="Arial" w:hAnsi="Arial" w:cs="Arial"/>
                <w:sz w:val="17"/>
                <w:szCs w:val="17"/>
              </w:rPr>
              <w:t>)</w:t>
            </w:r>
          </w:p>
        </w:tc>
      </w:tr>
      <w:tr w:rsidR="009C2644" w14:paraId="0C1B0FCA" w14:textId="77777777" w:rsidTr="005435FC">
        <w:tc>
          <w:tcPr>
            <w:tcW w:w="1727" w:type="dxa"/>
          </w:tcPr>
          <w:p w14:paraId="23526FFF" w14:textId="00DB1A87" w:rsidR="009C2644" w:rsidRPr="00731EA5" w:rsidRDefault="009C2644" w:rsidP="009C2644">
            <w:pPr>
              <w:rPr>
                <w:rFonts w:ascii="Arial" w:hAnsi="Arial" w:cs="Arial"/>
                <w:sz w:val="17"/>
                <w:szCs w:val="17"/>
              </w:rPr>
            </w:pPr>
            <w:r w:rsidRPr="00731EA5">
              <w:rPr>
                <w:rFonts w:ascii="Arial" w:hAnsi="Arial" w:cs="Arial"/>
                <w:sz w:val="17"/>
                <w:szCs w:val="17"/>
              </w:rPr>
              <w:t>-Diluted</w:t>
            </w:r>
          </w:p>
        </w:tc>
        <w:tc>
          <w:tcPr>
            <w:tcW w:w="784" w:type="dxa"/>
            <w:shd w:val="clear" w:color="auto" w:fill="D0CECE" w:themeFill="background2" w:themeFillShade="E6"/>
          </w:tcPr>
          <w:p w14:paraId="6BF2C9BA" w14:textId="25104CC3" w:rsidR="009C2644" w:rsidRPr="00C81A29" w:rsidRDefault="009C2644" w:rsidP="009C2644">
            <w:pPr>
              <w:jc w:val="right"/>
              <w:rPr>
                <w:rFonts w:ascii="Arial" w:hAnsi="Arial" w:cs="Arial"/>
                <w:b/>
                <w:sz w:val="17"/>
                <w:szCs w:val="17"/>
              </w:rPr>
            </w:pPr>
            <w:r w:rsidRPr="00C81A29">
              <w:rPr>
                <w:rFonts w:ascii="Arial" w:hAnsi="Arial" w:cs="Arial"/>
                <w:b/>
                <w:sz w:val="17"/>
                <w:szCs w:val="17"/>
              </w:rPr>
              <w:t>(0.0</w:t>
            </w:r>
            <w:r w:rsidR="00290443">
              <w:rPr>
                <w:rFonts w:ascii="Arial" w:hAnsi="Arial" w:cs="Arial"/>
                <w:b/>
                <w:sz w:val="17"/>
                <w:szCs w:val="17"/>
              </w:rPr>
              <w:t>1</w:t>
            </w:r>
            <w:r w:rsidRPr="00C81A29">
              <w:rPr>
                <w:rFonts w:ascii="Arial" w:hAnsi="Arial" w:cs="Arial"/>
                <w:b/>
                <w:sz w:val="17"/>
                <w:szCs w:val="17"/>
              </w:rPr>
              <w:t>)</w:t>
            </w:r>
          </w:p>
        </w:tc>
        <w:tc>
          <w:tcPr>
            <w:tcW w:w="784" w:type="dxa"/>
            <w:shd w:val="clear" w:color="auto" w:fill="FFFFFF" w:themeFill="background1"/>
            <w:vAlign w:val="bottom"/>
          </w:tcPr>
          <w:p w14:paraId="2C9F60DB" w14:textId="417C504E" w:rsidR="009C2644" w:rsidRPr="009C2644" w:rsidRDefault="009C2644" w:rsidP="009C2644">
            <w:pPr>
              <w:jc w:val="right"/>
              <w:rPr>
                <w:rFonts w:ascii="Arial" w:hAnsi="Arial" w:cs="Arial"/>
                <w:sz w:val="17"/>
                <w:szCs w:val="17"/>
              </w:rPr>
            </w:pPr>
            <w:r w:rsidRPr="009C2644">
              <w:rPr>
                <w:rFonts w:ascii="Arial" w:hAnsi="Arial" w:cs="Arial"/>
                <w:sz w:val="17"/>
                <w:szCs w:val="17"/>
              </w:rPr>
              <w:t>0.0</w:t>
            </w:r>
            <w:r w:rsidR="00D43D18">
              <w:rPr>
                <w:rFonts w:ascii="Arial" w:hAnsi="Arial" w:cs="Arial"/>
                <w:sz w:val="17"/>
                <w:szCs w:val="17"/>
              </w:rPr>
              <w:t>1</w:t>
            </w:r>
          </w:p>
        </w:tc>
        <w:tc>
          <w:tcPr>
            <w:tcW w:w="784" w:type="dxa"/>
            <w:vAlign w:val="bottom"/>
          </w:tcPr>
          <w:p w14:paraId="79537584" w14:textId="425CBA5B" w:rsidR="009C2644" w:rsidRPr="00731EA5" w:rsidRDefault="009C2644" w:rsidP="009C2644">
            <w:pPr>
              <w:jc w:val="right"/>
              <w:rPr>
                <w:rFonts w:ascii="Arial" w:hAnsi="Arial" w:cs="Arial"/>
                <w:sz w:val="17"/>
                <w:szCs w:val="17"/>
              </w:rPr>
            </w:pPr>
            <w:r w:rsidRPr="00731EA5">
              <w:rPr>
                <w:rFonts w:ascii="Arial" w:hAnsi="Arial" w:cs="Arial"/>
                <w:sz w:val="17"/>
                <w:szCs w:val="17"/>
              </w:rPr>
              <w:t>(0.</w:t>
            </w:r>
            <w:r>
              <w:rPr>
                <w:rFonts w:ascii="Arial" w:hAnsi="Arial" w:cs="Arial"/>
                <w:sz w:val="17"/>
                <w:szCs w:val="17"/>
              </w:rPr>
              <w:t>01</w:t>
            </w:r>
            <w:r w:rsidRPr="00731EA5">
              <w:rPr>
                <w:rFonts w:ascii="Arial" w:hAnsi="Arial" w:cs="Arial"/>
                <w:sz w:val="17"/>
                <w:szCs w:val="17"/>
              </w:rPr>
              <w:t>)</w:t>
            </w:r>
          </w:p>
        </w:tc>
        <w:tc>
          <w:tcPr>
            <w:tcW w:w="784" w:type="dxa"/>
            <w:vAlign w:val="bottom"/>
          </w:tcPr>
          <w:p w14:paraId="11D03F7E" w14:textId="6456EF07"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7D208608" w14:textId="1AA4AA55"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5</w:t>
            </w:r>
            <w:r w:rsidRPr="00731EA5">
              <w:rPr>
                <w:rFonts w:ascii="Arial" w:hAnsi="Arial" w:cs="Arial"/>
                <w:sz w:val="17"/>
                <w:szCs w:val="17"/>
              </w:rPr>
              <w:t>)</w:t>
            </w:r>
          </w:p>
        </w:tc>
        <w:tc>
          <w:tcPr>
            <w:tcW w:w="784" w:type="dxa"/>
            <w:vAlign w:val="bottom"/>
          </w:tcPr>
          <w:p w14:paraId="63C2E920" w14:textId="7FB918A8" w:rsidR="009C2644" w:rsidRPr="00731EA5" w:rsidRDefault="009C2644" w:rsidP="009C2644">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47765328" w14:textId="48382C58" w:rsidR="009C2644" w:rsidRPr="00731EA5" w:rsidRDefault="009C2644" w:rsidP="009C2644">
            <w:pPr>
              <w:jc w:val="right"/>
              <w:rPr>
                <w:rFonts w:ascii="Arial" w:hAnsi="Arial" w:cs="Arial"/>
                <w:sz w:val="17"/>
                <w:szCs w:val="17"/>
              </w:rPr>
            </w:pPr>
            <w:r w:rsidRPr="00731EA5">
              <w:rPr>
                <w:rFonts w:ascii="Arial" w:hAnsi="Arial" w:cs="Arial"/>
                <w:sz w:val="17"/>
                <w:szCs w:val="17"/>
              </w:rPr>
              <w:t>(0.01)</w:t>
            </w:r>
          </w:p>
        </w:tc>
        <w:tc>
          <w:tcPr>
            <w:tcW w:w="784" w:type="dxa"/>
            <w:vAlign w:val="bottom"/>
          </w:tcPr>
          <w:p w14:paraId="2160F9E7" w14:textId="4F6000F6" w:rsidR="009C2644" w:rsidRPr="00731EA5" w:rsidRDefault="009C2644" w:rsidP="009C2644">
            <w:pPr>
              <w:jc w:val="right"/>
              <w:rPr>
                <w:rFonts w:ascii="Arial" w:hAnsi="Arial" w:cs="Arial"/>
                <w:sz w:val="17"/>
                <w:szCs w:val="17"/>
              </w:rPr>
            </w:pPr>
            <w:r w:rsidRPr="00731EA5">
              <w:rPr>
                <w:rFonts w:ascii="Arial" w:hAnsi="Arial" w:cs="Arial"/>
                <w:sz w:val="17"/>
                <w:szCs w:val="17"/>
              </w:rPr>
              <w:t>(0.04)</w:t>
            </w:r>
          </w:p>
        </w:tc>
        <w:tc>
          <w:tcPr>
            <w:tcW w:w="784" w:type="dxa"/>
            <w:shd w:val="clear" w:color="auto" w:fill="D0CECE" w:themeFill="background2" w:themeFillShade="E6"/>
          </w:tcPr>
          <w:p w14:paraId="1852FF73" w14:textId="55068893" w:rsidR="009C2644" w:rsidRPr="00C81A29" w:rsidRDefault="009C2644" w:rsidP="009C2644">
            <w:pPr>
              <w:jc w:val="right"/>
              <w:rPr>
                <w:rFonts w:ascii="Arial" w:hAnsi="Arial" w:cs="Arial"/>
                <w:b/>
                <w:sz w:val="17"/>
                <w:szCs w:val="17"/>
              </w:rPr>
            </w:pPr>
            <w:r w:rsidRPr="00C81A29">
              <w:rPr>
                <w:rFonts w:ascii="Arial" w:hAnsi="Arial" w:cs="Arial"/>
                <w:b/>
                <w:sz w:val="17"/>
                <w:szCs w:val="17"/>
              </w:rPr>
              <w:t>(0.0</w:t>
            </w:r>
            <w:r w:rsidR="00290443">
              <w:rPr>
                <w:rFonts w:ascii="Arial" w:hAnsi="Arial" w:cs="Arial"/>
                <w:b/>
                <w:sz w:val="17"/>
                <w:szCs w:val="17"/>
              </w:rPr>
              <w:t>1</w:t>
            </w:r>
            <w:r w:rsidRPr="00C81A29">
              <w:rPr>
                <w:rFonts w:ascii="Arial" w:hAnsi="Arial" w:cs="Arial"/>
                <w:b/>
                <w:sz w:val="17"/>
                <w:szCs w:val="17"/>
              </w:rPr>
              <w:t>)</w:t>
            </w:r>
          </w:p>
        </w:tc>
        <w:tc>
          <w:tcPr>
            <w:tcW w:w="785" w:type="dxa"/>
            <w:vAlign w:val="bottom"/>
          </w:tcPr>
          <w:p w14:paraId="431E91A7" w14:textId="2CC3A266" w:rsidR="009C2644" w:rsidRPr="00731EA5" w:rsidRDefault="009C2644" w:rsidP="009C2644">
            <w:pPr>
              <w:jc w:val="right"/>
              <w:rPr>
                <w:rFonts w:ascii="Arial" w:hAnsi="Arial" w:cs="Arial"/>
                <w:sz w:val="17"/>
                <w:szCs w:val="17"/>
              </w:rPr>
            </w:pPr>
            <w:r w:rsidRPr="00731EA5">
              <w:rPr>
                <w:rFonts w:ascii="Arial" w:hAnsi="Arial" w:cs="Arial"/>
                <w:sz w:val="17"/>
                <w:szCs w:val="17"/>
              </w:rPr>
              <w:t>(0.0</w:t>
            </w:r>
            <w:r w:rsidR="003A2C50">
              <w:rPr>
                <w:rFonts w:ascii="Arial" w:hAnsi="Arial" w:cs="Arial"/>
                <w:sz w:val="17"/>
                <w:szCs w:val="17"/>
              </w:rPr>
              <w:t>5</w:t>
            </w:r>
            <w:r w:rsidRPr="00731EA5">
              <w:rPr>
                <w:rFonts w:ascii="Arial" w:hAnsi="Arial" w:cs="Arial"/>
                <w:sz w:val="17"/>
                <w:szCs w:val="17"/>
              </w:rPr>
              <w:t>)</w:t>
            </w:r>
          </w:p>
        </w:tc>
      </w:tr>
      <w:tr w:rsidR="009C2644" w14:paraId="29BA3174" w14:textId="77777777" w:rsidTr="005435FC">
        <w:tc>
          <w:tcPr>
            <w:tcW w:w="1727" w:type="dxa"/>
          </w:tcPr>
          <w:p w14:paraId="09EEAFE0" w14:textId="794D1684" w:rsidR="009C2644" w:rsidRPr="00731EA5" w:rsidRDefault="009C2644" w:rsidP="009C2644">
            <w:pPr>
              <w:rPr>
                <w:rFonts w:ascii="Arial" w:hAnsi="Arial" w:cs="Arial"/>
                <w:sz w:val="17"/>
                <w:szCs w:val="17"/>
              </w:rPr>
            </w:pPr>
            <w:r w:rsidRPr="00731EA5">
              <w:rPr>
                <w:rFonts w:ascii="Arial" w:hAnsi="Arial" w:cs="Arial"/>
                <w:sz w:val="17"/>
                <w:szCs w:val="17"/>
              </w:rPr>
              <w:t>Cash dividends declared</w:t>
            </w:r>
          </w:p>
        </w:tc>
        <w:tc>
          <w:tcPr>
            <w:tcW w:w="784" w:type="dxa"/>
            <w:shd w:val="clear" w:color="auto" w:fill="D0CECE" w:themeFill="background2" w:themeFillShade="E6"/>
          </w:tcPr>
          <w:p w14:paraId="1E061D3C" w14:textId="77777777" w:rsidR="009C2644" w:rsidRPr="00C81A29" w:rsidRDefault="009C2644" w:rsidP="009C2644">
            <w:pPr>
              <w:jc w:val="right"/>
              <w:rPr>
                <w:rFonts w:ascii="Arial" w:hAnsi="Arial" w:cs="Arial"/>
                <w:b/>
                <w:sz w:val="17"/>
                <w:szCs w:val="17"/>
              </w:rPr>
            </w:pPr>
          </w:p>
          <w:p w14:paraId="7CCCC398" w14:textId="5F56BFBA" w:rsidR="009C2644" w:rsidRPr="00C81A29" w:rsidRDefault="009C2644" w:rsidP="009C2644">
            <w:pPr>
              <w:jc w:val="right"/>
              <w:rPr>
                <w:rFonts w:ascii="Arial" w:hAnsi="Arial" w:cs="Arial"/>
                <w:b/>
                <w:sz w:val="17"/>
                <w:szCs w:val="17"/>
              </w:rPr>
            </w:pPr>
            <w:r w:rsidRPr="00C81A29">
              <w:rPr>
                <w:rFonts w:ascii="Arial" w:hAnsi="Arial" w:cs="Arial"/>
                <w:b/>
                <w:sz w:val="17"/>
                <w:szCs w:val="17"/>
              </w:rPr>
              <w:t>-</w:t>
            </w:r>
          </w:p>
        </w:tc>
        <w:tc>
          <w:tcPr>
            <w:tcW w:w="784" w:type="dxa"/>
            <w:shd w:val="clear" w:color="auto" w:fill="FFFFFF" w:themeFill="background1"/>
            <w:vAlign w:val="bottom"/>
          </w:tcPr>
          <w:p w14:paraId="24DDE5F0" w14:textId="1DD268D4" w:rsidR="009C2644" w:rsidRPr="009C2644" w:rsidRDefault="009C2644" w:rsidP="009C2644">
            <w:pPr>
              <w:jc w:val="right"/>
              <w:rPr>
                <w:rFonts w:ascii="Arial" w:hAnsi="Arial" w:cs="Arial"/>
                <w:sz w:val="17"/>
                <w:szCs w:val="17"/>
              </w:rPr>
            </w:pPr>
            <w:r w:rsidRPr="009C2644">
              <w:rPr>
                <w:rFonts w:ascii="Arial" w:hAnsi="Arial" w:cs="Arial"/>
                <w:sz w:val="17"/>
                <w:szCs w:val="17"/>
              </w:rPr>
              <w:t>-</w:t>
            </w:r>
          </w:p>
        </w:tc>
        <w:tc>
          <w:tcPr>
            <w:tcW w:w="784" w:type="dxa"/>
            <w:vAlign w:val="bottom"/>
          </w:tcPr>
          <w:p w14:paraId="6FCAFF8D" w14:textId="37A74262"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59BABC7B" w14:textId="77D1A897"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6BDDA90D" w14:textId="7235BCAE"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31AB46EB" w14:textId="5CD6089A"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12CC6E21" w14:textId="2DF55F33"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47A9A9C6" w14:textId="17E63D86"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shd w:val="clear" w:color="auto" w:fill="D0CECE" w:themeFill="background2" w:themeFillShade="E6"/>
          </w:tcPr>
          <w:p w14:paraId="4265AD4E" w14:textId="77777777" w:rsidR="009C2644" w:rsidRPr="00C81A29" w:rsidRDefault="009C2644" w:rsidP="009C2644">
            <w:pPr>
              <w:jc w:val="right"/>
              <w:rPr>
                <w:rFonts w:ascii="Arial" w:hAnsi="Arial" w:cs="Arial"/>
                <w:b/>
                <w:sz w:val="17"/>
                <w:szCs w:val="17"/>
              </w:rPr>
            </w:pPr>
          </w:p>
          <w:p w14:paraId="6918796C" w14:textId="51B66340" w:rsidR="009C2644" w:rsidRPr="00C81A29" w:rsidRDefault="009C2644" w:rsidP="009C2644">
            <w:pPr>
              <w:jc w:val="right"/>
              <w:rPr>
                <w:rFonts w:ascii="Arial" w:hAnsi="Arial" w:cs="Arial"/>
                <w:b/>
                <w:sz w:val="17"/>
                <w:szCs w:val="17"/>
              </w:rPr>
            </w:pPr>
            <w:r w:rsidRPr="00C81A29">
              <w:rPr>
                <w:rFonts w:ascii="Arial" w:hAnsi="Arial" w:cs="Arial"/>
                <w:b/>
                <w:sz w:val="17"/>
                <w:szCs w:val="17"/>
              </w:rPr>
              <w:t>-</w:t>
            </w:r>
          </w:p>
        </w:tc>
        <w:tc>
          <w:tcPr>
            <w:tcW w:w="785" w:type="dxa"/>
            <w:vAlign w:val="bottom"/>
          </w:tcPr>
          <w:p w14:paraId="6AF713A7" w14:textId="4594359C"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r>
      <w:tr w:rsidR="009C2644" w14:paraId="690A259F" w14:textId="77777777" w:rsidTr="005435FC">
        <w:tc>
          <w:tcPr>
            <w:tcW w:w="1727" w:type="dxa"/>
          </w:tcPr>
          <w:p w14:paraId="475AFB20" w14:textId="5531ED91" w:rsidR="009C2644" w:rsidRPr="00731EA5" w:rsidRDefault="009C2644" w:rsidP="009C2644">
            <w:pPr>
              <w:rPr>
                <w:rFonts w:ascii="Arial" w:hAnsi="Arial" w:cs="Arial"/>
                <w:sz w:val="17"/>
                <w:szCs w:val="17"/>
              </w:rPr>
            </w:pPr>
            <w:r w:rsidRPr="00731EA5">
              <w:rPr>
                <w:rFonts w:ascii="Arial" w:hAnsi="Arial" w:cs="Arial"/>
                <w:sz w:val="17"/>
                <w:szCs w:val="17"/>
              </w:rPr>
              <w:t>Total assets</w:t>
            </w:r>
          </w:p>
        </w:tc>
        <w:tc>
          <w:tcPr>
            <w:tcW w:w="784" w:type="dxa"/>
            <w:shd w:val="clear" w:color="auto" w:fill="D0CECE" w:themeFill="background2" w:themeFillShade="E6"/>
          </w:tcPr>
          <w:p w14:paraId="6A48DF17" w14:textId="47505803" w:rsidR="009C2644" w:rsidRPr="00C81A29" w:rsidRDefault="009C2644" w:rsidP="009C2644">
            <w:pPr>
              <w:jc w:val="right"/>
              <w:rPr>
                <w:rFonts w:ascii="Arial" w:hAnsi="Arial" w:cs="Arial"/>
                <w:b/>
                <w:sz w:val="17"/>
                <w:szCs w:val="17"/>
              </w:rPr>
            </w:pPr>
            <w:r w:rsidRPr="00C81A29">
              <w:rPr>
                <w:rFonts w:ascii="Arial" w:hAnsi="Arial" w:cs="Arial"/>
                <w:b/>
                <w:sz w:val="17"/>
                <w:szCs w:val="17"/>
              </w:rPr>
              <w:t>2,417</w:t>
            </w:r>
          </w:p>
        </w:tc>
        <w:tc>
          <w:tcPr>
            <w:tcW w:w="784" w:type="dxa"/>
            <w:shd w:val="clear" w:color="auto" w:fill="FFFFFF" w:themeFill="background1"/>
            <w:vAlign w:val="bottom"/>
          </w:tcPr>
          <w:p w14:paraId="0860C2EF" w14:textId="6DE7A9DF" w:rsidR="009C2644" w:rsidRPr="009C2644" w:rsidRDefault="009C2644" w:rsidP="009C2644">
            <w:pPr>
              <w:jc w:val="right"/>
              <w:rPr>
                <w:rFonts w:ascii="Arial" w:hAnsi="Arial" w:cs="Arial"/>
                <w:sz w:val="17"/>
                <w:szCs w:val="17"/>
              </w:rPr>
            </w:pPr>
            <w:r w:rsidRPr="009C2644">
              <w:rPr>
                <w:rFonts w:ascii="Arial" w:hAnsi="Arial" w:cs="Arial"/>
                <w:sz w:val="17"/>
                <w:szCs w:val="17"/>
              </w:rPr>
              <w:t>514</w:t>
            </w:r>
          </w:p>
        </w:tc>
        <w:tc>
          <w:tcPr>
            <w:tcW w:w="784" w:type="dxa"/>
            <w:vAlign w:val="bottom"/>
          </w:tcPr>
          <w:p w14:paraId="0323092B" w14:textId="2587619D" w:rsidR="009C2644" w:rsidRPr="00731EA5" w:rsidRDefault="009C2644" w:rsidP="009C2644">
            <w:pPr>
              <w:jc w:val="right"/>
              <w:rPr>
                <w:rFonts w:ascii="Arial" w:hAnsi="Arial" w:cs="Arial"/>
                <w:sz w:val="17"/>
                <w:szCs w:val="17"/>
              </w:rPr>
            </w:pPr>
            <w:r w:rsidRPr="00731EA5">
              <w:rPr>
                <w:rFonts w:ascii="Arial" w:hAnsi="Arial" w:cs="Arial"/>
                <w:sz w:val="17"/>
                <w:szCs w:val="17"/>
              </w:rPr>
              <w:t>1,546</w:t>
            </w:r>
          </w:p>
        </w:tc>
        <w:tc>
          <w:tcPr>
            <w:tcW w:w="784" w:type="dxa"/>
            <w:vAlign w:val="bottom"/>
          </w:tcPr>
          <w:p w14:paraId="72236EE4" w14:textId="55B897CE" w:rsidR="009C2644" w:rsidRPr="00731EA5" w:rsidRDefault="009C2644" w:rsidP="009C2644">
            <w:pPr>
              <w:jc w:val="right"/>
              <w:rPr>
                <w:rFonts w:ascii="Arial" w:hAnsi="Arial" w:cs="Arial"/>
                <w:sz w:val="17"/>
                <w:szCs w:val="17"/>
              </w:rPr>
            </w:pPr>
            <w:r w:rsidRPr="00731EA5">
              <w:rPr>
                <w:rFonts w:ascii="Arial" w:hAnsi="Arial" w:cs="Arial"/>
                <w:sz w:val="17"/>
                <w:szCs w:val="17"/>
              </w:rPr>
              <w:t>1,038</w:t>
            </w:r>
          </w:p>
        </w:tc>
        <w:tc>
          <w:tcPr>
            <w:tcW w:w="784" w:type="dxa"/>
            <w:vAlign w:val="bottom"/>
          </w:tcPr>
          <w:p w14:paraId="54620A7A" w14:textId="6A600A57" w:rsidR="009C2644" w:rsidRPr="00731EA5" w:rsidRDefault="009C2644" w:rsidP="009C2644">
            <w:pPr>
              <w:jc w:val="right"/>
              <w:rPr>
                <w:rFonts w:ascii="Arial" w:hAnsi="Arial" w:cs="Arial"/>
                <w:sz w:val="17"/>
                <w:szCs w:val="17"/>
              </w:rPr>
            </w:pPr>
            <w:r>
              <w:rPr>
                <w:rFonts w:ascii="Arial" w:hAnsi="Arial" w:cs="Arial"/>
                <w:sz w:val="17"/>
                <w:szCs w:val="17"/>
              </w:rPr>
              <w:t>1,359</w:t>
            </w:r>
          </w:p>
        </w:tc>
        <w:tc>
          <w:tcPr>
            <w:tcW w:w="784" w:type="dxa"/>
            <w:vAlign w:val="bottom"/>
          </w:tcPr>
          <w:p w14:paraId="5038DF95" w14:textId="5299F08D" w:rsidR="009C2644" w:rsidRPr="00731EA5" w:rsidRDefault="009C2644" w:rsidP="009C2644">
            <w:pPr>
              <w:jc w:val="right"/>
              <w:rPr>
                <w:rFonts w:ascii="Arial" w:hAnsi="Arial" w:cs="Arial"/>
                <w:sz w:val="17"/>
                <w:szCs w:val="17"/>
              </w:rPr>
            </w:pPr>
            <w:r w:rsidRPr="00731EA5">
              <w:rPr>
                <w:rFonts w:ascii="Arial" w:hAnsi="Arial" w:cs="Arial"/>
                <w:sz w:val="17"/>
                <w:szCs w:val="17"/>
              </w:rPr>
              <w:t>630</w:t>
            </w:r>
          </w:p>
        </w:tc>
        <w:tc>
          <w:tcPr>
            <w:tcW w:w="784" w:type="dxa"/>
            <w:vAlign w:val="bottom"/>
          </w:tcPr>
          <w:p w14:paraId="30E63B3C" w14:textId="76AE2DAE" w:rsidR="009C2644" w:rsidRPr="00731EA5" w:rsidRDefault="009C2644" w:rsidP="009C2644">
            <w:pPr>
              <w:jc w:val="right"/>
              <w:rPr>
                <w:rFonts w:ascii="Arial" w:hAnsi="Arial" w:cs="Arial"/>
                <w:sz w:val="17"/>
                <w:szCs w:val="17"/>
              </w:rPr>
            </w:pPr>
            <w:r w:rsidRPr="00731EA5">
              <w:rPr>
                <w:rFonts w:ascii="Arial" w:hAnsi="Arial" w:cs="Arial"/>
                <w:sz w:val="17"/>
                <w:szCs w:val="17"/>
              </w:rPr>
              <w:t>647</w:t>
            </w:r>
          </w:p>
        </w:tc>
        <w:tc>
          <w:tcPr>
            <w:tcW w:w="784" w:type="dxa"/>
            <w:vAlign w:val="bottom"/>
          </w:tcPr>
          <w:p w14:paraId="0B7B3A0D" w14:textId="131B71F6" w:rsidR="009C2644" w:rsidRPr="00731EA5" w:rsidRDefault="009C2644" w:rsidP="009C2644">
            <w:pPr>
              <w:jc w:val="right"/>
              <w:rPr>
                <w:rFonts w:ascii="Arial" w:hAnsi="Arial" w:cs="Arial"/>
                <w:sz w:val="17"/>
                <w:szCs w:val="17"/>
              </w:rPr>
            </w:pPr>
            <w:r w:rsidRPr="00731EA5">
              <w:rPr>
                <w:rFonts w:ascii="Arial" w:hAnsi="Arial" w:cs="Arial"/>
                <w:sz w:val="17"/>
                <w:szCs w:val="17"/>
              </w:rPr>
              <w:t>679</w:t>
            </w:r>
          </w:p>
        </w:tc>
        <w:tc>
          <w:tcPr>
            <w:tcW w:w="784" w:type="dxa"/>
            <w:shd w:val="clear" w:color="auto" w:fill="D0CECE" w:themeFill="background2" w:themeFillShade="E6"/>
          </w:tcPr>
          <w:p w14:paraId="612CDC39" w14:textId="2B7C333E" w:rsidR="009C2644" w:rsidRPr="00C81A29" w:rsidRDefault="009C2644" w:rsidP="009C2644">
            <w:pPr>
              <w:jc w:val="right"/>
              <w:rPr>
                <w:rFonts w:ascii="Arial" w:hAnsi="Arial" w:cs="Arial"/>
                <w:b/>
                <w:sz w:val="17"/>
                <w:szCs w:val="17"/>
              </w:rPr>
            </w:pPr>
            <w:r w:rsidRPr="00C81A29">
              <w:rPr>
                <w:rFonts w:ascii="Arial" w:hAnsi="Arial" w:cs="Arial"/>
                <w:b/>
                <w:sz w:val="17"/>
                <w:szCs w:val="17"/>
              </w:rPr>
              <w:t>2,417</w:t>
            </w:r>
          </w:p>
        </w:tc>
        <w:tc>
          <w:tcPr>
            <w:tcW w:w="785" w:type="dxa"/>
            <w:vAlign w:val="bottom"/>
          </w:tcPr>
          <w:p w14:paraId="110952B9" w14:textId="70B75300" w:rsidR="009C2644" w:rsidRPr="00731EA5" w:rsidRDefault="009C2644" w:rsidP="009C2644">
            <w:pPr>
              <w:jc w:val="right"/>
              <w:rPr>
                <w:rFonts w:ascii="Arial" w:hAnsi="Arial" w:cs="Arial"/>
                <w:sz w:val="17"/>
                <w:szCs w:val="17"/>
              </w:rPr>
            </w:pPr>
            <w:r>
              <w:rPr>
                <w:rFonts w:ascii="Arial" w:hAnsi="Arial" w:cs="Arial"/>
                <w:sz w:val="17"/>
                <w:szCs w:val="17"/>
              </w:rPr>
              <w:t>1,359</w:t>
            </w:r>
          </w:p>
        </w:tc>
      </w:tr>
      <w:tr w:rsidR="009C2644" w14:paraId="2DC9C99D" w14:textId="77777777" w:rsidTr="009E0B8F">
        <w:tc>
          <w:tcPr>
            <w:tcW w:w="1727" w:type="dxa"/>
          </w:tcPr>
          <w:p w14:paraId="6708041B" w14:textId="77777777" w:rsidR="009C2644" w:rsidRPr="00731EA5" w:rsidRDefault="009C2644" w:rsidP="009C2644">
            <w:pPr>
              <w:rPr>
                <w:rFonts w:ascii="Arial" w:hAnsi="Arial" w:cs="Arial"/>
                <w:sz w:val="17"/>
                <w:szCs w:val="17"/>
              </w:rPr>
            </w:pPr>
          </w:p>
        </w:tc>
        <w:tc>
          <w:tcPr>
            <w:tcW w:w="784" w:type="dxa"/>
            <w:shd w:val="clear" w:color="auto" w:fill="D0CECE" w:themeFill="background2" w:themeFillShade="E6"/>
          </w:tcPr>
          <w:p w14:paraId="7C921DCA" w14:textId="77777777" w:rsidR="009C2644" w:rsidRPr="00C81A29" w:rsidRDefault="009C2644" w:rsidP="009C2644">
            <w:pPr>
              <w:jc w:val="right"/>
              <w:rPr>
                <w:rFonts w:ascii="Arial" w:hAnsi="Arial" w:cs="Arial"/>
                <w:b/>
                <w:sz w:val="17"/>
                <w:szCs w:val="17"/>
              </w:rPr>
            </w:pPr>
          </w:p>
        </w:tc>
        <w:tc>
          <w:tcPr>
            <w:tcW w:w="784" w:type="dxa"/>
            <w:shd w:val="clear" w:color="auto" w:fill="FFFFFF" w:themeFill="background1"/>
            <w:vAlign w:val="bottom"/>
          </w:tcPr>
          <w:p w14:paraId="39927F43" w14:textId="08A3521F" w:rsidR="009C2644" w:rsidRPr="009C2644" w:rsidRDefault="009C2644" w:rsidP="009C2644">
            <w:pPr>
              <w:jc w:val="right"/>
              <w:rPr>
                <w:rFonts w:ascii="Arial" w:hAnsi="Arial" w:cs="Arial"/>
                <w:sz w:val="17"/>
                <w:szCs w:val="17"/>
              </w:rPr>
            </w:pPr>
          </w:p>
        </w:tc>
        <w:tc>
          <w:tcPr>
            <w:tcW w:w="784" w:type="dxa"/>
            <w:vAlign w:val="bottom"/>
          </w:tcPr>
          <w:p w14:paraId="4429060E" w14:textId="77777777" w:rsidR="009C2644" w:rsidRPr="00731EA5" w:rsidRDefault="009C2644" w:rsidP="009C2644">
            <w:pPr>
              <w:jc w:val="right"/>
              <w:rPr>
                <w:rFonts w:ascii="Arial" w:hAnsi="Arial" w:cs="Arial"/>
                <w:sz w:val="17"/>
                <w:szCs w:val="17"/>
              </w:rPr>
            </w:pPr>
          </w:p>
        </w:tc>
        <w:tc>
          <w:tcPr>
            <w:tcW w:w="784" w:type="dxa"/>
            <w:vAlign w:val="bottom"/>
          </w:tcPr>
          <w:p w14:paraId="74DA2352" w14:textId="77777777" w:rsidR="009C2644" w:rsidRPr="00731EA5" w:rsidRDefault="009C2644" w:rsidP="009C2644">
            <w:pPr>
              <w:jc w:val="right"/>
              <w:rPr>
                <w:rFonts w:ascii="Arial" w:hAnsi="Arial" w:cs="Arial"/>
                <w:sz w:val="17"/>
                <w:szCs w:val="17"/>
              </w:rPr>
            </w:pPr>
          </w:p>
        </w:tc>
        <w:tc>
          <w:tcPr>
            <w:tcW w:w="784" w:type="dxa"/>
            <w:vAlign w:val="bottom"/>
          </w:tcPr>
          <w:p w14:paraId="6F89F1A1" w14:textId="77777777" w:rsidR="009C2644" w:rsidRPr="00731EA5" w:rsidRDefault="009C2644" w:rsidP="009C2644">
            <w:pPr>
              <w:jc w:val="right"/>
              <w:rPr>
                <w:rFonts w:ascii="Arial" w:hAnsi="Arial" w:cs="Arial"/>
                <w:sz w:val="17"/>
                <w:szCs w:val="17"/>
              </w:rPr>
            </w:pPr>
          </w:p>
        </w:tc>
        <w:tc>
          <w:tcPr>
            <w:tcW w:w="784" w:type="dxa"/>
            <w:vAlign w:val="bottom"/>
          </w:tcPr>
          <w:p w14:paraId="1A079C9C" w14:textId="77777777" w:rsidR="009C2644" w:rsidRPr="00731EA5" w:rsidRDefault="009C2644" w:rsidP="009C2644">
            <w:pPr>
              <w:jc w:val="right"/>
              <w:rPr>
                <w:rFonts w:ascii="Arial" w:hAnsi="Arial" w:cs="Arial"/>
                <w:sz w:val="17"/>
                <w:szCs w:val="17"/>
              </w:rPr>
            </w:pPr>
          </w:p>
        </w:tc>
        <w:tc>
          <w:tcPr>
            <w:tcW w:w="784" w:type="dxa"/>
            <w:vAlign w:val="bottom"/>
          </w:tcPr>
          <w:p w14:paraId="310FCE89" w14:textId="77777777" w:rsidR="009C2644" w:rsidRPr="00731EA5" w:rsidRDefault="009C2644" w:rsidP="009C2644">
            <w:pPr>
              <w:jc w:val="right"/>
              <w:rPr>
                <w:rFonts w:ascii="Arial" w:hAnsi="Arial" w:cs="Arial"/>
                <w:sz w:val="17"/>
                <w:szCs w:val="17"/>
              </w:rPr>
            </w:pPr>
          </w:p>
        </w:tc>
        <w:tc>
          <w:tcPr>
            <w:tcW w:w="784" w:type="dxa"/>
            <w:vAlign w:val="bottom"/>
          </w:tcPr>
          <w:p w14:paraId="46732AA5" w14:textId="77777777" w:rsidR="009C2644" w:rsidRPr="00731EA5" w:rsidRDefault="009C2644" w:rsidP="009C2644">
            <w:pPr>
              <w:jc w:val="right"/>
              <w:rPr>
                <w:rFonts w:ascii="Arial" w:hAnsi="Arial" w:cs="Arial"/>
                <w:sz w:val="17"/>
                <w:szCs w:val="17"/>
              </w:rPr>
            </w:pPr>
          </w:p>
        </w:tc>
        <w:tc>
          <w:tcPr>
            <w:tcW w:w="784" w:type="dxa"/>
            <w:shd w:val="clear" w:color="auto" w:fill="D0CECE" w:themeFill="background2" w:themeFillShade="E6"/>
            <w:vAlign w:val="bottom"/>
          </w:tcPr>
          <w:p w14:paraId="3A27D346" w14:textId="77777777" w:rsidR="009C2644" w:rsidRPr="00C81A29" w:rsidRDefault="009C2644" w:rsidP="009C2644">
            <w:pPr>
              <w:jc w:val="right"/>
              <w:rPr>
                <w:rFonts w:ascii="Arial" w:hAnsi="Arial" w:cs="Arial"/>
                <w:b/>
                <w:sz w:val="17"/>
                <w:szCs w:val="17"/>
              </w:rPr>
            </w:pPr>
          </w:p>
        </w:tc>
        <w:tc>
          <w:tcPr>
            <w:tcW w:w="785" w:type="dxa"/>
            <w:vAlign w:val="bottom"/>
          </w:tcPr>
          <w:p w14:paraId="24E0FE92" w14:textId="77777777" w:rsidR="009C2644" w:rsidRPr="00731EA5" w:rsidRDefault="009C2644" w:rsidP="009C2644">
            <w:pPr>
              <w:jc w:val="right"/>
              <w:rPr>
                <w:rFonts w:ascii="Arial" w:hAnsi="Arial" w:cs="Arial"/>
                <w:sz w:val="17"/>
                <w:szCs w:val="17"/>
              </w:rPr>
            </w:pPr>
          </w:p>
        </w:tc>
      </w:tr>
      <w:tr w:rsidR="009C2644" w14:paraId="76E20BF2" w14:textId="77777777" w:rsidTr="009E0B8F">
        <w:tc>
          <w:tcPr>
            <w:tcW w:w="1727" w:type="dxa"/>
          </w:tcPr>
          <w:p w14:paraId="31485BC3" w14:textId="556403BB" w:rsidR="009C2644" w:rsidRPr="003E79CE" w:rsidRDefault="009C2644" w:rsidP="009C2644">
            <w:pPr>
              <w:rPr>
                <w:rFonts w:ascii="Arial" w:hAnsi="Arial" w:cs="Arial"/>
                <w:b/>
                <w:sz w:val="17"/>
                <w:szCs w:val="17"/>
              </w:rPr>
            </w:pPr>
            <w:r w:rsidRPr="003E79CE">
              <w:rPr>
                <w:rFonts w:ascii="Arial" w:hAnsi="Arial" w:cs="Arial"/>
                <w:b/>
                <w:sz w:val="17"/>
                <w:szCs w:val="17"/>
              </w:rPr>
              <w:t>OPERATING RESULTS:</w:t>
            </w:r>
          </w:p>
        </w:tc>
        <w:tc>
          <w:tcPr>
            <w:tcW w:w="784" w:type="dxa"/>
            <w:shd w:val="clear" w:color="auto" w:fill="D0CECE" w:themeFill="background2" w:themeFillShade="E6"/>
          </w:tcPr>
          <w:p w14:paraId="36130F7C" w14:textId="77777777" w:rsidR="009C2644" w:rsidRPr="00C81A29" w:rsidRDefault="009C2644" w:rsidP="009C2644">
            <w:pPr>
              <w:jc w:val="right"/>
              <w:rPr>
                <w:rFonts w:ascii="Arial" w:hAnsi="Arial" w:cs="Arial"/>
                <w:b/>
                <w:sz w:val="17"/>
                <w:szCs w:val="17"/>
              </w:rPr>
            </w:pPr>
          </w:p>
        </w:tc>
        <w:tc>
          <w:tcPr>
            <w:tcW w:w="784" w:type="dxa"/>
            <w:shd w:val="clear" w:color="auto" w:fill="FFFFFF" w:themeFill="background1"/>
            <w:vAlign w:val="bottom"/>
          </w:tcPr>
          <w:p w14:paraId="3FF50582" w14:textId="0C8DC6DF" w:rsidR="009C2644" w:rsidRPr="009C2644" w:rsidRDefault="009C2644" w:rsidP="009C2644">
            <w:pPr>
              <w:jc w:val="right"/>
              <w:rPr>
                <w:rFonts w:ascii="Arial" w:hAnsi="Arial" w:cs="Arial"/>
                <w:sz w:val="17"/>
                <w:szCs w:val="17"/>
              </w:rPr>
            </w:pPr>
          </w:p>
        </w:tc>
        <w:tc>
          <w:tcPr>
            <w:tcW w:w="784" w:type="dxa"/>
            <w:vAlign w:val="bottom"/>
          </w:tcPr>
          <w:p w14:paraId="35E11283" w14:textId="77777777" w:rsidR="009C2644" w:rsidRPr="00731EA5" w:rsidRDefault="009C2644" w:rsidP="009C2644">
            <w:pPr>
              <w:jc w:val="right"/>
              <w:rPr>
                <w:rFonts w:ascii="Arial" w:hAnsi="Arial" w:cs="Arial"/>
                <w:sz w:val="17"/>
                <w:szCs w:val="17"/>
              </w:rPr>
            </w:pPr>
          </w:p>
        </w:tc>
        <w:tc>
          <w:tcPr>
            <w:tcW w:w="784" w:type="dxa"/>
            <w:vAlign w:val="bottom"/>
          </w:tcPr>
          <w:p w14:paraId="168FED9B" w14:textId="77777777" w:rsidR="009C2644" w:rsidRPr="00731EA5" w:rsidRDefault="009C2644" w:rsidP="009C2644">
            <w:pPr>
              <w:jc w:val="right"/>
              <w:rPr>
                <w:rFonts w:ascii="Arial" w:hAnsi="Arial" w:cs="Arial"/>
                <w:sz w:val="17"/>
                <w:szCs w:val="17"/>
              </w:rPr>
            </w:pPr>
          </w:p>
        </w:tc>
        <w:tc>
          <w:tcPr>
            <w:tcW w:w="784" w:type="dxa"/>
            <w:vAlign w:val="bottom"/>
          </w:tcPr>
          <w:p w14:paraId="2A9B07C3" w14:textId="77777777" w:rsidR="009C2644" w:rsidRPr="00731EA5" w:rsidRDefault="009C2644" w:rsidP="009C2644">
            <w:pPr>
              <w:jc w:val="right"/>
              <w:rPr>
                <w:rFonts w:ascii="Arial" w:hAnsi="Arial" w:cs="Arial"/>
                <w:sz w:val="17"/>
                <w:szCs w:val="17"/>
              </w:rPr>
            </w:pPr>
          </w:p>
        </w:tc>
        <w:tc>
          <w:tcPr>
            <w:tcW w:w="784" w:type="dxa"/>
            <w:vAlign w:val="bottom"/>
          </w:tcPr>
          <w:p w14:paraId="18857D03" w14:textId="77777777" w:rsidR="009C2644" w:rsidRPr="00731EA5" w:rsidRDefault="009C2644" w:rsidP="009C2644">
            <w:pPr>
              <w:jc w:val="right"/>
              <w:rPr>
                <w:rFonts w:ascii="Arial" w:hAnsi="Arial" w:cs="Arial"/>
                <w:sz w:val="17"/>
                <w:szCs w:val="17"/>
              </w:rPr>
            </w:pPr>
          </w:p>
        </w:tc>
        <w:tc>
          <w:tcPr>
            <w:tcW w:w="784" w:type="dxa"/>
            <w:vAlign w:val="bottom"/>
          </w:tcPr>
          <w:p w14:paraId="5419A645" w14:textId="77777777" w:rsidR="009C2644" w:rsidRPr="00731EA5" w:rsidRDefault="009C2644" w:rsidP="009C2644">
            <w:pPr>
              <w:jc w:val="right"/>
              <w:rPr>
                <w:rFonts w:ascii="Arial" w:hAnsi="Arial" w:cs="Arial"/>
                <w:sz w:val="17"/>
                <w:szCs w:val="17"/>
              </w:rPr>
            </w:pPr>
          </w:p>
        </w:tc>
        <w:tc>
          <w:tcPr>
            <w:tcW w:w="784" w:type="dxa"/>
            <w:vAlign w:val="bottom"/>
          </w:tcPr>
          <w:p w14:paraId="770C7829" w14:textId="77777777" w:rsidR="009C2644" w:rsidRPr="00731EA5" w:rsidRDefault="009C2644" w:rsidP="009C2644">
            <w:pPr>
              <w:jc w:val="right"/>
              <w:rPr>
                <w:rFonts w:ascii="Arial" w:hAnsi="Arial" w:cs="Arial"/>
                <w:sz w:val="17"/>
                <w:szCs w:val="17"/>
              </w:rPr>
            </w:pPr>
          </w:p>
        </w:tc>
        <w:tc>
          <w:tcPr>
            <w:tcW w:w="784" w:type="dxa"/>
            <w:shd w:val="clear" w:color="auto" w:fill="D0CECE" w:themeFill="background2" w:themeFillShade="E6"/>
            <w:vAlign w:val="bottom"/>
          </w:tcPr>
          <w:p w14:paraId="7AAC3EDE" w14:textId="77777777" w:rsidR="009C2644" w:rsidRPr="00C81A29" w:rsidRDefault="009C2644" w:rsidP="009C2644">
            <w:pPr>
              <w:jc w:val="right"/>
              <w:rPr>
                <w:rFonts w:ascii="Arial" w:hAnsi="Arial" w:cs="Arial"/>
                <w:b/>
                <w:sz w:val="17"/>
                <w:szCs w:val="17"/>
              </w:rPr>
            </w:pPr>
          </w:p>
        </w:tc>
        <w:tc>
          <w:tcPr>
            <w:tcW w:w="785" w:type="dxa"/>
            <w:vAlign w:val="bottom"/>
          </w:tcPr>
          <w:p w14:paraId="3CF4C3E2" w14:textId="77777777" w:rsidR="009C2644" w:rsidRPr="00731EA5" w:rsidRDefault="009C2644" w:rsidP="009C2644">
            <w:pPr>
              <w:jc w:val="right"/>
              <w:rPr>
                <w:rFonts w:ascii="Arial" w:hAnsi="Arial" w:cs="Arial"/>
                <w:sz w:val="17"/>
                <w:szCs w:val="17"/>
              </w:rPr>
            </w:pPr>
          </w:p>
        </w:tc>
      </w:tr>
      <w:tr w:rsidR="009C2644" w14:paraId="3BD872EF" w14:textId="77777777" w:rsidTr="004A0BB2">
        <w:tc>
          <w:tcPr>
            <w:tcW w:w="1727" w:type="dxa"/>
            <w:tcBorders>
              <w:bottom w:val="single" w:sz="4" w:space="0" w:color="auto"/>
            </w:tcBorders>
          </w:tcPr>
          <w:p w14:paraId="58F132C8" w14:textId="2F599A0D" w:rsidR="009C2644" w:rsidRPr="003E79CE" w:rsidRDefault="009C2644" w:rsidP="009C2644">
            <w:pPr>
              <w:rPr>
                <w:rFonts w:ascii="Arial" w:hAnsi="Arial" w:cs="Arial"/>
                <w:sz w:val="17"/>
                <w:szCs w:val="17"/>
              </w:rPr>
            </w:pPr>
            <w:r w:rsidRPr="003E79CE">
              <w:rPr>
                <w:rFonts w:ascii="Arial" w:hAnsi="Arial" w:cs="Arial"/>
                <w:sz w:val="17"/>
                <w:szCs w:val="17"/>
              </w:rPr>
              <w:t>Patient visits</w:t>
            </w:r>
          </w:p>
        </w:tc>
        <w:tc>
          <w:tcPr>
            <w:tcW w:w="784" w:type="dxa"/>
            <w:tcBorders>
              <w:bottom w:val="single" w:sz="4" w:space="0" w:color="auto"/>
            </w:tcBorders>
            <w:shd w:val="clear" w:color="auto" w:fill="D0CECE" w:themeFill="background2" w:themeFillShade="E6"/>
          </w:tcPr>
          <w:p w14:paraId="58452FA5" w14:textId="3A49FC34" w:rsidR="009C2644" w:rsidRPr="00C81A29" w:rsidRDefault="009C2644" w:rsidP="009C2644">
            <w:pPr>
              <w:jc w:val="right"/>
              <w:rPr>
                <w:rFonts w:ascii="Arial" w:hAnsi="Arial" w:cs="Arial"/>
                <w:b/>
                <w:sz w:val="17"/>
                <w:szCs w:val="17"/>
              </w:rPr>
            </w:pPr>
            <w:r w:rsidRPr="00C81A29">
              <w:rPr>
                <w:rFonts w:ascii="Arial" w:hAnsi="Arial" w:cs="Arial"/>
                <w:b/>
                <w:sz w:val="17"/>
                <w:szCs w:val="17"/>
              </w:rPr>
              <w:t>1,</w:t>
            </w:r>
            <w:r>
              <w:rPr>
                <w:rFonts w:ascii="Arial" w:hAnsi="Arial" w:cs="Arial"/>
                <w:b/>
                <w:sz w:val="17"/>
                <w:szCs w:val="17"/>
              </w:rPr>
              <w:t>198</w:t>
            </w:r>
          </w:p>
        </w:tc>
        <w:tc>
          <w:tcPr>
            <w:tcW w:w="784" w:type="dxa"/>
            <w:tcBorders>
              <w:bottom w:val="single" w:sz="4" w:space="0" w:color="auto"/>
            </w:tcBorders>
            <w:shd w:val="clear" w:color="auto" w:fill="FFFFFF" w:themeFill="background1"/>
            <w:vAlign w:val="bottom"/>
          </w:tcPr>
          <w:p w14:paraId="383603D7" w14:textId="48B61D24" w:rsidR="009C2644" w:rsidRPr="009C2644" w:rsidRDefault="009C2644" w:rsidP="009C2644">
            <w:pPr>
              <w:jc w:val="right"/>
              <w:rPr>
                <w:rFonts w:ascii="Arial" w:hAnsi="Arial" w:cs="Arial"/>
                <w:sz w:val="17"/>
                <w:szCs w:val="17"/>
              </w:rPr>
            </w:pPr>
            <w:r w:rsidRPr="009C2644">
              <w:rPr>
                <w:rFonts w:ascii="Arial" w:hAnsi="Arial" w:cs="Arial"/>
                <w:sz w:val="17"/>
                <w:szCs w:val="17"/>
              </w:rPr>
              <w:t>1,314</w:t>
            </w:r>
          </w:p>
        </w:tc>
        <w:tc>
          <w:tcPr>
            <w:tcW w:w="784" w:type="dxa"/>
            <w:tcBorders>
              <w:bottom w:val="single" w:sz="4" w:space="0" w:color="auto"/>
            </w:tcBorders>
            <w:vAlign w:val="bottom"/>
          </w:tcPr>
          <w:p w14:paraId="0B3E1923" w14:textId="67A33DDF" w:rsidR="009C2644" w:rsidRPr="00731EA5" w:rsidRDefault="009C2644" w:rsidP="009C2644">
            <w:pPr>
              <w:jc w:val="right"/>
              <w:rPr>
                <w:rFonts w:ascii="Arial" w:hAnsi="Arial" w:cs="Arial"/>
                <w:sz w:val="17"/>
                <w:szCs w:val="17"/>
              </w:rPr>
            </w:pPr>
            <w:r>
              <w:rPr>
                <w:rFonts w:ascii="Arial" w:hAnsi="Arial" w:cs="Arial"/>
                <w:sz w:val="17"/>
                <w:szCs w:val="17"/>
              </w:rPr>
              <w:t>1,864</w:t>
            </w:r>
          </w:p>
        </w:tc>
        <w:tc>
          <w:tcPr>
            <w:tcW w:w="784" w:type="dxa"/>
            <w:tcBorders>
              <w:bottom w:val="single" w:sz="4" w:space="0" w:color="auto"/>
            </w:tcBorders>
            <w:vAlign w:val="bottom"/>
          </w:tcPr>
          <w:p w14:paraId="685718DF" w14:textId="00973AED" w:rsidR="009C2644" w:rsidRPr="00731EA5" w:rsidRDefault="009C2644" w:rsidP="009C2644">
            <w:pPr>
              <w:jc w:val="right"/>
              <w:rPr>
                <w:rFonts w:ascii="Arial" w:hAnsi="Arial" w:cs="Arial"/>
                <w:sz w:val="17"/>
                <w:szCs w:val="17"/>
              </w:rPr>
            </w:pPr>
            <w:r>
              <w:rPr>
                <w:rFonts w:ascii="Arial" w:hAnsi="Arial" w:cs="Arial"/>
                <w:sz w:val="17"/>
                <w:szCs w:val="17"/>
              </w:rPr>
              <w:t>2,187</w:t>
            </w:r>
          </w:p>
        </w:tc>
        <w:tc>
          <w:tcPr>
            <w:tcW w:w="784" w:type="dxa"/>
            <w:tcBorders>
              <w:bottom w:val="single" w:sz="4" w:space="0" w:color="auto"/>
            </w:tcBorders>
            <w:vAlign w:val="bottom"/>
          </w:tcPr>
          <w:p w14:paraId="706215F3" w14:textId="52326D02" w:rsidR="009C2644" w:rsidRPr="00731EA5" w:rsidRDefault="009C2644" w:rsidP="009C2644">
            <w:pPr>
              <w:jc w:val="right"/>
              <w:rPr>
                <w:rFonts w:ascii="Arial" w:hAnsi="Arial" w:cs="Arial"/>
                <w:sz w:val="17"/>
                <w:szCs w:val="17"/>
              </w:rPr>
            </w:pPr>
            <w:r>
              <w:rPr>
                <w:rFonts w:ascii="Arial" w:hAnsi="Arial" w:cs="Arial"/>
                <w:sz w:val="17"/>
                <w:szCs w:val="17"/>
              </w:rPr>
              <w:t>2,242</w:t>
            </w:r>
          </w:p>
        </w:tc>
        <w:tc>
          <w:tcPr>
            <w:tcW w:w="784" w:type="dxa"/>
            <w:tcBorders>
              <w:bottom w:val="single" w:sz="4" w:space="0" w:color="auto"/>
            </w:tcBorders>
            <w:vAlign w:val="bottom"/>
          </w:tcPr>
          <w:p w14:paraId="7DF0FD8A" w14:textId="2705CB7C" w:rsidR="009C2644" w:rsidRPr="00731EA5" w:rsidRDefault="009C2644" w:rsidP="009C2644">
            <w:pPr>
              <w:jc w:val="right"/>
              <w:rPr>
                <w:rFonts w:ascii="Arial" w:hAnsi="Arial" w:cs="Arial"/>
                <w:sz w:val="17"/>
                <w:szCs w:val="17"/>
              </w:rPr>
            </w:pPr>
            <w:r>
              <w:rPr>
                <w:rFonts w:ascii="Arial" w:hAnsi="Arial" w:cs="Arial"/>
                <w:sz w:val="17"/>
                <w:szCs w:val="17"/>
              </w:rPr>
              <w:t>1,893</w:t>
            </w:r>
          </w:p>
        </w:tc>
        <w:tc>
          <w:tcPr>
            <w:tcW w:w="784" w:type="dxa"/>
            <w:tcBorders>
              <w:bottom w:val="single" w:sz="4" w:space="0" w:color="auto"/>
            </w:tcBorders>
            <w:vAlign w:val="bottom"/>
          </w:tcPr>
          <w:p w14:paraId="213B977D" w14:textId="32D019CC" w:rsidR="009C2644" w:rsidRPr="00731EA5" w:rsidRDefault="009C2644" w:rsidP="009C2644">
            <w:pPr>
              <w:jc w:val="right"/>
              <w:rPr>
                <w:rFonts w:ascii="Arial" w:hAnsi="Arial" w:cs="Arial"/>
                <w:sz w:val="17"/>
                <w:szCs w:val="17"/>
              </w:rPr>
            </w:pPr>
            <w:r>
              <w:rPr>
                <w:rFonts w:ascii="Arial" w:hAnsi="Arial" w:cs="Arial"/>
                <w:sz w:val="17"/>
                <w:szCs w:val="17"/>
              </w:rPr>
              <w:t>2,520</w:t>
            </w:r>
          </w:p>
        </w:tc>
        <w:tc>
          <w:tcPr>
            <w:tcW w:w="784" w:type="dxa"/>
            <w:tcBorders>
              <w:bottom w:val="single" w:sz="4" w:space="0" w:color="auto"/>
            </w:tcBorders>
            <w:vAlign w:val="bottom"/>
          </w:tcPr>
          <w:p w14:paraId="062F4FBC" w14:textId="78CB4AC0" w:rsidR="009C2644" w:rsidRPr="00731EA5" w:rsidRDefault="009C2644" w:rsidP="009C2644">
            <w:pPr>
              <w:jc w:val="right"/>
              <w:rPr>
                <w:rFonts w:ascii="Arial" w:hAnsi="Arial" w:cs="Arial"/>
                <w:sz w:val="17"/>
                <w:szCs w:val="17"/>
              </w:rPr>
            </w:pPr>
            <w:r>
              <w:rPr>
                <w:rFonts w:ascii="Arial" w:hAnsi="Arial" w:cs="Arial"/>
                <w:sz w:val="17"/>
                <w:szCs w:val="17"/>
              </w:rPr>
              <w:t>2,690</w:t>
            </w:r>
          </w:p>
        </w:tc>
        <w:tc>
          <w:tcPr>
            <w:tcW w:w="784" w:type="dxa"/>
            <w:tcBorders>
              <w:bottom w:val="single" w:sz="4" w:space="0" w:color="auto"/>
            </w:tcBorders>
            <w:shd w:val="clear" w:color="auto" w:fill="D0CECE" w:themeFill="background2" w:themeFillShade="E6"/>
            <w:vAlign w:val="bottom"/>
          </w:tcPr>
          <w:p w14:paraId="43536A93" w14:textId="3FB64598" w:rsidR="009C2644" w:rsidRPr="00C81A29" w:rsidRDefault="009C2644" w:rsidP="009C2644">
            <w:pPr>
              <w:jc w:val="right"/>
              <w:rPr>
                <w:rFonts w:ascii="Arial" w:hAnsi="Arial" w:cs="Arial"/>
                <w:b/>
                <w:sz w:val="17"/>
                <w:szCs w:val="17"/>
              </w:rPr>
            </w:pPr>
            <w:r w:rsidRPr="00C81A29">
              <w:rPr>
                <w:rFonts w:ascii="Arial" w:hAnsi="Arial" w:cs="Arial"/>
                <w:b/>
                <w:sz w:val="17"/>
                <w:szCs w:val="17"/>
              </w:rPr>
              <w:t>1,1</w:t>
            </w:r>
            <w:r>
              <w:rPr>
                <w:rFonts w:ascii="Arial" w:hAnsi="Arial" w:cs="Arial"/>
                <w:b/>
                <w:sz w:val="17"/>
                <w:szCs w:val="17"/>
              </w:rPr>
              <w:t>98</w:t>
            </w:r>
          </w:p>
        </w:tc>
        <w:tc>
          <w:tcPr>
            <w:tcW w:w="785" w:type="dxa"/>
            <w:tcBorders>
              <w:bottom w:val="single" w:sz="4" w:space="0" w:color="auto"/>
            </w:tcBorders>
            <w:vAlign w:val="bottom"/>
          </w:tcPr>
          <w:p w14:paraId="722C74D9" w14:textId="46970037" w:rsidR="009C2644" w:rsidRPr="00731EA5" w:rsidRDefault="009C2644" w:rsidP="009C2644">
            <w:pPr>
              <w:jc w:val="right"/>
              <w:rPr>
                <w:rFonts w:ascii="Arial" w:hAnsi="Arial" w:cs="Arial"/>
                <w:sz w:val="17"/>
                <w:szCs w:val="17"/>
              </w:rPr>
            </w:pPr>
            <w:r>
              <w:rPr>
                <w:rFonts w:ascii="Arial" w:hAnsi="Arial" w:cs="Arial"/>
                <w:sz w:val="17"/>
                <w:szCs w:val="17"/>
              </w:rPr>
              <w:t>2,242</w:t>
            </w:r>
          </w:p>
        </w:tc>
      </w:tr>
      <w:bookmarkEnd w:id="2"/>
    </w:tbl>
    <w:p w14:paraId="39C0DC8F" w14:textId="77777777" w:rsidR="007D3CB8" w:rsidRDefault="007D3CB8" w:rsidP="00C870E2">
      <w:pPr>
        <w:pStyle w:val="Heading7"/>
        <w:tabs>
          <w:tab w:val="left" w:pos="540"/>
        </w:tabs>
      </w:pPr>
    </w:p>
    <w:p w14:paraId="36DA24F4" w14:textId="1213A2D3" w:rsidR="007D3CB8" w:rsidRDefault="007D3CB8" w:rsidP="008C06E4">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has a limited operating history, which can make it difficult for investors to evaluate the </w:t>
      </w:r>
      <w:r>
        <w:rPr>
          <w:rFonts w:ascii="Arial" w:hAnsi="Arial" w:cs="Arial"/>
          <w:sz w:val="20"/>
          <w:szCs w:val="20"/>
        </w:rPr>
        <w:t xml:space="preserve">Company’s </w:t>
      </w:r>
      <w:r w:rsidRPr="00C90A0A">
        <w:rPr>
          <w:rFonts w:ascii="Arial" w:hAnsi="Arial" w:cs="Arial"/>
          <w:sz w:val="20"/>
          <w:szCs w:val="20"/>
        </w:rPr>
        <w:t>operations</w:t>
      </w:r>
      <w:r>
        <w:rPr>
          <w:rFonts w:ascii="Arial" w:hAnsi="Arial" w:cs="Arial"/>
          <w:sz w:val="20"/>
          <w:szCs w:val="20"/>
        </w:rPr>
        <w:t>.</w:t>
      </w:r>
      <w:r w:rsidR="004E5202">
        <w:rPr>
          <w:rFonts w:ascii="Arial" w:hAnsi="Arial" w:cs="Arial"/>
          <w:sz w:val="20"/>
          <w:szCs w:val="20"/>
        </w:rPr>
        <w:t xml:space="preserve"> As a result,</w:t>
      </w:r>
      <w:r w:rsidR="004E5202" w:rsidRPr="004E5202">
        <w:rPr>
          <w:rFonts w:ascii="Arial" w:hAnsi="Arial" w:cs="Arial"/>
          <w:sz w:val="20"/>
          <w:szCs w:val="20"/>
        </w:rPr>
        <w:t xml:space="preserve"> the prior periods shown in the above table are not necessarily comparable and should not be relied upon as an indication of future performance. </w:t>
      </w:r>
    </w:p>
    <w:p w14:paraId="69C877A9" w14:textId="77777777" w:rsidR="007D3CB8" w:rsidRPr="00C90A0A" w:rsidRDefault="007D3CB8" w:rsidP="008C06E4">
      <w:pPr>
        <w:spacing w:after="0"/>
        <w:jc w:val="both"/>
        <w:rPr>
          <w:rFonts w:ascii="Arial" w:hAnsi="Arial" w:cs="Arial"/>
          <w:sz w:val="20"/>
          <w:szCs w:val="20"/>
        </w:rPr>
      </w:pPr>
    </w:p>
    <w:p w14:paraId="4AA37220" w14:textId="475B2B18" w:rsidR="007D3CB8" w:rsidRPr="00C90A0A" w:rsidRDefault="007D3CB8" w:rsidP="008C06E4">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is expected to remain subject to many of the risks common to early-stage enterprises for the foreseeable future, including challenges related to laws, regulations, licensing, integrating and retaining qualified employees; making effective use of limited resources; achieving market acceptance of existing and future solutions; competing against companies with greater financial and technical resources; acquiring and retaining customers; and developing new solutions. </w:t>
      </w:r>
    </w:p>
    <w:p w14:paraId="656A5353" w14:textId="77777777" w:rsidR="001B693C" w:rsidRDefault="001B693C" w:rsidP="008C06E4">
      <w:pPr>
        <w:jc w:val="both"/>
        <w:rPr>
          <w:rFonts w:ascii="Arial" w:eastAsia="Times New Roman" w:hAnsi="Arial" w:cs="Arial"/>
          <w:b/>
          <w:bCs/>
          <w:sz w:val="24"/>
          <w:szCs w:val="20"/>
        </w:rPr>
      </w:pPr>
      <w:r>
        <w:br w:type="page"/>
      </w:r>
    </w:p>
    <w:p w14:paraId="669E80A8" w14:textId="51311E0C" w:rsidR="00453FBE" w:rsidRDefault="00453FBE" w:rsidP="00C870E2">
      <w:pPr>
        <w:pStyle w:val="Heading7"/>
        <w:tabs>
          <w:tab w:val="left" w:pos="540"/>
        </w:tabs>
        <w:rPr>
          <w:i/>
          <w:color w:val="000000"/>
          <w:sz w:val="20"/>
          <w:u w:val="single"/>
        </w:rPr>
      </w:pPr>
      <w:r w:rsidRPr="004A0BB2">
        <w:rPr>
          <w:sz w:val="20"/>
        </w:rPr>
        <w:lastRenderedPageBreak/>
        <w:br/>
      </w:r>
      <w:r w:rsidR="00C870E2" w:rsidRPr="009264E1">
        <w:rPr>
          <w:i/>
          <w:color w:val="000000"/>
          <w:sz w:val="20"/>
          <w:u w:val="single"/>
        </w:rPr>
        <w:t>Review of Consolidated Financial Information for Q</w:t>
      </w:r>
      <w:r w:rsidR="008F357A">
        <w:rPr>
          <w:i/>
          <w:color w:val="000000"/>
          <w:sz w:val="20"/>
          <w:u w:val="single"/>
        </w:rPr>
        <w:t>1</w:t>
      </w:r>
      <w:r w:rsidR="00C870E2" w:rsidRPr="009264E1">
        <w:rPr>
          <w:i/>
          <w:color w:val="000000"/>
          <w:sz w:val="20"/>
          <w:u w:val="single"/>
        </w:rPr>
        <w:t xml:space="preserve"> 201</w:t>
      </w:r>
      <w:r w:rsidR="008F357A">
        <w:rPr>
          <w:i/>
          <w:color w:val="000000"/>
          <w:sz w:val="20"/>
          <w:u w:val="single"/>
        </w:rPr>
        <w:t>9</w:t>
      </w:r>
      <w:r w:rsidR="00C870E2" w:rsidRPr="009264E1">
        <w:rPr>
          <w:i/>
          <w:color w:val="000000"/>
          <w:sz w:val="20"/>
          <w:u w:val="single"/>
        </w:rPr>
        <w:t xml:space="preserve"> compared to Q</w:t>
      </w:r>
      <w:r w:rsidR="008F357A">
        <w:rPr>
          <w:i/>
          <w:color w:val="000000"/>
          <w:sz w:val="20"/>
          <w:u w:val="single"/>
        </w:rPr>
        <w:t>1</w:t>
      </w:r>
      <w:r w:rsidR="00C870E2" w:rsidRPr="009264E1">
        <w:rPr>
          <w:i/>
          <w:color w:val="000000"/>
          <w:sz w:val="20"/>
          <w:u w:val="single"/>
        </w:rPr>
        <w:t xml:space="preserve"> 201</w:t>
      </w:r>
      <w:r w:rsidR="008F357A">
        <w:rPr>
          <w:i/>
          <w:color w:val="000000"/>
          <w:sz w:val="20"/>
          <w:u w:val="single"/>
        </w:rPr>
        <w:t>8</w:t>
      </w:r>
    </w:p>
    <w:p w14:paraId="28BBF859" w14:textId="77777777" w:rsidR="00631CA5" w:rsidRDefault="00631CA5" w:rsidP="00DA65B0">
      <w:pPr>
        <w:spacing w:after="0"/>
        <w:rPr>
          <w:rFonts w:ascii="Arial" w:hAnsi="Arial" w:cs="Arial"/>
          <w:sz w:val="20"/>
          <w:szCs w:val="20"/>
          <w:u w:val="single"/>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236"/>
        <w:gridCol w:w="2054"/>
        <w:gridCol w:w="236"/>
        <w:gridCol w:w="2123"/>
      </w:tblGrid>
      <w:tr w:rsidR="00631CA5" w:rsidRPr="00007ADF" w14:paraId="26B22090" w14:textId="77777777" w:rsidTr="00770FCE">
        <w:tc>
          <w:tcPr>
            <w:tcW w:w="4707" w:type="dxa"/>
            <w:tcBorders>
              <w:top w:val="single" w:sz="4" w:space="0" w:color="auto"/>
              <w:bottom w:val="single" w:sz="12" w:space="0" w:color="auto"/>
            </w:tcBorders>
            <w:shd w:val="clear" w:color="auto" w:fill="auto"/>
          </w:tcPr>
          <w:p w14:paraId="62780948" w14:textId="77777777" w:rsidR="00631CA5" w:rsidRPr="0061123D" w:rsidRDefault="00631CA5" w:rsidP="006C3ADA">
            <w:pPr>
              <w:keepNext/>
              <w:tabs>
                <w:tab w:val="left" w:pos="360"/>
              </w:tabs>
              <w:suppressAutoHyphens/>
              <w:jc w:val="both"/>
              <w:rPr>
                <w:rFonts w:ascii="Arial" w:hAnsi="Arial" w:cs="Arial"/>
                <w:sz w:val="20"/>
                <w:szCs w:val="20"/>
              </w:rPr>
            </w:pPr>
          </w:p>
        </w:tc>
        <w:tc>
          <w:tcPr>
            <w:tcW w:w="2290" w:type="dxa"/>
            <w:gridSpan w:val="2"/>
            <w:tcBorders>
              <w:top w:val="single" w:sz="4" w:space="0" w:color="auto"/>
              <w:bottom w:val="single" w:sz="12" w:space="0" w:color="auto"/>
            </w:tcBorders>
            <w:shd w:val="clear" w:color="auto" w:fill="auto"/>
          </w:tcPr>
          <w:p w14:paraId="32090AF0" w14:textId="110220E0" w:rsidR="00631CA5" w:rsidRPr="00B043B6" w:rsidRDefault="00631CA5" w:rsidP="006C3ADA">
            <w:pPr>
              <w:keepNext/>
              <w:tabs>
                <w:tab w:val="left" w:pos="360"/>
              </w:tabs>
              <w:suppressAutoHyphens/>
              <w:jc w:val="right"/>
              <w:rPr>
                <w:rFonts w:ascii="Arial" w:hAnsi="Arial" w:cs="Arial"/>
                <w:b/>
                <w:i/>
                <w:sz w:val="20"/>
                <w:szCs w:val="20"/>
              </w:rPr>
            </w:pPr>
            <w:r w:rsidRPr="00B043B6">
              <w:rPr>
                <w:rFonts w:ascii="Arial" w:hAnsi="Arial" w:cs="Arial"/>
                <w:b/>
                <w:sz w:val="20"/>
                <w:szCs w:val="20"/>
              </w:rPr>
              <w:t>Q</w:t>
            </w:r>
            <w:r w:rsidR="008F357A">
              <w:rPr>
                <w:rFonts w:ascii="Arial" w:hAnsi="Arial" w:cs="Arial"/>
                <w:b/>
                <w:sz w:val="20"/>
                <w:szCs w:val="20"/>
              </w:rPr>
              <w:t>1</w:t>
            </w:r>
            <w:r w:rsidRPr="00B043B6">
              <w:rPr>
                <w:rFonts w:ascii="Arial" w:hAnsi="Arial" w:cs="Arial"/>
                <w:b/>
                <w:sz w:val="20"/>
                <w:szCs w:val="20"/>
              </w:rPr>
              <w:t xml:space="preserve"> 201</w:t>
            </w:r>
            <w:r w:rsidR="008F357A">
              <w:rPr>
                <w:rFonts w:ascii="Arial" w:hAnsi="Arial" w:cs="Arial"/>
                <w:b/>
                <w:sz w:val="20"/>
                <w:szCs w:val="20"/>
              </w:rPr>
              <w:t>9</w:t>
            </w:r>
          </w:p>
        </w:tc>
        <w:tc>
          <w:tcPr>
            <w:tcW w:w="2359" w:type="dxa"/>
            <w:gridSpan w:val="2"/>
            <w:tcBorders>
              <w:top w:val="single" w:sz="4" w:space="0" w:color="auto"/>
              <w:bottom w:val="single" w:sz="12" w:space="0" w:color="auto"/>
            </w:tcBorders>
            <w:shd w:val="clear" w:color="auto" w:fill="auto"/>
          </w:tcPr>
          <w:p w14:paraId="1FF575BA" w14:textId="3D8A8B37" w:rsidR="00631CA5" w:rsidRPr="00B043B6" w:rsidRDefault="00631CA5" w:rsidP="006C3ADA">
            <w:pPr>
              <w:keepNext/>
              <w:tabs>
                <w:tab w:val="left" w:pos="360"/>
              </w:tabs>
              <w:suppressAutoHyphens/>
              <w:jc w:val="right"/>
              <w:rPr>
                <w:rFonts w:ascii="Arial" w:hAnsi="Arial" w:cs="Arial"/>
                <w:sz w:val="20"/>
                <w:szCs w:val="20"/>
              </w:rPr>
            </w:pPr>
            <w:r w:rsidRPr="00B043B6">
              <w:rPr>
                <w:rFonts w:ascii="Arial" w:hAnsi="Arial" w:cs="Arial"/>
                <w:sz w:val="20"/>
                <w:szCs w:val="20"/>
              </w:rPr>
              <w:t>Q</w:t>
            </w:r>
            <w:r w:rsidR="008F357A">
              <w:rPr>
                <w:rFonts w:ascii="Arial" w:hAnsi="Arial" w:cs="Arial"/>
                <w:sz w:val="20"/>
                <w:szCs w:val="20"/>
              </w:rPr>
              <w:t>1</w:t>
            </w:r>
            <w:r w:rsidRPr="00B043B6">
              <w:rPr>
                <w:rFonts w:ascii="Arial" w:hAnsi="Arial" w:cs="Arial"/>
                <w:sz w:val="20"/>
                <w:szCs w:val="20"/>
              </w:rPr>
              <w:t xml:space="preserve"> 201</w:t>
            </w:r>
            <w:r w:rsidR="008F357A">
              <w:rPr>
                <w:rFonts w:ascii="Arial" w:hAnsi="Arial" w:cs="Arial"/>
                <w:sz w:val="20"/>
                <w:szCs w:val="20"/>
              </w:rPr>
              <w:t>8</w:t>
            </w:r>
          </w:p>
        </w:tc>
      </w:tr>
      <w:tr w:rsidR="00631CA5" w:rsidRPr="00007ADF" w14:paraId="684BD6F3" w14:textId="77777777" w:rsidTr="00770FCE">
        <w:tc>
          <w:tcPr>
            <w:tcW w:w="4707" w:type="dxa"/>
            <w:tcBorders>
              <w:top w:val="single" w:sz="12" w:space="0" w:color="auto"/>
            </w:tcBorders>
            <w:shd w:val="clear" w:color="auto" w:fill="auto"/>
          </w:tcPr>
          <w:p w14:paraId="1A97EC70" w14:textId="4EBCD7B9" w:rsidR="00631CA5" w:rsidRPr="0061123D" w:rsidRDefault="00631CA5" w:rsidP="006C3ADA">
            <w:pPr>
              <w:keepNext/>
              <w:tabs>
                <w:tab w:val="left" w:pos="360"/>
              </w:tabs>
              <w:suppressAutoHyphens/>
              <w:jc w:val="both"/>
              <w:rPr>
                <w:rFonts w:ascii="Arial" w:hAnsi="Arial" w:cs="Arial"/>
                <w:sz w:val="20"/>
                <w:szCs w:val="20"/>
              </w:rPr>
            </w:pPr>
          </w:p>
        </w:tc>
        <w:tc>
          <w:tcPr>
            <w:tcW w:w="236" w:type="dxa"/>
            <w:tcBorders>
              <w:top w:val="single" w:sz="12" w:space="0" w:color="auto"/>
            </w:tcBorders>
          </w:tcPr>
          <w:p w14:paraId="51563A09" w14:textId="4F0D5D30"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top w:val="single" w:sz="12" w:space="0" w:color="auto"/>
            </w:tcBorders>
            <w:shd w:val="clear" w:color="auto" w:fill="auto"/>
          </w:tcPr>
          <w:p w14:paraId="73FD51B2" w14:textId="4C7F69DF" w:rsidR="00631CA5" w:rsidRPr="00B043B6" w:rsidRDefault="00631CA5" w:rsidP="006C3ADA">
            <w:pPr>
              <w:keepNext/>
              <w:tabs>
                <w:tab w:val="left" w:pos="360"/>
              </w:tabs>
              <w:suppressAutoHyphens/>
              <w:jc w:val="right"/>
              <w:rPr>
                <w:rFonts w:ascii="Arial" w:hAnsi="Arial" w:cs="Arial"/>
                <w:b/>
                <w:sz w:val="20"/>
                <w:szCs w:val="20"/>
              </w:rPr>
            </w:pPr>
          </w:p>
        </w:tc>
        <w:tc>
          <w:tcPr>
            <w:tcW w:w="236" w:type="dxa"/>
            <w:tcBorders>
              <w:top w:val="single" w:sz="12" w:space="0" w:color="auto"/>
            </w:tcBorders>
          </w:tcPr>
          <w:p w14:paraId="5833FF1E" w14:textId="2A2E47A6"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top w:val="single" w:sz="12" w:space="0" w:color="auto"/>
            </w:tcBorders>
            <w:shd w:val="clear" w:color="auto" w:fill="auto"/>
          </w:tcPr>
          <w:p w14:paraId="5DCEF9A3" w14:textId="77777777" w:rsidR="00631CA5" w:rsidRPr="005340D3" w:rsidRDefault="00631CA5" w:rsidP="006C3ADA">
            <w:pPr>
              <w:keepNext/>
              <w:tabs>
                <w:tab w:val="left" w:pos="360"/>
              </w:tabs>
              <w:suppressAutoHyphens/>
              <w:jc w:val="right"/>
              <w:rPr>
                <w:rFonts w:ascii="Arial" w:hAnsi="Arial" w:cs="Arial"/>
                <w:sz w:val="20"/>
                <w:szCs w:val="20"/>
              </w:rPr>
            </w:pPr>
          </w:p>
        </w:tc>
      </w:tr>
      <w:tr w:rsidR="00700C72" w:rsidRPr="00007ADF" w14:paraId="6FF1CC0F" w14:textId="77777777" w:rsidTr="00731EA5">
        <w:tc>
          <w:tcPr>
            <w:tcW w:w="4707" w:type="dxa"/>
            <w:shd w:val="clear" w:color="auto" w:fill="auto"/>
          </w:tcPr>
          <w:p w14:paraId="192E714A" w14:textId="77777777" w:rsidR="00700C72" w:rsidRPr="0061123D" w:rsidRDefault="00700C72" w:rsidP="006C3ADA">
            <w:pPr>
              <w:keepNext/>
              <w:tabs>
                <w:tab w:val="left" w:pos="360"/>
              </w:tabs>
              <w:suppressAutoHyphens/>
              <w:jc w:val="both"/>
              <w:rPr>
                <w:rFonts w:ascii="Arial" w:hAnsi="Arial" w:cs="Arial"/>
                <w:sz w:val="20"/>
                <w:szCs w:val="20"/>
              </w:rPr>
            </w:pPr>
            <w:r>
              <w:rPr>
                <w:rFonts w:ascii="Arial" w:hAnsi="Arial" w:cs="Arial"/>
                <w:sz w:val="20"/>
                <w:szCs w:val="20"/>
              </w:rPr>
              <w:t>Clinic revenues</w:t>
            </w:r>
          </w:p>
        </w:tc>
        <w:tc>
          <w:tcPr>
            <w:tcW w:w="236" w:type="dxa"/>
          </w:tcPr>
          <w:p w14:paraId="25BCE3CC" w14:textId="77777777" w:rsidR="00700C72" w:rsidRPr="00B043B6" w:rsidRDefault="00700C72" w:rsidP="006C3ADA">
            <w:pPr>
              <w:keepNext/>
              <w:tabs>
                <w:tab w:val="left" w:pos="360"/>
              </w:tabs>
              <w:suppressAutoHyphens/>
              <w:jc w:val="right"/>
              <w:rPr>
                <w:rFonts w:ascii="Arial" w:hAnsi="Arial" w:cs="Arial"/>
                <w:b/>
                <w:sz w:val="20"/>
                <w:szCs w:val="20"/>
              </w:rPr>
            </w:pPr>
            <w:r w:rsidRPr="00B043B6">
              <w:rPr>
                <w:rFonts w:ascii="Arial" w:hAnsi="Arial" w:cs="Arial"/>
                <w:b/>
                <w:sz w:val="20"/>
                <w:szCs w:val="20"/>
              </w:rPr>
              <w:t>$</w:t>
            </w:r>
          </w:p>
        </w:tc>
        <w:tc>
          <w:tcPr>
            <w:tcW w:w="2054" w:type="dxa"/>
            <w:shd w:val="clear" w:color="auto" w:fill="auto"/>
          </w:tcPr>
          <w:p w14:paraId="5A7BE0A0" w14:textId="719B1033" w:rsidR="00700C72"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152,84</w:t>
            </w:r>
            <w:r w:rsidR="00CD0382">
              <w:rPr>
                <w:rFonts w:ascii="Arial" w:hAnsi="Arial" w:cs="Arial"/>
                <w:b/>
                <w:sz w:val="20"/>
                <w:szCs w:val="20"/>
              </w:rPr>
              <w:t>6</w:t>
            </w:r>
          </w:p>
        </w:tc>
        <w:tc>
          <w:tcPr>
            <w:tcW w:w="236" w:type="dxa"/>
          </w:tcPr>
          <w:p w14:paraId="5D6539F5" w14:textId="77777777" w:rsidR="00700C72" w:rsidRPr="00007ADF" w:rsidRDefault="00700C72" w:rsidP="006C3ADA">
            <w:pPr>
              <w:keepNext/>
              <w:tabs>
                <w:tab w:val="left" w:pos="360"/>
              </w:tabs>
              <w:suppressAutoHyphens/>
              <w:jc w:val="right"/>
              <w:rPr>
                <w:rFonts w:ascii="Arial" w:hAnsi="Arial" w:cs="Arial"/>
                <w:sz w:val="20"/>
                <w:szCs w:val="20"/>
              </w:rPr>
            </w:pPr>
            <w:r w:rsidRPr="00007ADF">
              <w:rPr>
                <w:rFonts w:ascii="Arial" w:hAnsi="Arial" w:cs="Arial"/>
                <w:sz w:val="20"/>
                <w:szCs w:val="20"/>
              </w:rPr>
              <w:t>$</w:t>
            </w:r>
          </w:p>
        </w:tc>
        <w:tc>
          <w:tcPr>
            <w:tcW w:w="2123" w:type="dxa"/>
            <w:shd w:val="clear" w:color="auto" w:fill="auto"/>
          </w:tcPr>
          <w:p w14:paraId="0F6D520F" w14:textId="56B438E6" w:rsidR="00700C72"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302,142</w:t>
            </w:r>
          </w:p>
        </w:tc>
      </w:tr>
      <w:tr w:rsidR="00526BEA" w:rsidRPr="00007ADF" w14:paraId="6908E85F" w14:textId="77777777" w:rsidTr="00731EA5">
        <w:tc>
          <w:tcPr>
            <w:tcW w:w="4707" w:type="dxa"/>
            <w:shd w:val="clear" w:color="auto" w:fill="auto"/>
          </w:tcPr>
          <w:p w14:paraId="2C133B59" w14:textId="77777777" w:rsidR="00526BEA" w:rsidRDefault="00526BEA" w:rsidP="006C3ADA">
            <w:pPr>
              <w:keepNext/>
              <w:tabs>
                <w:tab w:val="left" w:pos="360"/>
              </w:tabs>
              <w:suppressAutoHyphens/>
              <w:jc w:val="both"/>
              <w:rPr>
                <w:rFonts w:ascii="Arial" w:hAnsi="Arial" w:cs="Arial"/>
                <w:sz w:val="20"/>
                <w:szCs w:val="20"/>
              </w:rPr>
            </w:pPr>
          </w:p>
        </w:tc>
        <w:tc>
          <w:tcPr>
            <w:tcW w:w="236" w:type="dxa"/>
          </w:tcPr>
          <w:p w14:paraId="78D8865E"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054" w:type="dxa"/>
            <w:shd w:val="clear" w:color="auto" w:fill="auto"/>
          </w:tcPr>
          <w:p w14:paraId="25A7B777"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36" w:type="dxa"/>
          </w:tcPr>
          <w:p w14:paraId="2E3618B0" w14:textId="77777777" w:rsidR="00526BEA" w:rsidRPr="00007ADF" w:rsidRDefault="00526BEA" w:rsidP="006C3ADA">
            <w:pPr>
              <w:keepNext/>
              <w:tabs>
                <w:tab w:val="left" w:pos="360"/>
              </w:tabs>
              <w:suppressAutoHyphens/>
              <w:jc w:val="right"/>
              <w:rPr>
                <w:rFonts w:ascii="Arial" w:hAnsi="Arial" w:cs="Arial"/>
                <w:sz w:val="20"/>
                <w:szCs w:val="20"/>
              </w:rPr>
            </w:pPr>
          </w:p>
        </w:tc>
        <w:tc>
          <w:tcPr>
            <w:tcW w:w="2123" w:type="dxa"/>
            <w:shd w:val="clear" w:color="auto" w:fill="auto"/>
          </w:tcPr>
          <w:p w14:paraId="6C5DE436" w14:textId="77777777" w:rsidR="00526BEA" w:rsidRPr="005340D3" w:rsidRDefault="00526BEA" w:rsidP="006C3ADA">
            <w:pPr>
              <w:keepNext/>
              <w:tabs>
                <w:tab w:val="left" w:pos="360"/>
              </w:tabs>
              <w:suppressAutoHyphens/>
              <w:jc w:val="right"/>
              <w:rPr>
                <w:rFonts w:ascii="Arial" w:hAnsi="Arial" w:cs="Arial"/>
                <w:sz w:val="20"/>
                <w:szCs w:val="20"/>
              </w:rPr>
            </w:pPr>
          </w:p>
        </w:tc>
      </w:tr>
      <w:tr w:rsidR="00631CA5" w:rsidRPr="00007ADF" w14:paraId="59633D10" w14:textId="77777777" w:rsidTr="005435FC">
        <w:tc>
          <w:tcPr>
            <w:tcW w:w="4707" w:type="dxa"/>
            <w:tcBorders>
              <w:bottom w:val="single" w:sz="4" w:space="0" w:color="auto"/>
            </w:tcBorders>
            <w:shd w:val="clear" w:color="auto" w:fill="auto"/>
          </w:tcPr>
          <w:p w14:paraId="40822855" w14:textId="77777777" w:rsidR="00631CA5" w:rsidRPr="0061123D"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Direct clinic expenses</w:t>
            </w:r>
          </w:p>
        </w:tc>
        <w:tc>
          <w:tcPr>
            <w:tcW w:w="236" w:type="dxa"/>
            <w:tcBorders>
              <w:bottom w:val="single" w:sz="4" w:space="0" w:color="auto"/>
            </w:tcBorders>
          </w:tcPr>
          <w:p w14:paraId="5C52089D"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tcPr>
          <w:p w14:paraId="522150AA" w14:textId="57865868"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39,413</w:t>
            </w:r>
          </w:p>
        </w:tc>
        <w:tc>
          <w:tcPr>
            <w:tcW w:w="236" w:type="dxa"/>
            <w:tcBorders>
              <w:bottom w:val="single" w:sz="4" w:space="0" w:color="auto"/>
            </w:tcBorders>
          </w:tcPr>
          <w:p w14:paraId="63207D98"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707F2960" w14:textId="531C9321"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105,165</w:t>
            </w:r>
          </w:p>
        </w:tc>
      </w:tr>
      <w:tr w:rsidR="00EB57B1" w:rsidRPr="00007ADF" w14:paraId="7510A712" w14:textId="77777777" w:rsidTr="005435FC">
        <w:tc>
          <w:tcPr>
            <w:tcW w:w="4707" w:type="dxa"/>
            <w:tcBorders>
              <w:top w:val="single" w:sz="4" w:space="0" w:color="auto"/>
            </w:tcBorders>
            <w:shd w:val="clear" w:color="auto" w:fill="auto"/>
          </w:tcPr>
          <w:p w14:paraId="3C733F44" w14:textId="77777777" w:rsidR="00EB57B1" w:rsidRDefault="00EB57B1"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2C4ED903"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67E8229A"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4F8457F8"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232F9FC2" w14:textId="77777777" w:rsidR="00EB57B1" w:rsidRDefault="00EB57B1" w:rsidP="006C3ADA">
            <w:pPr>
              <w:keepNext/>
              <w:tabs>
                <w:tab w:val="left" w:pos="360"/>
              </w:tabs>
              <w:suppressAutoHyphens/>
              <w:jc w:val="right"/>
              <w:rPr>
                <w:rFonts w:ascii="Arial" w:hAnsi="Arial" w:cs="Arial"/>
                <w:sz w:val="20"/>
                <w:szCs w:val="20"/>
              </w:rPr>
            </w:pPr>
          </w:p>
        </w:tc>
      </w:tr>
      <w:tr w:rsidR="00EB57B1" w:rsidRPr="00007ADF" w14:paraId="5058F5EB" w14:textId="77777777" w:rsidTr="00731EA5">
        <w:tc>
          <w:tcPr>
            <w:tcW w:w="4707" w:type="dxa"/>
            <w:shd w:val="clear" w:color="auto" w:fill="auto"/>
          </w:tcPr>
          <w:p w14:paraId="6710662A" w14:textId="728B0752" w:rsidR="00EB57B1" w:rsidRDefault="00EB57B1" w:rsidP="006C3ADA">
            <w:pPr>
              <w:keepNext/>
              <w:tabs>
                <w:tab w:val="left" w:pos="360"/>
              </w:tabs>
              <w:suppressAutoHyphens/>
              <w:jc w:val="both"/>
              <w:rPr>
                <w:rFonts w:ascii="Arial" w:hAnsi="Arial" w:cs="Arial"/>
                <w:sz w:val="20"/>
                <w:szCs w:val="20"/>
              </w:rPr>
            </w:pPr>
            <w:r>
              <w:rPr>
                <w:rFonts w:ascii="Arial" w:hAnsi="Arial" w:cs="Arial"/>
                <w:sz w:val="20"/>
                <w:szCs w:val="20"/>
              </w:rPr>
              <w:t>Earnings from clinic operations</w:t>
            </w:r>
          </w:p>
        </w:tc>
        <w:tc>
          <w:tcPr>
            <w:tcW w:w="236" w:type="dxa"/>
          </w:tcPr>
          <w:p w14:paraId="7B2C4081"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6BB3A09A" w14:textId="1CE0FA84" w:rsidR="00EB57B1"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113,43</w:t>
            </w:r>
            <w:r w:rsidR="00CD0382">
              <w:rPr>
                <w:rFonts w:ascii="Arial" w:hAnsi="Arial" w:cs="Arial"/>
                <w:b/>
                <w:sz w:val="20"/>
                <w:szCs w:val="20"/>
              </w:rPr>
              <w:t>3</w:t>
            </w:r>
          </w:p>
        </w:tc>
        <w:tc>
          <w:tcPr>
            <w:tcW w:w="236" w:type="dxa"/>
          </w:tcPr>
          <w:p w14:paraId="65252B0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5DEFB754" w14:textId="17195040" w:rsidR="00EB57B1"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196,977</w:t>
            </w:r>
          </w:p>
        </w:tc>
      </w:tr>
      <w:tr w:rsidR="00EB57B1" w:rsidRPr="00007ADF" w14:paraId="67A12E3A" w14:textId="77777777" w:rsidTr="00731EA5">
        <w:tc>
          <w:tcPr>
            <w:tcW w:w="4707" w:type="dxa"/>
            <w:shd w:val="clear" w:color="auto" w:fill="auto"/>
          </w:tcPr>
          <w:p w14:paraId="6D96DB6E" w14:textId="77777777" w:rsidR="00EB57B1" w:rsidRDefault="00EB57B1" w:rsidP="006C3ADA">
            <w:pPr>
              <w:keepNext/>
              <w:tabs>
                <w:tab w:val="left" w:pos="360"/>
              </w:tabs>
              <w:suppressAutoHyphens/>
              <w:jc w:val="both"/>
              <w:rPr>
                <w:rFonts w:ascii="Arial" w:hAnsi="Arial" w:cs="Arial"/>
                <w:sz w:val="20"/>
                <w:szCs w:val="20"/>
              </w:rPr>
            </w:pPr>
          </w:p>
        </w:tc>
        <w:tc>
          <w:tcPr>
            <w:tcW w:w="236" w:type="dxa"/>
          </w:tcPr>
          <w:p w14:paraId="4F6CF5CF"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221EE0F1"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Pr>
          <w:p w14:paraId="15A82FC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703CCD69" w14:textId="77777777" w:rsidR="00EB57B1" w:rsidRDefault="00EB57B1" w:rsidP="006C3ADA">
            <w:pPr>
              <w:keepNext/>
              <w:tabs>
                <w:tab w:val="left" w:pos="360"/>
              </w:tabs>
              <w:suppressAutoHyphens/>
              <w:jc w:val="right"/>
              <w:rPr>
                <w:rFonts w:ascii="Arial" w:hAnsi="Arial" w:cs="Arial"/>
                <w:sz w:val="20"/>
                <w:szCs w:val="20"/>
              </w:rPr>
            </w:pPr>
          </w:p>
        </w:tc>
      </w:tr>
      <w:tr w:rsidR="004F71B9" w:rsidRPr="00007ADF" w14:paraId="468EFB7E" w14:textId="77777777" w:rsidTr="00731EA5">
        <w:tc>
          <w:tcPr>
            <w:tcW w:w="4707" w:type="dxa"/>
            <w:shd w:val="clear" w:color="auto" w:fill="auto"/>
          </w:tcPr>
          <w:p w14:paraId="4F2A6BF3" w14:textId="77777777" w:rsidR="004F71B9" w:rsidRPr="00C90A0A"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Operating expenses</w:t>
            </w:r>
          </w:p>
        </w:tc>
        <w:tc>
          <w:tcPr>
            <w:tcW w:w="236" w:type="dxa"/>
          </w:tcPr>
          <w:p w14:paraId="297C1AA7"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19173630" w14:textId="24208CE5" w:rsidR="004F71B9" w:rsidRPr="004F71B9" w:rsidRDefault="00DF5EEB" w:rsidP="004F71B9">
            <w:pPr>
              <w:keepNext/>
              <w:tabs>
                <w:tab w:val="left" w:pos="360"/>
              </w:tabs>
              <w:suppressAutoHyphens/>
              <w:jc w:val="right"/>
              <w:rPr>
                <w:rFonts w:ascii="Arial" w:hAnsi="Arial" w:cs="Arial"/>
                <w:b/>
                <w:sz w:val="20"/>
                <w:szCs w:val="20"/>
              </w:rPr>
            </w:pPr>
            <w:r>
              <w:rPr>
                <w:rFonts w:ascii="Arial" w:hAnsi="Arial" w:cs="Arial"/>
                <w:b/>
                <w:sz w:val="20"/>
                <w:szCs w:val="20"/>
              </w:rPr>
              <w:t>218,627</w:t>
            </w:r>
          </w:p>
        </w:tc>
        <w:tc>
          <w:tcPr>
            <w:tcW w:w="236" w:type="dxa"/>
          </w:tcPr>
          <w:p w14:paraId="2A8687C9"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0613F447" w14:textId="23C202BD"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708,827</w:t>
            </w:r>
          </w:p>
        </w:tc>
      </w:tr>
      <w:tr w:rsidR="004F71B9" w:rsidRPr="00007ADF" w14:paraId="3408E273" w14:textId="77777777" w:rsidTr="00731EA5">
        <w:tc>
          <w:tcPr>
            <w:tcW w:w="4707" w:type="dxa"/>
            <w:shd w:val="clear" w:color="auto" w:fill="auto"/>
          </w:tcPr>
          <w:p w14:paraId="7652F759" w14:textId="7777777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Legal and professional fees</w:t>
            </w:r>
          </w:p>
        </w:tc>
        <w:tc>
          <w:tcPr>
            <w:tcW w:w="236" w:type="dxa"/>
          </w:tcPr>
          <w:p w14:paraId="67E804B8"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4B09FC8E" w14:textId="02959EA7" w:rsidR="004F71B9" w:rsidRPr="004F71B9" w:rsidRDefault="00290443" w:rsidP="004F71B9">
            <w:pPr>
              <w:keepNext/>
              <w:tabs>
                <w:tab w:val="left" w:pos="360"/>
              </w:tabs>
              <w:suppressAutoHyphens/>
              <w:jc w:val="right"/>
              <w:rPr>
                <w:rFonts w:ascii="Arial" w:hAnsi="Arial" w:cs="Arial"/>
                <w:b/>
                <w:sz w:val="20"/>
                <w:szCs w:val="20"/>
              </w:rPr>
            </w:pPr>
            <w:r>
              <w:rPr>
                <w:rFonts w:ascii="Arial" w:hAnsi="Arial" w:cs="Arial"/>
                <w:b/>
                <w:sz w:val="20"/>
                <w:szCs w:val="20"/>
              </w:rPr>
              <w:t>113,011</w:t>
            </w:r>
          </w:p>
        </w:tc>
        <w:tc>
          <w:tcPr>
            <w:tcW w:w="236" w:type="dxa"/>
          </w:tcPr>
          <w:p w14:paraId="592ABB23"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575A089A" w14:textId="704CFA59"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69,783</w:t>
            </w:r>
          </w:p>
        </w:tc>
      </w:tr>
      <w:tr w:rsidR="004F71B9" w:rsidRPr="00007ADF" w14:paraId="5AC97CDE" w14:textId="77777777" w:rsidTr="00731EA5">
        <w:tc>
          <w:tcPr>
            <w:tcW w:w="4707" w:type="dxa"/>
            <w:shd w:val="clear" w:color="auto" w:fill="auto"/>
          </w:tcPr>
          <w:p w14:paraId="53E41BD6" w14:textId="7777777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Depreciation and amortization expense</w:t>
            </w:r>
          </w:p>
        </w:tc>
        <w:tc>
          <w:tcPr>
            <w:tcW w:w="236" w:type="dxa"/>
          </w:tcPr>
          <w:p w14:paraId="710CB436"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0F6A62CC" w14:textId="5D868A27" w:rsidR="004F71B9" w:rsidRPr="004F71B9" w:rsidRDefault="0089453C" w:rsidP="004F71B9">
            <w:pPr>
              <w:keepNext/>
              <w:tabs>
                <w:tab w:val="left" w:pos="360"/>
              </w:tabs>
              <w:suppressAutoHyphens/>
              <w:jc w:val="right"/>
              <w:rPr>
                <w:rFonts w:ascii="Arial" w:hAnsi="Arial" w:cs="Arial"/>
                <w:b/>
                <w:sz w:val="20"/>
                <w:szCs w:val="20"/>
              </w:rPr>
            </w:pPr>
            <w:r>
              <w:rPr>
                <w:rFonts w:ascii="Arial" w:hAnsi="Arial" w:cs="Arial"/>
                <w:b/>
                <w:sz w:val="20"/>
                <w:szCs w:val="20"/>
              </w:rPr>
              <w:t>4</w:t>
            </w:r>
            <w:r w:rsidR="00DF5EEB">
              <w:rPr>
                <w:rFonts w:ascii="Arial" w:hAnsi="Arial" w:cs="Arial"/>
                <w:b/>
                <w:sz w:val="20"/>
                <w:szCs w:val="20"/>
              </w:rPr>
              <w:t>6,143</w:t>
            </w:r>
          </w:p>
        </w:tc>
        <w:tc>
          <w:tcPr>
            <w:tcW w:w="236" w:type="dxa"/>
          </w:tcPr>
          <w:p w14:paraId="7F5CE43A"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29AC8726" w14:textId="00043E62"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25,902</w:t>
            </w:r>
          </w:p>
        </w:tc>
      </w:tr>
      <w:tr w:rsidR="004F71B9" w:rsidRPr="00007ADF" w14:paraId="330BE96E" w14:textId="77777777" w:rsidTr="005435FC">
        <w:tc>
          <w:tcPr>
            <w:tcW w:w="4707" w:type="dxa"/>
            <w:tcBorders>
              <w:bottom w:val="single" w:sz="4" w:space="0" w:color="auto"/>
            </w:tcBorders>
            <w:shd w:val="clear" w:color="auto" w:fill="auto"/>
          </w:tcPr>
          <w:p w14:paraId="7EC83619" w14:textId="0A09931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 xml:space="preserve">Share-based payments </w:t>
            </w:r>
          </w:p>
        </w:tc>
        <w:tc>
          <w:tcPr>
            <w:tcW w:w="236" w:type="dxa"/>
            <w:tcBorders>
              <w:bottom w:val="single" w:sz="4" w:space="0" w:color="auto"/>
            </w:tcBorders>
          </w:tcPr>
          <w:p w14:paraId="61D05B09"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vAlign w:val="bottom"/>
          </w:tcPr>
          <w:p w14:paraId="11414F26" w14:textId="30B29101" w:rsidR="004F71B9" w:rsidRPr="004F71B9" w:rsidRDefault="0089453C" w:rsidP="004F71B9">
            <w:pPr>
              <w:keepNext/>
              <w:tabs>
                <w:tab w:val="left" w:pos="360"/>
              </w:tabs>
              <w:suppressAutoHyphens/>
              <w:jc w:val="right"/>
              <w:rPr>
                <w:rFonts w:ascii="Arial" w:hAnsi="Arial" w:cs="Arial"/>
                <w:b/>
                <w:sz w:val="20"/>
                <w:szCs w:val="20"/>
              </w:rPr>
            </w:pPr>
            <w:r>
              <w:rPr>
                <w:rFonts w:ascii="Arial" w:hAnsi="Arial" w:cs="Arial"/>
                <w:b/>
                <w:sz w:val="20"/>
                <w:szCs w:val="20"/>
              </w:rPr>
              <w:t>14,960</w:t>
            </w:r>
          </w:p>
        </w:tc>
        <w:tc>
          <w:tcPr>
            <w:tcW w:w="236" w:type="dxa"/>
            <w:tcBorders>
              <w:bottom w:val="single" w:sz="4" w:space="0" w:color="auto"/>
            </w:tcBorders>
          </w:tcPr>
          <w:p w14:paraId="11862758"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62A019D5" w14:textId="2C2A4ED9"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1,443,928</w:t>
            </w:r>
          </w:p>
        </w:tc>
      </w:tr>
      <w:tr w:rsidR="00EB57B1" w:rsidRPr="00007ADF" w14:paraId="283A6236" w14:textId="77777777" w:rsidTr="005435FC">
        <w:tc>
          <w:tcPr>
            <w:tcW w:w="4707" w:type="dxa"/>
            <w:tcBorders>
              <w:top w:val="single" w:sz="4" w:space="0" w:color="auto"/>
            </w:tcBorders>
            <w:shd w:val="clear" w:color="auto" w:fill="auto"/>
          </w:tcPr>
          <w:p w14:paraId="20FC5E6D" w14:textId="77777777" w:rsidR="00EB57B1" w:rsidRDefault="00EB57B1"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0CBF2F14"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1D7DBD94" w14:textId="77777777" w:rsidR="00EB57B1" w:rsidRPr="004F71B9" w:rsidRDefault="00EB57B1"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7BDE89CA"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2358FEF9" w14:textId="77777777" w:rsidR="00EB57B1" w:rsidRDefault="00EB57B1" w:rsidP="006C3ADA">
            <w:pPr>
              <w:keepNext/>
              <w:tabs>
                <w:tab w:val="left" w:pos="360"/>
              </w:tabs>
              <w:suppressAutoHyphens/>
              <w:jc w:val="right"/>
              <w:rPr>
                <w:rFonts w:ascii="Arial" w:hAnsi="Arial" w:cs="Arial"/>
                <w:sz w:val="20"/>
                <w:szCs w:val="20"/>
              </w:rPr>
            </w:pPr>
          </w:p>
        </w:tc>
      </w:tr>
      <w:tr w:rsidR="00EB57B1" w:rsidRPr="00007ADF" w14:paraId="10EE7619" w14:textId="77777777" w:rsidTr="00731EA5">
        <w:tc>
          <w:tcPr>
            <w:tcW w:w="4707" w:type="dxa"/>
            <w:shd w:val="clear" w:color="auto" w:fill="auto"/>
          </w:tcPr>
          <w:p w14:paraId="1E4F6EB1" w14:textId="4E462590" w:rsidR="00EB57B1" w:rsidRDefault="00EB57B1" w:rsidP="006C3ADA">
            <w:pPr>
              <w:keepNext/>
              <w:tabs>
                <w:tab w:val="left" w:pos="360"/>
              </w:tabs>
              <w:suppressAutoHyphens/>
              <w:jc w:val="both"/>
              <w:rPr>
                <w:rFonts w:ascii="Arial" w:hAnsi="Arial" w:cs="Arial"/>
                <w:sz w:val="20"/>
                <w:szCs w:val="20"/>
              </w:rPr>
            </w:pPr>
            <w:r>
              <w:rPr>
                <w:rFonts w:ascii="Arial" w:hAnsi="Arial" w:cs="Arial"/>
                <w:sz w:val="20"/>
                <w:szCs w:val="20"/>
              </w:rPr>
              <w:t>Loss from operations</w:t>
            </w:r>
          </w:p>
        </w:tc>
        <w:tc>
          <w:tcPr>
            <w:tcW w:w="236" w:type="dxa"/>
          </w:tcPr>
          <w:p w14:paraId="68563B8A"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4F3702A9" w14:textId="1730BACB" w:rsidR="00EB57B1" w:rsidRPr="004F71B9" w:rsidRDefault="0089453C" w:rsidP="0089453C">
            <w:pPr>
              <w:keepNext/>
              <w:tabs>
                <w:tab w:val="left" w:pos="360"/>
              </w:tabs>
              <w:suppressAutoHyphens/>
              <w:ind w:right="-56"/>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2</w:t>
            </w:r>
            <w:r w:rsidR="00290443">
              <w:rPr>
                <w:rFonts w:ascii="Arial" w:hAnsi="Arial" w:cs="Arial"/>
                <w:b/>
                <w:sz w:val="20"/>
                <w:szCs w:val="20"/>
              </w:rPr>
              <w:t>79,30</w:t>
            </w:r>
            <w:r w:rsidR="00CD0382">
              <w:rPr>
                <w:rFonts w:ascii="Arial" w:hAnsi="Arial" w:cs="Arial"/>
                <w:b/>
                <w:sz w:val="20"/>
                <w:szCs w:val="20"/>
              </w:rPr>
              <w:t>8</w:t>
            </w:r>
            <w:r>
              <w:rPr>
                <w:rFonts w:ascii="Arial" w:hAnsi="Arial" w:cs="Arial"/>
                <w:b/>
                <w:sz w:val="20"/>
                <w:szCs w:val="20"/>
              </w:rPr>
              <w:t>)</w:t>
            </w:r>
          </w:p>
        </w:tc>
        <w:tc>
          <w:tcPr>
            <w:tcW w:w="236" w:type="dxa"/>
          </w:tcPr>
          <w:p w14:paraId="0C6DEBF5"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7001D252" w14:textId="33512702" w:rsidR="00EB57B1" w:rsidRDefault="0089453C" w:rsidP="0089453C">
            <w:pPr>
              <w:keepNext/>
              <w:tabs>
                <w:tab w:val="left" w:pos="360"/>
              </w:tabs>
              <w:suppressAutoHyphens/>
              <w:ind w:right="-58"/>
              <w:jc w:val="right"/>
              <w:rPr>
                <w:rFonts w:ascii="Arial" w:hAnsi="Arial" w:cs="Arial"/>
                <w:sz w:val="20"/>
                <w:szCs w:val="20"/>
              </w:rPr>
            </w:pPr>
            <w:r>
              <w:rPr>
                <w:rFonts w:ascii="Arial" w:hAnsi="Arial" w:cs="Arial"/>
                <w:sz w:val="20"/>
                <w:szCs w:val="20"/>
              </w:rPr>
              <w:t>(2,051,463)</w:t>
            </w:r>
          </w:p>
        </w:tc>
      </w:tr>
      <w:tr w:rsidR="00EB57B1" w:rsidRPr="00007ADF" w14:paraId="4A90FA83" w14:textId="77777777" w:rsidTr="00731EA5">
        <w:tc>
          <w:tcPr>
            <w:tcW w:w="4707" w:type="dxa"/>
            <w:shd w:val="clear" w:color="auto" w:fill="auto"/>
          </w:tcPr>
          <w:p w14:paraId="5E4623AA" w14:textId="77777777" w:rsidR="00EB57B1" w:rsidRDefault="00EB57B1" w:rsidP="006C3ADA">
            <w:pPr>
              <w:keepNext/>
              <w:tabs>
                <w:tab w:val="left" w:pos="360"/>
              </w:tabs>
              <w:suppressAutoHyphens/>
              <w:jc w:val="both"/>
              <w:rPr>
                <w:rFonts w:ascii="Arial" w:hAnsi="Arial" w:cs="Arial"/>
                <w:sz w:val="20"/>
                <w:szCs w:val="20"/>
              </w:rPr>
            </w:pPr>
          </w:p>
        </w:tc>
        <w:tc>
          <w:tcPr>
            <w:tcW w:w="236" w:type="dxa"/>
          </w:tcPr>
          <w:p w14:paraId="43D30BCC"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12785F30"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Pr>
          <w:p w14:paraId="2EE8724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2673FBD6" w14:textId="77777777" w:rsidR="00EB57B1" w:rsidRDefault="00EB57B1" w:rsidP="006C3ADA">
            <w:pPr>
              <w:keepNext/>
              <w:tabs>
                <w:tab w:val="left" w:pos="360"/>
              </w:tabs>
              <w:suppressAutoHyphens/>
              <w:jc w:val="right"/>
              <w:rPr>
                <w:rFonts w:ascii="Arial" w:hAnsi="Arial" w:cs="Arial"/>
                <w:sz w:val="20"/>
                <w:szCs w:val="20"/>
              </w:rPr>
            </w:pPr>
          </w:p>
        </w:tc>
      </w:tr>
      <w:tr w:rsidR="00631CA5" w:rsidRPr="00007ADF" w14:paraId="560048B6" w14:textId="77777777" w:rsidTr="00731EA5">
        <w:tc>
          <w:tcPr>
            <w:tcW w:w="4707" w:type="dxa"/>
            <w:shd w:val="clear" w:color="auto" w:fill="auto"/>
          </w:tcPr>
          <w:p w14:paraId="4BB15B43" w14:textId="77777777" w:rsidR="00631CA5" w:rsidRPr="0061123D"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Accretion expense</w:t>
            </w:r>
          </w:p>
        </w:tc>
        <w:tc>
          <w:tcPr>
            <w:tcW w:w="236" w:type="dxa"/>
          </w:tcPr>
          <w:p w14:paraId="6E06E47E"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197896BC" w14:textId="0A255346"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29,914</w:t>
            </w:r>
          </w:p>
        </w:tc>
        <w:tc>
          <w:tcPr>
            <w:tcW w:w="236" w:type="dxa"/>
          </w:tcPr>
          <w:p w14:paraId="423B5F92"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7ACE437F" w14:textId="25199931"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186,200</w:t>
            </w:r>
          </w:p>
        </w:tc>
      </w:tr>
      <w:tr w:rsidR="0089453C" w:rsidRPr="00007ADF" w14:paraId="1E4AC316" w14:textId="77777777" w:rsidTr="00731EA5">
        <w:tc>
          <w:tcPr>
            <w:tcW w:w="4707" w:type="dxa"/>
            <w:shd w:val="clear" w:color="auto" w:fill="auto"/>
          </w:tcPr>
          <w:p w14:paraId="5589F3FF" w14:textId="3F33F56F" w:rsidR="0089453C"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Interest income</w:t>
            </w:r>
          </w:p>
        </w:tc>
        <w:tc>
          <w:tcPr>
            <w:tcW w:w="236" w:type="dxa"/>
          </w:tcPr>
          <w:p w14:paraId="28625707" w14:textId="77777777" w:rsidR="0089453C" w:rsidRPr="00B043B6" w:rsidRDefault="0089453C" w:rsidP="006C3ADA">
            <w:pPr>
              <w:keepNext/>
              <w:tabs>
                <w:tab w:val="left" w:pos="360"/>
              </w:tabs>
              <w:suppressAutoHyphens/>
              <w:jc w:val="right"/>
              <w:rPr>
                <w:rFonts w:ascii="Arial" w:hAnsi="Arial" w:cs="Arial"/>
                <w:b/>
                <w:sz w:val="20"/>
                <w:szCs w:val="20"/>
              </w:rPr>
            </w:pPr>
          </w:p>
        </w:tc>
        <w:tc>
          <w:tcPr>
            <w:tcW w:w="2054" w:type="dxa"/>
            <w:shd w:val="clear" w:color="auto" w:fill="auto"/>
          </w:tcPr>
          <w:p w14:paraId="5FB175C4" w14:textId="026F6D17" w:rsidR="0089453C" w:rsidRPr="00B043B6" w:rsidRDefault="0089453C" w:rsidP="0089453C">
            <w:pPr>
              <w:keepNext/>
              <w:tabs>
                <w:tab w:val="left" w:pos="360"/>
              </w:tabs>
              <w:suppressAutoHyphens/>
              <w:ind w:right="-47"/>
              <w:jc w:val="right"/>
              <w:rPr>
                <w:rFonts w:ascii="Arial" w:hAnsi="Arial" w:cs="Arial"/>
                <w:b/>
                <w:sz w:val="20"/>
                <w:szCs w:val="20"/>
              </w:rPr>
            </w:pPr>
            <w:r>
              <w:rPr>
                <w:rFonts w:ascii="Arial" w:hAnsi="Arial" w:cs="Arial"/>
                <w:b/>
                <w:sz w:val="20"/>
                <w:szCs w:val="20"/>
              </w:rPr>
              <w:t>(1,618)</w:t>
            </w:r>
          </w:p>
        </w:tc>
        <w:tc>
          <w:tcPr>
            <w:tcW w:w="236" w:type="dxa"/>
          </w:tcPr>
          <w:p w14:paraId="35FFD252" w14:textId="77777777" w:rsidR="0089453C" w:rsidRPr="00007ADF" w:rsidRDefault="0089453C" w:rsidP="006C3ADA">
            <w:pPr>
              <w:keepNext/>
              <w:tabs>
                <w:tab w:val="left" w:pos="360"/>
              </w:tabs>
              <w:suppressAutoHyphens/>
              <w:jc w:val="right"/>
              <w:rPr>
                <w:rFonts w:ascii="Arial" w:hAnsi="Arial" w:cs="Arial"/>
                <w:sz w:val="20"/>
                <w:szCs w:val="20"/>
              </w:rPr>
            </w:pPr>
          </w:p>
        </w:tc>
        <w:tc>
          <w:tcPr>
            <w:tcW w:w="2123" w:type="dxa"/>
            <w:shd w:val="clear" w:color="auto" w:fill="auto"/>
          </w:tcPr>
          <w:p w14:paraId="32345FC4" w14:textId="6216AAB1" w:rsidR="0089453C"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5171A79D" w14:textId="77777777" w:rsidTr="00731EA5">
        <w:tc>
          <w:tcPr>
            <w:tcW w:w="4707" w:type="dxa"/>
            <w:shd w:val="clear" w:color="auto" w:fill="auto"/>
          </w:tcPr>
          <w:p w14:paraId="63F24568" w14:textId="77777777" w:rsidR="00631CA5"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Interest expense</w:t>
            </w:r>
          </w:p>
        </w:tc>
        <w:tc>
          <w:tcPr>
            <w:tcW w:w="236" w:type="dxa"/>
          </w:tcPr>
          <w:p w14:paraId="605D9812"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019FDCF5" w14:textId="58729C63"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3</w:t>
            </w:r>
            <w:r w:rsidR="00DF5EEB">
              <w:rPr>
                <w:rFonts w:ascii="Arial" w:hAnsi="Arial" w:cs="Arial"/>
                <w:b/>
                <w:sz w:val="20"/>
                <w:szCs w:val="20"/>
              </w:rPr>
              <w:t>3,372</w:t>
            </w:r>
          </w:p>
        </w:tc>
        <w:tc>
          <w:tcPr>
            <w:tcW w:w="236" w:type="dxa"/>
          </w:tcPr>
          <w:p w14:paraId="6CEC647D"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43D8062C" w14:textId="4F69B4A6"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45,013</w:t>
            </w:r>
          </w:p>
        </w:tc>
      </w:tr>
      <w:tr w:rsidR="00631CA5" w:rsidRPr="00007ADF" w14:paraId="61CC23D1" w14:textId="77777777" w:rsidTr="00731EA5">
        <w:tc>
          <w:tcPr>
            <w:tcW w:w="4707" w:type="dxa"/>
            <w:shd w:val="clear" w:color="auto" w:fill="auto"/>
          </w:tcPr>
          <w:p w14:paraId="4B72A6B8" w14:textId="1A4A0BCD" w:rsidR="00631CA5"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L</w:t>
            </w:r>
            <w:r w:rsidR="00631CA5">
              <w:rPr>
                <w:rFonts w:ascii="Arial" w:hAnsi="Arial" w:cs="Arial"/>
                <w:sz w:val="20"/>
                <w:szCs w:val="20"/>
              </w:rPr>
              <w:t>oss on change in fair value of warrant liability</w:t>
            </w:r>
          </w:p>
        </w:tc>
        <w:tc>
          <w:tcPr>
            <w:tcW w:w="236" w:type="dxa"/>
          </w:tcPr>
          <w:p w14:paraId="0872AB1A"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321AB826" w14:textId="13F36F1F"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190</w:t>
            </w:r>
          </w:p>
        </w:tc>
        <w:tc>
          <w:tcPr>
            <w:tcW w:w="236" w:type="dxa"/>
          </w:tcPr>
          <w:p w14:paraId="46174A05"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067F6ED9" w14:textId="2544208B"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2A88A106" w14:textId="77777777" w:rsidTr="00731EA5">
        <w:tc>
          <w:tcPr>
            <w:tcW w:w="4707" w:type="dxa"/>
            <w:shd w:val="clear" w:color="auto" w:fill="auto"/>
          </w:tcPr>
          <w:p w14:paraId="6F86F079" w14:textId="70347146" w:rsidR="00631CA5"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L</w:t>
            </w:r>
            <w:r w:rsidR="0043518D">
              <w:rPr>
                <w:rFonts w:ascii="Arial" w:hAnsi="Arial" w:cs="Arial"/>
                <w:sz w:val="20"/>
                <w:szCs w:val="20"/>
              </w:rPr>
              <w:t xml:space="preserve">oss </w:t>
            </w:r>
            <w:r w:rsidR="00631CA5">
              <w:rPr>
                <w:rFonts w:ascii="Arial" w:hAnsi="Arial" w:cs="Arial"/>
                <w:sz w:val="20"/>
                <w:szCs w:val="20"/>
              </w:rPr>
              <w:t>on change in fair value of conversion option</w:t>
            </w:r>
          </w:p>
        </w:tc>
        <w:tc>
          <w:tcPr>
            <w:tcW w:w="236" w:type="dxa"/>
          </w:tcPr>
          <w:p w14:paraId="26C45336"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5814FE67" w14:textId="76BCA30B" w:rsidR="00631CA5" w:rsidRPr="00B043B6" w:rsidRDefault="00CD0382" w:rsidP="006E30E6">
            <w:pPr>
              <w:keepNext/>
              <w:tabs>
                <w:tab w:val="left" w:pos="360"/>
              </w:tabs>
              <w:suppressAutoHyphens/>
              <w:jc w:val="right"/>
              <w:rPr>
                <w:rFonts w:ascii="Arial" w:hAnsi="Arial" w:cs="Arial"/>
                <w:b/>
                <w:sz w:val="20"/>
                <w:szCs w:val="20"/>
              </w:rPr>
            </w:pPr>
            <w:r>
              <w:rPr>
                <w:rFonts w:ascii="Arial" w:hAnsi="Arial" w:cs="Arial"/>
                <w:b/>
                <w:sz w:val="20"/>
                <w:szCs w:val="20"/>
              </w:rPr>
              <w:t>33,362</w:t>
            </w:r>
          </w:p>
        </w:tc>
        <w:tc>
          <w:tcPr>
            <w:tcW w:w="236" w:type="dxa"/>
          </w:tcPr>
          <w:p w14:paraId="3870AB22"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5561F88A" w14:textId="41A13EFA"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364B7B3D" w14:textId="77777777" w:rsidTr="005435FC">
        <w:tc>
          <w:tcPr>
            <w:tcW w:w="4707" w:type="dxa"/>
            <w:tcBorders>
              <w:bottom w:val="single" w:sz="4" w:space="0" w:color="auto"/>
            </w:tcBorders>
            <w:shd w:val="clear" w:color="auto" w:fill="auto"/>
          </w:tcPr>
          <w:p w14:paraId="5749E347" w14:textId="1207DACB" w:rsidR="00631CA5"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 xml:space="preserve">Other </w:t>
            </w:r>
            <w:r w:rsidR="0043518D">
              <w:rPr>
                <w:rFonts w:ascii="Arial" w:hAnsi="Arial" w:cs="Arial"/>
                <w:sz w:val="20"/>
                <w:szCs w:val="20"/>
              </w:rPr>
              <w:t>expense</w:t>
            </w:r>
            <w:r w:rsidR="00C707E2">
              <w:rPr>
                <w:rFonts w:ascii="Arial" w:hAnsi="Arial" w:cs="Arial"/>
                <w:sz w:val="20"/>
                <w:szCs w:val="20"/>
              </w:rPr>
              <w:t>, net</w:t>
            </w:r>
          </w:p>
        </w:tc>
        <w:tc>
          <w:tcPr>
            <w:tcW w:w="236" w:type="dxa"/>
            <w:tcBorders>
              <w:bottom w:val="single" w:sz="4" w:space="0" w:color="auto"/>
            </w:tcBorders>
          </w:tcPr>
          <w:p w14:paraId="48A10BA3"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tcPr>
          <w:p w14:paraId="654834D2" w14:textId="21005908"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24,01</w:t>
            </w:r>
            <w:r w:rsidR="00CD0382">
              <w:rPr>
                <w:rFonts w:ascii="Arial" w:hAnsi="Arial" w:cs="Arial"/>
                <w:b/>
                <w:sz w:val="20"/>
                <w:szCs w:val="20"/>
              </w:rPr>
              <w:t>3</w:t>
            </w:r>
          </w:p>
        </w:tc>
        <w:tc>
          <w:tcPr>
            <w:tcW w:w="236" w:type="dxa"/>
            <w:tcBorders>
              <w:bottom w:val="single" w:sz="4" w:space="0" w:color="auto"/>
            </w:tcBorders>
          </w:tcPr>
          <w:p w14:paraId="1E1F3681"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2E7AC104" w14:textId="61F9C56D"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526BEA" w:rsidRPr="00007ADF" w14:paraId="6395CEBA" w14:textId="77777777" w:rsidTr="005435FC">
        <w:tc>
          <w:tcPr>
            <w:tcW w:w="4707" w:type="dxa"/>
            <w:tcBorders>
              <w:top w:val="single" w:sz="4" w:space="0" w:color="auto"/>
            </w:tcBorders>
            <w:shd w:val="clear" w:color="auto" w:fill="auto"/>
          </w:tcPr>
          <w:p w14:paraId="0F8192E4" w14:textId="77777777" w:rsidR="00526BEA" w:rsidRDefault="00526BEA"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78ECED79"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345F2116"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408512A6" w14:textId="77777777" w:rsidR="00526BEA" w:rsidRPr="00007ADF" w:rsidRDefault="00526BEA"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4C2932FC" w14:textId="77777777" w:rsidR="00526BEA" w:rsidRPr="005340D3" w:rsidRDefault="00526BEA" w:rsidP="006C3ADA">
            <w:pPr>
              <w:keepNext/>
              <w:tabs>
                <w:tab w:val="left" w:pos="360"/>
              </w:tabs>
              <w:suppressAutoHyphens/>
              <w:jc w:val="right"/>
              <w:rPr>
                <w:rFonts w:ascii="Arial" w:hAnsi="Arial" w:cs="Arial"/>
                <w:sz w:val="20"/>
                <w:szCs w:val="20"/>
              </w:rPr>
            </w:pPr>
          </w:p>
        </w:tc>
      </w:tr>
      <w:tr w:rsidR="00631CA5" w:rsidRPr="00007ADF" w14:paraId="7FA1242A" w14:textId="77777777" w:rsidTr="00731EA5">
        <w:tc>
          <w:tcPr>
            <w:tcW w:w="4707" w:type="dxa"/>
            <w:tcBorders>
              <w:bottom w:val="single" w:sz="18" w:space="0" w:color="auto"/>
            </w:tcBorders>
            <w:shd w:val="clear" w:color="auto" w:fill="auto"/>
          </w:tcPr>
          <w:p w14:paraId="08C3A343" w14:textId="2D3821F8" w:rsidR="00631CA5" w:rsidRPr="007216EA" w:rsidRDefault="00631CA5" w:rsidP="006C3ADA">
            <w:pPr>
              <w:keepNext/>
              <w:tabs>
                <w:tab w:val="left" w:pos="360"/>
              </w:tabs>
              <w:suppressAutoHyphens/>
              <w:jc w:val="both"/>
              <w:rPr>
                <w:rFonts w:ascii="Arial" w:hAnsi="Arial" w:cs="Arial"/>
                <w:b/>
                <w:sz w:val="20"/>
                <w:szCs w:val="20"/>
              </w:rPr>
            </w:pPr>
            <w:r w:rsidRPr="007216EA">
              <w:rPr>
                <w:rFonts w:ascii="Arial" w:hAnsi="Arial" w:cs="Arial"/>
                <w:b/>
                <w:sz w:val="20"/>
                <w:szCs w:val="20"/>
              </w:rPr>
              <w:t xml:space="preserve">Net </w:t>
            </w:r>
            <w:r w:rsidR="0089453C">
              <w:rPr>
                <w:rFonts w:ascii="Arial" w:hAnsi="Arial" w:cs="Arial"/>
                <w:b/>
                <w:sz w:val="20"/>
                <w:szCs w:val="20"/>
              </w:rPr>
              <w:t>l</w:t>
            </w:r>
            <w:r w:rsidR="00962C76" w:rsidRPr="007216EA">
              <w:rPr>
                <w:rFonts w:ascii="Arial" w:hAnsi="Arial" w:cs="Arial"/>
                <w:b/>
                <w:sz w:val="20"/>
                <w:szCs w:val="20"/>
              </w:rPr>
              <w:t xml:space="preserve">oss </w:t>
            </w:r>
            <w:r w:rsidRPr="007216EA">
              <w:rPr>
                <w:rFonts w:ascii="Arial" w:hAnsi="Arial" w:cs="Arial"/>
                <w:b/>
                <w:sz w:val="20"/>
                <w:szCs w:val="20"/>
              </w:rPr>
              <w:t xml:space="preserve">and comprehensive </w:t>
            </w:r>
            <w:r w:rsidR="0089453C">
              <w:rPr>
                <w:rFonts w:ascii="Arial" w:hAnsi="Arial" w:cs="Arial"/>
                <w:b/>
                <w:sz w:val="20"/>
                <w:szCs w:val="20"/>
              </w:rPr>
              <w:t>l</w:t>
            </w:r>
            <w:r w:rsidR="00962C76" w:rsidRPr="007216EA">
              <w:rPr>
                <w:rFonts w:ascii="Arial" w:hAnsi="Arial" w:cs="Arial"/>
                <w:b/>
                <w:sz w:val="20"/>
                <w:szCs w:val="20"/>
              </w:rPr>
              <w:t xml:space="preserve">oss </w:t>
            </w:r>
            <w:r w:rsidRPr="007216EA">
              <w:rPr>
                <w:rFonts w:ascii="Arial" w:hAnsi="Arial" w:cs="Arial"/>
                <w:b/>
                <w:sz w:val="20"/>
                <w:szCs w:val="20"/>
              </w:rPr>
              <w:t>for the period</w:t>
            </w:r>
          </w:p>
        </w:tc>
        <w:tc>
          <w:tcPr>
            <w:tcW w:w="236" w:type="dxa"/>
            <w:tcBorders>
              <w:bottom w:val="single" w:sz="18" w:space="0" w:color="auto"/>
            </w:tcBorders>
          </w:tcPr>
          <w:p w14:paraId="545AFB7C" w14:textId="77777777" w:rsidR="00631CA5" w:rsidRPr="00B043B6" w:rsidRDefault="00631CA5" w:rsidP="006C3ADA">
            <w:pPr>
              <w:keepNext/>
              <w:tabs>
                <w:tab w:val="left" w:pos="360"/>
              </w:tabs>
              <w:suppressAutoHyphens/>
              <w:jc w:val="right"/>
              <w:rPr>
                <w:rFonts w:ascii="Arial" w:hAnsi="Arial" w:cs="Arial"/>
                <w:b/>
                <w:sz w:val="20"/>
                <w:szCs w:val="20"/>
              </w:rPr>
            </w:pPr>
            <w:r w:rsidRPr="00B043B6">
              <w:rPr>
                <w:rFonts w:ascii="Arial" w:hAnsi="Arial" w:cs="Arial"/>
                <w:b/>
                <w:sz w:val="20"/>
                <w:szCs w:val="20"/>
              </w:rPr>
              <w:t>$</w:t>
            </w:r>
          </w:p>
        </w:tc>
        <w:tc>
          <w:tcPr>
            <w:tcW w:w="2054" w:type="dxa"/>
            <w:tcBorders>
              <w:bottom w:val="single" w:sz="18" w:space="0" w:color="auto"/>
            </w:tcBorders>
            <w:shd w:val="clear" w:color="auto" w:fill="auto"/>
          </w:tcPr>
          <w:p w14:paraId="416E9C16" w14:textId="397E44FA" w:rsidR="00631CA5" w:rsidRPr="00B043B6" w:rsidRDefault="0089453C" w:rsidP="0089453C">
            <w:pPr>
              <w:keepNext/>
              <w:tabs>
                <w:tab w:val="left" w:pos="360"/>
              </w:tabs>
              <w:suppressAutoHyphens/>
              <w:ind w:right="-56"/>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3</w:t>
            </w:r>
            <w:r w:rsidR="00290443">
              <w:rPr>
                <w:rFonts w:ascii="Arial" w:hAnsi="Arial" w:cs="Arial"/>
                <w:b/>
                <w:sz w:val="20"/>
                <w:szCs w:val="20"/>
              </w:rPr>
              <w:t>9</w:t>
            </w:r>
            <w:r w:rsidR="00CD0382">
              <w:rPr>
                <w:rFonts w:ascii="Arial" w:hAnsi="Arial" w:cs="Arial"/>
                <w:b/>
                <w:sz w:val="20"/>
                <w:szCs w:val="20"/>
              </w:rPr>
              <w:t>8,541</w:t>
            </w:r>
            <w:r>
              <w:rPr>
                <w:rFonts w:ascii="Arial" w:hAnsi="Arial" w:cs="Arial"/>
                <w:b/>
                <w:sz w:val="20"/>
                <w:szCs w:val="20"/>
              </w:rPr>
              <w:t>)</w:t>
            </w:r>
          </w:p>
        </w:tc>
        <w:tc>
          <w:tcPr>
            <w:tcW w:w="236" w:type="dxa"/>
            <w:tcBorders>
              <w:bottom w:val="single" w:sz="18" w:space="0" w:color="auto"/>
            </w:tcBorders>
          </w:tcPr>
          <w:p w14:paraId="4B66E23D" w14:textId="77777777" w:rsidR="00631CA5" w:rsidRPr="00007ADF" w:rsidRDefault="00631CA5" w:rsidP="006C3ADA">
            <w:pPr>
              <w:keepNext/>
              <w:tabs>
                <w:tab w:val="left" w:pos="360"/>
              </w:tabs>
              <w:suppressAutoHyphens/>
              <w:jc w:val="right"/>
              <w:rPr>
                <w:rFonts w:ascii="Arial" w:hAnsi="Arial" w:cs="Arial"/>
                <w:sz w:val="20"/>
                <w:szCs w:val="20"/>
              </w:rPr>
            </w:pPr>
            <w:r w:rsidRPr="00007ADF">
              <w:rPr>
                <w:rFonts w:ascii="Arial" w:hAnsi="Arial" w:cs="Arial"/>
                <w:sz w:val="20"/>
                <w:szCs w:val="20"/>
              </w:rPr>
              <w:t>$</w:t>
            </w:r>
          </w:p>
        </w:tc>
        <w:tc>
          <w:tcPr>
            <w:tcW w:w="2123" w:type="dxa"/>
            <w:tcBorders>
              <w:bottom w:val="single" w:sz="18" w:space="0" w:color="auto"/>
            </w:tcBorders>
            <w:shd w:val="clear" w:color="auto" w:fill="auto"/>
          </w:tcPr>
          <w:p w14:paraId="45022DBA" w14:textId="2CD2AFB2" w:rsidR="00631CA5" w:rsidRPr="005340D3" w:rsidRDefault="0089453C" w:rsidP="0089453C">
            <w:pPr>
              <w:keepNext/>
              <w:tabs>
                <w:tab w:val="left" w:pos="360"/>
              </w:tabs>
              <w:suppressAutoHyphens/>
              <w:ind w:right="-40"/>
              <w:jc w:val="right"/>
              <w:rPr>
                <w:rFonts w:ascii="Arial" w:hAnsi="Arial" w:cs="Arial"/>
                <w:sz w:val="20"/>
                <w:szCs w:val="20"/>
              </w:rPr>
            </w:pPr>
            <w:r>
              <w:rPr>
                <w:rFonts w:ascii="Arial" w:hAnsi="Arial" w:cs="Arial"/>
                <w:sz w:val="20"/>
                <w:szCs w:val="20"/>
              </w:rPr>
              <w:t>(2,282,676)</w:t>
            </w:r>
          </w:p>
        </w:tc>
      </w:tr>
    </w:tbl>
    <w:p w14:paraId="1E1A2C0B" w14:textId="77777777" w:rsidR="00631CA5" w:rsidRDefault="00631CA5" w:rsidP="00DA65B0">
      <w:pPr>
        <w:spacing w:after="0"/>
        <w:rPr>
          <w:rFonts w:ascii="Arial" w:hAnsi="Arial" w:cs="Arial"/>
          <w:sz w:val="20"/>
          <w:szCs w:val="20"/>
          <w:u w:val="single"/>
        </w:rPr>
      </w:pPr>
    </w:p>
    <w:p w14:paraId="69716713" w14:textId="73CBB508" w:rsidR="00DA65B0" w:rsidRPr="00C90A0A" w:rsidRDefault="00DA65B0" w:rsidP="00DA65B0">
      <w:pPr>
        <w:spacing w:after="0"/>
        <w:rPr>
          <w:rFonts w:ascii="Arial" w:hAnsi="Arial" w:cs="Arial"/>
          <w:sz w:val="20"/>
          <w:szCs w:val="20"/>
          <w:u w:val="single"/>
        </w:rPr>
      </w:pPr>
      <w:r w:rsidRPr="00C90A0A">
        <w:rPr>
          <w:rFonts w:ascii="Arial" w:hAnsi="Arial" w:cs="Arial"/>
          <w:sz w:val="20"/>
          <w:szCs w:val="20"/>
          <w:u w:val="single"/>
        </w:rPr>
        <w:t>Clinic Revenues</w:t>
      </w:r>
    </w:p>
    <w:p w14:paraId="2ED6C82D" w14:textId="77777777" w:rsidR="00186033" w:rsidRDefault="00186033" w:rsidP="00186033">
      <w:pPr>
        <w:spacing w:after="0"/>
        <w:jc w:val="both"/>
        <w:rPr>
          <w:rFonts w:ascii="Arial" w:hAnsi="Arial" w:cs="Arial"/>
          <w:sz w:val="20"/>
          <w:szCs w:val="20"/>
        </w:rPr>
      </w:pPr>
    </w:p>
    <w:p w14:paraId="1BF0E5D9" w14:textId="15BEFCCE" w:rsidR="001442B7" w:rsidRPr="001D161C" w:rsidRDefault="001442B7" w:rsidP="00186033">
      <w:pPr>
        <w:spacing w:after="0"/>
        <w:jc w:val="both"/>
        <w:rPr>
          <w:rFonts w:ascii="Arial" w:hAnsi="Arial" w:cs="Arial"/>
          <w:sz w:val="20"/>
          <w:szCs w:val="20"/>
        </w:rPr>
      </w:pPr>
      <w:r w:rsidRPr="001D161C">
        <w:rPr>
          <w:rFonts w:ascii="Arial" w:hAnsi="Arial" w:cs="Arial"/>
          <w:sz w:val="20"/>
          <w:szCs w:val="20"/>
        </w:rPr>
        <w:t xml:space="preserve">Revenues </w:t>
      </w:r>
      <w:r w:rsidR="009C53F7">
        <w:rPr>
          <w:rFonts w:ascii="Arial" w:hAnsi="Arial" w:cs="Arial"/>
          <w:sz w:val="20"/>
          <w:szCs w:val="20"/>
        </w:rPr>
        <w:t>were</w:t>
      </w:r>
      <w:r w:rsidRPr="001D161C">
        <w:rPr>
          <w:rFonts w:ascii="Arial" w:hAnsi="Arial" w:cs="Arial"/>
          <w:sz w:val="20"/>
          <w:szCs w:val="20"/>
        </w:rPr>
        <w:t xml:space="preserve"> </w:t>
      </w:r>
      <w:r w:rsidR="00A206A1">
        <w:rPr>
          <w:rFonts w:ascii="Arial" w:hAnsi="Arial" w:cs="Arial"/>
          <w:sz w:val="20"/>
          <w:szCs w:val="20"/>
        </w:rPr>
        <w:t>$</w:t>
      </w:r>
      <w:r w:rsidR="00041AB3">
        <w:rPr>
          <w:rFonts w:ascii="Arial" w:hAnsi="Arial" w:cs="Arial"/>
          <w:sz w:val="20"/>
          <w:szCs w:val="20"/>
        </w:rPr>
        <w:t>152,84</w:t>
      </w:r>
      <w:r w:rsidR="00CD0382">
        <w:rPr>
          <w:rFonts w:ascii="Arial" w:hAnsi="Arial" w:cs="Arial"/>
          <w:sz w:val="20"/>
          <w:szCs w:val="20"/>
        </w:rPr>
        <w:t>6</w:t>
      </w:r>
      <w:r w:rsidR="009C53F7">
        <w:rPr>
          <w:rFonts w:ascii="Arial" w:hAnsi="Arial" w:cs="Arial"/>
          <w:sz w:val="20"/>
          <w:szCs w:val="20"/>
        </w:rPr>
        <w:t xml:space="preserve">, </w:t>
      </w:r>
      <w:r w:rsidR="009C53F7" w:rsidRPr="00DF5EEB">
        <w:rPr>
          <w:rFonts w:ascii="Arial" w:hAnsi="Arial" w:cs="Arial"/>
          <w:sz w:val="20"/>
          <w:szCs w:val="20"/>
        </w:rPr>
        <w:t xml:space="preserve">compared to </w:t>
      </w:r>
      <w:r w:rsidR="00615EFE" w:rsidRPr="00DF5EEB">
        <w:rPr>
          <w:rFonts w:ascii="Arial" w:hAnsi="Arial" w:cs="Arial"/>
          <w:sz w:val="20"/>
          <w:szCs w:val="20"/>
        </w:rPr>
        <w:t>$</w:t>
      </w:r>
      <w:r w:rsidR="00041AB3" w:rsidRPr="00DF5EEB">
        <w:rPr>
          <w:rFonts w:ascii="Arial" w:hAnsi="Arial" w:cs="Arial"/>
          <w:sz w:val="20"/>
          <w:szCs w:val="20"/>
        </w:rPr>
        <w:t>302,142</w:t>
      </w:r>
      <w:r w:rsidR="009C53F7" w:rsidRPr="00DF5EEB">
        <w:rPr>
          <w:rFonts w:ascii="Arial" w:hAnsi="Arial" w:cs="Arial"/>
          <w:sz w:val="20"/>
          <w:szCs w:val="20"/>
        </w:rPr>
        <w:t xml:space="preserve"> during Q</w:t>
      </w:r>
      <w:r w:rsidR="008F357A" w:rsidRPr="00DF5EEB">
        <w:rPr>
          <w:rFonts w:ascii="Arial" w:hAnsi="Arial" w:cs="Arial"/>
          <w:sz w:val="20"/>
          <w:szCs w:val="20"/>
        </w:rPr>
        <w:t>1</w:t>
      </w:r>
      <w:r w:rsidR="009C53F7" w:rsidRPr="00DF5EEB">
        <w:rPr>
          <w:rFonts w:ascii="Arial" w:hAnsi="Arial" w:cs="Arial"/>
          <w:sz w:val="20"/>
          <w:szCs w:val="20"/>
        </w:rPr>
        <w:t xml:space="preserve"> 201</w:t>
      </w:r>
      <w:r w:rsidR="008F357A" w:rsidRPr="00DF5EEB">
        <w:rPr>
          <w:rFonts w:ascii="Arial" w:hAnsi="Arial" w:cs="Arial"/>
          <w:sz w:val="20"/>
          <w:szCs w:val="20"/>
        </w:rPr>
        <w:t>8</w:t>
      </w:r>
      <w:r w:rsidRPr="00DF5EEB">
        <w:rPr>
          <w:rFonts w:ascii="Arial" w:hAnsi="Arial" w:cs="Arial"/>
          <w:sz w:val="20"/>
          <w:szCs w:val="20"/>
        </w:rPr>
        <w:t xml:space="preserve"> as the Company received </w:t>
      </w:r>
      <w:r w:rsidR="00DF5EEB" w:rsidRPr="00DF5EEB">
        <w:rPr>
          <w:rFonts w:ascii="Arial" w:hAnsi="Arial" w:cs="Arial"/>
          <w:sz w:val="20"/>
          <w:szCs w:val="20"/>
        </w:rPr>
        <w:t>1,1</w:t>
      </w:r>
      <w:r w:rsidR="00A976E9">
        <w:rPr>
          <w:rFonts w:ascii="Arial" w:hAnsi="Arial" w:cs="Arial"/>
          <w:sz w:val="20"/>
          <w:szCs w:val="20"/>
        </w:rPr>
        <w:t>98</w:t>
      </w:r>
      <w:r w:rsidR="00D00008" w:rsidRPr="00DF5EEB">
        <w:rPr>
          <w:rFonts w:ascii="Arial" w:hAnsi="Arial" w:cs="Arial"/>
          <w:sz w:val="20"/>
          <w:szCs w:val="20"/>
        </w:rPr>
        <w:t xml:space="preserve"> </w:t>
      </w:r>
      <w:r w:rsidRPr="00DF5EEB">
        <w:rPr>
          <w:rFonts w:ascii="Arial" w:hAnsi="Arial" w:cs="Arial"/>
          <w:sz w:val="20"/>
          <w:szCs w:val="20"/>
        </w:rPr>
        <w:t>patients spending on average $</w:t>
      </w:r>
      <w:r w:rsidR="00DF5EEB" w:rsidRPr="00DF5EEB">
        <w:rPr>
          <w:rFonts w:ascii="Arial" w:hAnsi="Arial" w:cs="Arial"/>
          <w:sz w:val="20"/>
          <w:szCs w:val="20"/>
        </w:rPr>
        <w:t>128</w:t>
      </w:r>
      <w:r w:rsidRPr="00DF5EEB">
        <w:rPr>
          <w:rFonts w:ascii="Arial" w:hAnsi="Arial" w:cs="Arial"/>
          <w:sz w:val="20"/>
          <w:szCs w:val="20"/>
        </w:rPr>
        <w:t xml:space="preserve">, compared to </w:t>
      </w:r>
      <w:r w:rsidR="008F357A" w:rsidRPr="00DF5EEB">
        <w:rPr>
          <w:rFonts w:ascii="Arial" w:hAnsi="Arial" w:cs="Arial"/>
          <w:sz w:val="20"/>
          <w:szCs w:val="20"/>
        </w:rPr>
        <w:t>2,242</w:t>
      </w:r>
      <w:r w:rsidRPr="00DF5EEB">
        <w:rPr>
          <w:rFonts w:ascii="Arial" w:hAnsi="Arial" w:cs="Arial"/>
          <w:sz w:val="20"/>
          <w:szCs w:val="20"/>
        </w:rPr>
        <w:t xml:space="preserve"> patients spending on average $</w:t>
      </w:r>
      <w:r w:rsidR="0089453C" w:rsidRPr="00DF5EEB">
        <w:rPr>
          <w:rFonts w:ascii="Arial" w:hAnsi="Arial" w:cs="Arial"/>
          <w:sz w:val="20"/>
          <w:szCs w:val="20"/>
        </w:rPr>
        <w:t>135</w:t>
      </w:r>
      <w:r w:rsidRPr="00DF5EEB">
        <w:rPr>
          <w:rFonts w:ascii="Arial" w:hAnsi="Arial" w:cs="Arial"/>
          <w:sz w:val="20"/>
          <w:szCs w:val="20"/>
        </w:rPr>
        <w:t xml:space="preserve"> during </w:t>
      </w:r>
      <w:r w:rsidR="00186033" w:rsidRPr="00DF5EEB">
        <w:rPr>
          <w:rFonts w:ascii="Arial" w:hAnsi="Arial" w:cs="Arial"/>
          <w:sz w:val="20"/>
          <w:szCs w:val="20"/>
        </w:rPr>
        <w:t>Q</w:t>
      </w:r>
      <w:r w:rsidR="008F357A" w:rsidRPr="00DF5EEB">
        <w:rPr>
          <w:rFonts w:ascii="Arial" w:hAnsi="Arial" w:cs="Arial"/>
          <w:sz w:val="20"/>
          <w:szCs w:val="20"/>
        </w:rPr>
        <w:t>1</w:t>
      </w:r>
      <w:r w:rsidRPr="00DF5EEB">
        <w:rPr>
          <w:rFonts w:ascii="Arial" w:hAnsi="Arial" w:cs="Arial"/>
          <w:sz w:val="20"/>
          <w:szCs w:val="20"/>
        </w:rPr>
        <w:t xml:space="preserve"> 201</w:t>
      </w:r>
      <w:r w:rsidR="008F357A" w:rsidRPr="00DF5EEB">
        <w:rPr>
          <w:rFonts w:ascii="Arial" w:hAnsi="Arial" w:cs="Arial"/>
          <w:sz w:val="20"/>
          <w:szCs w:val="20"/>
        </w:rPr>
        <w:t>8</w:t>
      </w:r>
      <w:r w:rsidRPr="00DF5EEB">
        <w:rPr>
          <w:rFonts w:ascii="Arial" w:hAnsi="Arial" w:cs="Arial"/>
          <w:sz w:val="20"/>
          <w:szCs w:val="20"/>
        </w:rPr>
        <w:t>. Currently the Company receives one</w:t>
      </w:r>
      <w:r w:rsidRPr="001D161C">
        <w:rPr>
          <w:rFonts w:ascii="Arial" w:hAnsi="Arial" w:cs="Arial"/>
          <w:sz w:val="20"/>
          <w:szCs w:val="20"/>
        </w:rPr>
        <w:t xml:space="preserve"> revenue stream which is patient visits to existing clinics. The Company expects to expand that revenue stream as the Chicago clinic patient base grows and the Sollievo product brand is rolled out. </w:t>
      </w:r>
    </w:p>
    <w:p w14:paraId="31FE5B06" w14:textId="77777777" w:rsidR="006E30E6" w:rsidRDefault="006E30E6" w:rsidP="00186033">
      <w:pPr>
        <w:spacing w:after="0"/>
        <w:jc w:val="both"/>
        <w:rPr>
          <w:rFonts w:ascii="Arial" w:hAnsi="Arial" w:cs="Arial"/>
          <w:sz w:val="20"/>
          <w:szCs w:val="20"/>
        </w:rPr>
      </w:pPr>
    </w:p>
    <w:p w14:paraId="52936EC9" w14:textId="00DAAB04" w:rsidR="00DA65B0" w:rsidRPr="00C90A0A" w:rsidRDefault="00DA65B0" w:rsidP="00186033">
      <w:pPr>
        <w:spacing w:after="0"/>
        <w:jc w:val="both"/>
        <w:rPr>
          <w:rFonts w:ascii="Arial" w:hAnsi="Arial" w:cs="Arial"/>
          <w:sz w:val="20"/>
          <w:szCs w:val="20"/>
          <w:u w:val="single"/>
        </w:rPr>
      </w:pPr>
      <w:r w:rsidRPr="00C90A0A">
        <w:rPr>
          <w:rFonts w:ascii="Arial" w:hAnsi="Arial" w:cs="Arial"/>
          <w:sz w:val="20"/>
          <w:szCs w:val="20"/>
          <w:u w:val="single"/>
        </w:rPr>
        <w:t>Direct clinic expenses</w:t>
      </w:r>
    </w:p>
    <w:p w14:paraId="151F428C" w14:textId="77777777" w:rsidR="00FE6AAE" w:rsidRPr="00FE6AAE" w:rsidRDefault="00FE6AAE" w:rsidP="00FE6AAE">
      <w:pPr>
        <w:spacing w:after="0"/>
        <w:jc w:val="both"/>
        <w:rPr>
          <w:rFonts w:ascii="Arial" w:hAnsi="Arial" w:cs="Arial"/>
          <w:sz w:val="20"/>
          <w:szCs w:val="20"/>
          <w:u w:val="single"/>
        </w:rPr>
      </w:pPr>
    </w:p>
    <w:p w14:paraId="47D69F67" w14:textId="0D4097AF" w:rsidR="001442B7" w:rsidRPr="00507BB2" w:rsidRDefault="001442B7" w:rsidP="00FE6AAE">
      <w:pPr>
        <w:spacing w:after="0"/>
        <w:jc w:val="both"/>
        <w:rPr>
          <w:rFonts w:ascii="Arial" w:hAnsi="Arial" w:cs="Arial"/>
          <w:sz w:val="20"/>
          <w:szCs w:val="20"/>
        </w:rPr>
      </w:pPr>
      <w:r w:rsidRPr="00FE6AAE">
        <w:rPr>
          <w:rFonts w:ascii="Arial" w:hAnsi="Arial" w:cs="Arial"/>
          <w:sz w:val="20"/>
          <w:szCs w:val="20"/>
        </w:rPr>
        <w:t>Direct clinic expenses were $</w:t>
      </w:r>
      <w:r w:rsidR="0089453C">
        <w:rPr>
          <w:rFonts w:ascii="Arial" w:hAnsi="Arial" w:cs="Arial"/>
          <w:sz w:val="20"/>
          <w:szCs w:val="20"/>
        </w:rPr>
        <w:t>39,413</w:t>
      </w:r>
      <w:r w:rsidRPr="00FE6AAE">
        <w:rPr>
          <w:rFonts w:ascii="Arial" w:hAnsi="Arial" w:cs="Arial"/>
          <w:sz w:val="20"/>
          <w:szCs w:val="20"/>
        </w:rPr>
        <w:t>, compared to $</w:t>
      </w:r>
      <w:r w:rsidR="0089453C">
        <w:rPr>
          <w:rFonts w:ascii="Arial" w:hAnsi="Arial" w:cs="Arial"/>
          <w:sz w:val="20"/>
          <w:szCs w:val="20"/>
        </w:rPr>
        <w:t>105,165</w:t>
      </w:r>
      <w:r w:rsidRPr="00FE6AAE">
        <w:rPr>
          <w:rFonts w:ascii="Arial" w:hAnsi="Arial" w:cs="Arial"/>
          <w:sz w:val="20"/>
          <w:szCs w:val="20"/>
        </w:rPr>
        <w:t xml:space="preserve"> during Q</w:t>
      </w:r>
      <w:r w:rsidR="008F357A">
        <w:rPr>
          <w:rFonts w:ascii="Arial" w:hAnsi="Arial" w:cs="Arial"/>
          <w:sz w:val="20"/>
          <w:szCs w:val="20"/>
        </w:rPr>
        <w:t>1</w:t>
      </w:r>
      <w:r w:rsidRPr="00FE6AAE">
        <w:rPr>
          <w:rFonts w:ascii="Arial" w:hAnsi="Arial" w:cs="Arial"/>
          <w:sz w:val="20"/>
          <w:szCs w:val="20"/>
        </w:rPr>
        <w:t xml:space="preserve"> 201</w:t>
      </w:r>
      <w:r w:rsidR="008F357A">
        <w:rPr>
          <w:rFonts w:ascii="Arial" w:hAnsi="Arial" w:cs="Arial"/>
          <w:sz w:val="20"/>
          <w:szCs w:val="20"/>
        </w:rPr>
        <w:t>8</w:t>
      </w:r>
      <w:r w:rsidRPr="00FE6AAE">
        <w:rPr>
          <w:rFonts w:ascii="Arial" w:hAnsi="Arial" w:cs="Arial"/>
          <w:sz w:val="20"/>
          <w:szCs w:val="20"/>
        </w:rPr>
        <w:t>. These costs are a function of our doctor roster</w:t>
      </w:r>
      <w:r w:rsidRPr="00BE1DF8">
        <w:rPr>
          <w:rFonts w:ascii="Arial" w:hAnsi="Arial" w:cs="Arial"/>
          <w:sz w:val="20"/>
          <w:szCs w:val="20"/>
        </w:rPr>
        <w:t xml:space="preserve"> and clinic staff to run their clinics. The Company employs both medical doctors and nurses and clinic staff to run their clinics. The Company is currently adding doctors and nurses in the clinic operating </w:t>
      </w:r>
      <w:r w:rsidRPr="00507BB2">
        <w:rPr>
          <w:rFonts w:ascii="Arial" w:hAnsi="Arial" w:cs="Arial"/>
          <w:sz w:val="20"/>
          <w:szCs w:val="20"/>
        </w:rPr>
        <w:t xml:space="preserve">areas thereby cutting down on medical travel expenses. </w:t>
      </w:r>
    </w:p>
    <w:p w14:paraId="7C525B8B" w14:textId="77777777" w:rsidR="008460B5" w:rsidRDefault="008460B5" w:rsidP="001D13DE">
      <w:pPr>
        <w:spacing w:after="0"/>
        <w:jc w:val="both"/>
        <w:rPr>
          <w:rFonts w:ascii="Arial" w:hAnsi="Arial" w:cs="Arial"/>
          <w:sz w:val="20"/>
          <w:szCs w:val="20"/>
          <w:u w:val="single"/>
        </w:rPr>
      </w:pPr>
    </w:p>
    <w:p w14:paraId="3DC44792" w14:textId="2F702544" w:rsidR="001D13DE" w:rsidRPr="00507BB2" w:rsidRDefault="001D13DE" w:rsidP="001D13DE">
      <w:pPr>
        <w:spacing w:after="0"/>
        <w:jc w:val="both"/>
        <w:rPr>
          <w:rFonts w:ascii="Arial" w:hAnsi="Arial" w:cs="Arial"/>
          <w:sz w:val="20"/>
          <w:szCs w:val="20"/>
          <w:u w:val="single"/>
        </w:rPr>
      </w:pPr>
      <w:r w:rsidRPr="00507BB2">
        <w:rPr>
          <w:rFonts w:ascii="Arial" w:hAnsi="Arial" w:cs="Arial"/>
          <w:sz w:val="20"/>
          <w:szCs w:val="20"/>
          <w:u w:val="single"/>
        </w:rPr>
        <w:t>Operating expenses</w:t>
      </w:r>
    </w:p>
    <w:p w14:paraId="19E64E7C" w14:textId="2BA6A4E5" w:rsidR="001442B7" w:rsidRPr="00507BB2" w:rsidRDefault="001442B7" w:rsidP="00DA65B0">
      <w:pPr>
        <w:spacing w:after="0"/>
        <w:rPr>
          <w:rFonts w:ascii="Arial" w:hAnsi="Arial" w:cs="Arial"/>
          <w:sz w:val="20"/>
          <w:szCs w:val="20"/>
        </w:rPr>
      </w:pPr>
    </w:p>
    <w:p w14:paraId="474F9729" w14:textId="7330AA0B" w:rsidR="00726CE5" w:rsidRPr="00041AB3" w:rsidRDefault="00726CE5" w:rsidP="00FE6AAE">
      <w:pPr>
        <w:spacing w:after="0"/>
        <w:jc w:val="both"/>
        <w:rPr>
          <w:rFonts w:ascii="Arial" w:hAnsi="Arial" w:cs="Arial"/>
          <w:sz w:val="20"/>
          <w:szCs w:val="20"/>
        </w:rPr>
      </w:pPr>
      <w:r w:rsidRPr="00731EA5">
        <w:rPr>
          <w:rFonts w:ascii="Arial" w:hAnsi="Arial" w:cs="Arial"/>
          <w:sz w:val="20"/>
          <w:szCs w:val="20"/>
        </w:rPr>
        <w:t xml:space="preserve">Operating expenses were </w:t>
      </w:r>
      <w:r w:rsidR="00615EFE" w:rsidRPr="00731EA5">
        <w:rPr>
          <w:rFonts w:ascii="Arial" w:hAnsi="Arial" w:cs="Arial"/>
          <w:sz w:val="20"/>
          <w:szCs w:val="20"/>
        </w:rPr>
        <w:t>$</w:t>
      </w:r>
      <w:r w:rsidR="00DF5EEB">
        <w:rPr>
          <w:rFonts w:ascii="Arial" w:hAnsi="Arial" w:cs="Arial"/>
          <w:sz w:val="20"/>
          <w:szCs w:val="20"/>
        </w:rPr>
        <w:t>218,627</w:t>
      </w:r>
      <w:r w:rsidRPr="00731EA5">
        <w:rPr>
          <w:rFonts w:ascii="Arial" w:hAnsi="Arial" w:cs="Arial"/>
          <w:sz w:val="20"/>
          <w:szCs w:val="20"/>
        </w:rPr>
        <w:t xml:space="preserve">, compared to </w:t>
      </w:r>
      <w:r w:rsidR="0089453C">
        <w:rPr>
          <w:rFonts w:ascii="Arial" w:hAnsi="Arial" w:cs="Arial"/>
          <w:sz w:val="20"/>
          <w:szCs w:val="20"/>
        </w:rPr>
        <w:t>$708,827</w:t>
      </w:r>
      <w:r w:rsidRPr="00731EA5">
        <w:rPr>
          <w:rFonts w:ascii="Arial" w:hAnsi="Arial" w:cs="Arial"/>
          <w:sz w:val="20"/>
          <w:szCs w:val="20"/>
        </w:rPr>
        <w:t xml:space="preserve"> during Q</w:t>
      </w:r>
      <w:r w:rsidR="008F357A">
        <w:rPr>
          <w:rFonts w:ascii="Arial" w:hAnsi="Arial" w:cs="Arial"/>
          <w:sz w:val="20"/>
          <w:szCs w:val="20"/>
        </w:rPr>
        <w:t>1</w:t>
      </w:r>
      <w:r w:rsidRPr="00731EA5">
        <w:rPr>
          <w:rFonts w:ascii="Arial" w:hAnsi="Arial" w:cs="Arial"/>
          <w:sz w:val="20"/>
          <w:szCs w:val="20"/>
        </w:rPr>
        <w:t xml:space="preserve"> 201</w:t>
      </w:r>
      <w:r w:rsidR="008F357A">
        <w:rPr>
          <w:rFonts w:ascii="Arial" w:hAnsi="Arial" w:cs="Arial"/>
          <w:sz w:val="20"/>
          <w:szCs w:val="20"/>
        </w:rPr>
        <w:t>8</w:t>
      </w:r>
      <w:r w:rsidR="0089453C">
        <w:rPr>
          <w:rFonts w:ascii="Arial" w:hAnsi="Arial" w:cs="Arial"/>
          <w:sz w:val="20"/>
          <w:szCs w:val="20"/>
        </w:rPr>
        <w:t xml:space="preserve"> due </w:t>
      </w:r>
      <w:r w:rsidR="0089453C" w:rsidRPr="00041AB3">
        <w:rPr>
          <w:rFonts w:ascii="Arial" w:hAnsi="Arial" w:cs="Arial"/>
          <w:sz w:val="20"/>
          <w:szCs w:val="20"/>
        </w:rPr>
        <w:t xml:space="preserve">primarily to </w:t>
      </w:r>
      <w:r w:rsidR="00041AB3" w:rsidRPr="00041AB3">
        <w:rPr>
          <w:rFonts w:ascii="Arial" w:eastAsia="Times New Roman" w:hAnsi="Arial" w:cs="Arial"/>
          <w:bCs/>
          <w:color w:val="404042"/>
          <w:sz w:val="20"/>
          <w:szCs w:val="20"/>
          <w:bdr w:val="none" w:sz="0" w:space="0" w:color="auto" w:frame="1"/>
          <w:lang w:val="en-CA" w:eastAsia="en-CA"/>
        </w:rPr>
        <w:t>aggressive headcount cuts and facility changes</w:t>
      </w:r>
      <w:r w:rsidR="0089453C" w:rsidRPr="00041AB3">
        <w:rPr>
          <w:rFonts w:ascii="Arial" w:hAnsi="Arial" w:cs="Arial"/>
          <w:sz w:val="20"/>
          <w:szCs w:val="20"/>
        </w:rPr>
        <w:t>.</w:t>
      </w:r>
    </w:p>
    <w:p w14:paraId="2C514C3F" w14:textId="6352DEE3" w:rsidR="00726CE5" w:rsidRDefault="00726CE5" w:rsidP="00FE6AAE">
      <w:pPr>
        <w:spacing w:after="0"/>
        <w:jc w:val="both"/>
        <w:rPr>
          <w:rFonts w:ascii="Arial" w:hAnsi="Arial" w:cs="Arial"/>
          <w:sz w:val="20"/>
          <w:szCs w:val="20"/>
        </w:rPr>
      </w:pPr>
    </w:p>
    <w:p w14:paraId="7D3D97C8" w14:textId="3EF4D462" w:rsidR="0089453C" w:rsidRDefault="0089453C" w:rsidP="00FE6AAE">
      <w:pPr>
        <w:spacing w:after="0"/>
        <w:jc w:val="both"/>
        <w:rPr>
          <w:rFonts w:ascii="Arial" w:hAnsi="Arial" w:cs="Arial"/>
          <w:sz w:val="20"/>
          <w:szCs w:val="20"/>
        </w:rPr>
      </w:pPr>
    </w:p>
    <w:p w14:paraId="51848FD6" w14:textId="658EF595" w:rsidR="0089453C" w:rsidRDefault="0089453C" w:rsidP="00FE6AAE">
      <w:pPr>
        <w:spacing w:after="0"/>
        <w:jc w:val="both"/>
        <w:rPr>
          <w:rFonts w:ascii="Arial" w:hAnsi="Arial" w:cs="Arial"/>
          <w:sz w:val="20"/>
          <w:szCs w:val="20"/>
        </w:rPr>
      </w:pPr>
    </w:p>
    <w:p w14:paraId="38704419" w14:textId="45F14D4C" w:rsidR="0089453C" w:rsidRDefault="0089453C" w:rsidP="00FE6AAE">
      <w:pPr>
        <w:spacing w:after="0"/>
        <w:jc w:val="both"/>
        <w:rPr>
          <w:rFonts w:ascii="Arial" w:hAnsi="Arial" w:cs="Arial"/>
          <w:sz w:val="20"/>
          <w:szCs w:val="20"/>
        </w:rPr>
      </w:pPr>
    </w:p>
    <w:p w14:paraId="552F2AC2" w14:textId="0D883FA1" w:rsidR="0089453C" w:rsidRDefault="0089453C" w:rsidP="00FE6AAE">
      <w:pPr>
        <w:spacing w:after="0"/>
        <w:jc w:val="both"/>
        <w:rPr>
          <w:rFonts w:ascii="Arial" w:hAnsi="Arial" w:cs="Arial"/>
          <w:sz w:val="20"/>
          <w:szCs w:val="20"/>
        </w:rPr>
      </w:pPr>
    </w:p>
    <w:p w14:paraId="3EFDAD39" w14:textId="77777777" w:rsidR="0089453C" w:rsidRPr="00507BB2" w:rsidRDefault="0089453C" w:rsidP="00FE6AAE">
      <w:pPr>
        <w:spacing w:after="0"/>
        <w:jc w:val="both"/>
        <w:rPr>
          <w:rFonts w:ascii="Arial" w:hAnsi="Arial" w:cs="Arial"/>
          <w:sz w:val="20"/>
          <w:szCs w:val="20"/>
        </w:rPr>
      </w:pPr>
    </w:p>
    <w:p w14:paraId="7442A671" w14:textId="72A62D30" w:rsidR="00DA65B0" w:rsidRPr="00C90A0A" w:rsidRDefault="00DA65B0" w:rsidP="00FE6AAE">
      <w:pPr>
        <w:spacing w:after="0"/>
        <w:jc w:val="both"/>
        <w:rPr>
          <w:rFonts w:ascii="Arial" w:hAnsi="Arial" w:cs="Arial"/>
          <w:sz w:val="20"/>
          <w:szCs w:val="20"/>
          <w:u w:val="single"/>
        </w:rPr>
      </w:pPr>
      <w:r w:rsidRPr="00507BB2">
        <w:rPr>
          <w:rFonts w:ascii="Arial" w:hAnsi="Arial" w:cs="Arial"/>
          <w:sz w:val="20"/>
          <w:szCs w:val="20"/>
          <w:u w:val="single"/>
        </w:rPr>
        <w:t xml:space="preserve">Legal </w:t>
      </w:r>
      <w:r w:rsidR="00D73518" w:rsidRPr="00507BB2">
        <w:rPr>
          <w:rFonts w:ascii="Arial" w:hAnsi="Arial" w:cs="Arial"/>
          <w:sz w:val="20"/>
          <w:szCs w:val="20"/>
          <w:u w:val="single"/>
        </w:rPr>
        <w:t>and professional</w:t>
      </w:r>
      <w:r w:rsidR="00D73518">
        <w:rPr>
          <w:rFonts w:ascii="Arial" w:hAnsi="Arial" w:cs="Arial"/>
          <w:sz w:val="20"/>
          <w:szCs w:val="20"/>
          <w:u w:val="single"/>
        </w:rPr>
        <w:t xml:space="preserve"> fees </w:t>
      </w:r>
    </w:p>
    <w:p w14:paraId="44AB8CE0" w14:textId="04484CB0" w:rsidR="00DA65B0" w:rsidRDefault="00DA65B0" w:rsidP="00FE6AAE">
      <w:pPr>
        <w:spacing w:after="0"/>
        <w:jc w:val="both"/>
        <w:rPr>
          <w:rFonts w:ascii="Arial" w:hAnsi="Arial" w:cs="Arial"/>
          <w:sz w:val="20"/>
          <w:szCs w:val="20"/>
        </w:rPr>
      </w:pPr>
    </w:p>
    <w:p w14:paraId="48FBC194" w14:textId="2003509E" w:rsidR="00D73518" w:rsidRPr="00BE1DF8" w:rsidRDefault="00D73518" w:rsidP="00FE6AAE">
      <w:pPr>
        <w:jc w:val="both"/>
        <w:rPr>
          <w:rFonts w:ascii="Arial" w:hAnsi="Arial" w:cs="Arial"/>
          <w:sz w:val="20"/>
          <w:szCs w:val="20"/>
        </w:rPr>
      </w:pPr>
      <w:r>
        <w:rPr>
          <w:rFonts w:ascii="Arial" w:hAnsi="Arial" w:cs="Arial"/>
          <w:sz w:val="20"/>
          <w:szCs w:val="20"/>
        </w:rPr>
        <w:t>Legal and p</w:t>
      </w:r>
      <w:r w:rsidRPr="00BE1DF8">
        <w:rPr>
          <w:rFonts w:ascii="Arial" w:hAnsi="Arial" w:cs="Arial"/>
          <w:sz w:val="20"/>
          <w:szCs w:val="20"/>
        </w:rPr>
        <w:t>rofessional fees were $</w:t>
      </w:r>
      <w:r w:rsidR="00290443">
        <w:rPr>
          <w:rFonts w:ascii="Arial" w:hAnsi="Arial" w:cs="Arial"/>
          <w:sz w:val="20"/>
          <w:szCs w:val="20"/>
        </w:rPr>
        <w:t>113,011</w:t>
      </w:r>
      <w:r w:rsidRPr="00BE1DF8">
        <w:rPr>
          <w:rFonts w:ascii="Arial" w:hAnsi="Arial" w:cs="Arial"/>
          <w:sz w:val="20"/>
          <w:szCs w:val="20"/>
        </w:rPr>
        <w:t xml:space="preserve">, compared to </w:t>
      </w:r>
      <w:r w:rsidR="0089453C">
        <w:rPr>
          <w:rFonts w:ascii="Arial" w:hAnsi="Arial" w:cs="Arial"/>
          <w:sz w:val="20"/>
          <w:szCs w:val="20"/>
        </w:rPr>
        <w:t>$69,783</w:t>
      </w:r>
      <w:r w:rsidRPr="00BE1DF8">
        <w:rPr>
          <w:rFonts w:ascii="Arial" w:hAnsi="Arial" w:cs="Arial"/>
          <w:sz w:val="20"/>
          <w:szCs w:val="20"/>
        </w:rPr>
        <w:t xml:space="preserve"> during </w:t>
      </w:r>
      <w:r>
        <w:rPr>
          <w:rFonts w:ascii="Arial" w:hAnsi="Arial" w:cs="Arial"/>
          <w:sz w:val="20"/>
          <w:szCs w:val="20"/>
        </w:rPr>
        <w:t>Q</w:t>
      </w:r>
      <w:r w:rsidR="008F357A">
        <w:rPr>
          <w:rFonts w:ascii="Arial" w:hAnsi="Arial" w:cs="Arial"/>
          <w:sz w:val="20"/>
          <w:szCs w:val="20"/>
        </w:rPr>
        <w:t>1</w:t>
      </w:r>
      <w:r w:rsidRPr="00BE1DF8">
        <w:rPr>
          <w:rFonts w:ascii="Arial" w:hAnsi="Arial" w:cs="Arial"/>
          <w:sz w:val="20"/>
          <w:szCs w:val="20"/>
        </w:rPr>
        <w:t xml:space="preserve"> 201</w:t>
      </w:r>
      <w:r w:rsidR="008F357A">
        <w:rPr>
          <w:rFonts w:ascii="Arial" w:hAnsi="Arial" w:cs="Arial"/>
          <w:sz w:val="20"/>
          <w:szCs w:val="20"/>
        </w:rPr>
        <w:t>8</w:t>
      </w:r>
      <w:r w:rsidRPr="00BE1DF8">
        <w:rPr>
          <w:rFonts w:ascii="Arial" w:hAnsi="Arial" w:cs="Arial"/>
          <w:sz w:val="20"/>
          <w:szCs w:val="20"/>
        </w:rPr>
        <w:t>. The Company expects professional service fees to drop markedly over time as many are related to successful prior litigation or “one time” events such as the fees associated with the RTO</w:t>
      </w:r>
      <w:r w:rsidR="00AC703E">
        <w:rPr>
          <w:rFonts w:ascii="Arial" w:hAnsi="Arial" w:cs="Arial"/>
          <w:sz w:val="20"/>
          <w:szCs w:val="20"/>
        </w:rPr>
        <w:t xml:space="preserve"> </w:t>
      </w:r>
      <w:bookmarkStart w:id="3" w:name="_Hlk8667432"/>
      <w:r w:rsidR="00AC703E">
        <w:rPr>
          <w:rFonts w:ascii="Arial" w:hAnsi="Arial" w:cs="Arial"/>
          <w:sz w:val="20"/>
          <w:szCs w:val="20"/>
        </w:rPr>
        <w:t>that completed in April 2018</w:t>
      </w:r>
      <w:bookmarkEnd w:id="3"/>
      <w:r w:rsidRPr="00BE1DF8">
        <w:rPr>
          <w:rFonts w:ascii="Arial" w:hAnsi="Arial" w:cs="Arial"/>
          <w:sz w:val="20"/>
          <w:szCs w:val="20"/>
        </w:rPr>
        <w:t xml:space="preserve">. </w:t>
      </w:r>
    </w:p>
    <w:p w14:paraId="4C9161FE" w14:textId="77777777" w:rsidR="00770FCE" w:rsidRPr="00C90A0A" w:rsidRDefault="00770FCE" w:rsidP="00770FCE">
      <w:pPr>
        <w:spacing w:after="0"/>
        <w:jc w:val="both"/>
        <w:rPr>
          <w:rFonts w:ascii="Arial" w:hAnsi="Arial" w:cs="Arial"/>
          <w:sz w:val="20"/>
          <w:szCs w:val="20"/>
          <w:u w:val="single"/>
        </w:rPr>
      </w:pPr>
      <w:r w:rsidRPr="00C90A0A">
        <w:rPr>
          <w:rFonts w:ascii="Arial" w:hAnsi="Arial" w:cs="Arial"/>
          <w:sz w:val="20"/>
          <w:szCs w:val="20"/>
          <w:u w:val="single"/>
        </w:rPr>
        <w:t>Depreciation expense</w:t>
      </w:r>
    </w:p>
    <w:p w14:paraId="00691CC7" w14:textId="77777777" w:rsidR="00770FCE" w:rsidRDefault="00770FCE" w:rsidP="00770FCE">
      <w:pPr>
        <w:spacing w:after="0"/>
        <w:jc w:val="both"/>
        <w:rPr>
          <w:rFonts w:ascii="Arial" w:hAnsi="Arial" w:cs="Arial"/>
          <w:sz w:val="20"/>
          <w:szCs w:val="20"/>
        </w:rPr>
      </w:pPr>
    </w:p>
    <w:p w14:paraId="5B81A70D" w14:textId="39F1137B" w:rsidR="00770FCE" w:rsidRDefault="00770FCE" w:rsidP="00770FCE">
      <w:pPr>
        <w:spacing w:after="0"/>
        <w:jc w:val="both"/>
        <w:rPr>
          <w:rFonts w:ascii="Arial" w:hAnsi="Arial" w:cs="Arial"/>
          <w:sz w:val="20"/>
          <w:szCs w:val="20"/>
        </w:rPr>
      </w:pPr>
      <w:r w:rsidRPr="00731EA5">
        <w:rPr>
          <w:rFonts w:ascii="Arial" w:hAnsi="Arial" w:cs="Arial"/>
          <w:sz w:val="20"/>
          <w:szCs w:val="20"/>
        </w:rPr>
        <w:t>Depreciation and amortization expense was $</w:t>
      </w:r>
      <w:r w:rsidR="00DF5EEB">
        <w:rPr>
          <w:rFonts w:ascii="Arial" w:hAnsi="Arial" w:cs="Arial"/>
          <w:sz w:val="20"/>
          <w:szCs w:val="20"/>
        </w:rPr>
        <w:t>46,143</w:t>
      </w:r>
      <w:r w:rsidRPr="00731EA5">
        <w:rPr>
          <w:rFonts w:ascii="Arial" w:hAnsi="Arial" w:cs="Arial"/>
          <w:sz w:val="20"/>
          <w:szCs w:val="20"/>
        </w:rPr>
        <w:t>, compared to $</w:t>
      </w:r>
      <w:r>
        <w:rPr>
          <w:rFonts w:ascii="Arial" w:hAnsi="Arial" w:cs="Arial"/>
          <w:sz w:val="20"/>
          <w:szCs w:val="20"/>
        </w:rPr>
        <w:t>25,902</w:t>
      </w:r>
      <w:r w:rsidRPr="00731EA5">
        <w:rPr>
          <w:rFonts w:ascii="Arial" w:hAnsi="Arial" w:cs="Arial"/>
          <w:sz w:val="20"/>
          <w:szCs w:val="20"/>
        </w:rPr>
        <w:t xml:space="preserve"> during Q</w:t>
      </w:r>
      <w:r>
        <w:rPr>
          <w:rFonts w:ascii="Arial" w:hAnsi="Arial" w:cs="Arial"/>
          <w:sz w:val="20"/>
          <w:szCs w:val="20"/>
        </w:rPr>
        <w:t>1</w:t>
      </w:r>
      <w:r w:rsidRPr="00731EA5">
        <w:rPr>
          <w:rFonts w:ascii="Arial" w:hAnsi="Arial" w:cs="Arial"/>
          <w:sz w:val="20"/>
          <w:szCs w:val="20"/>
        </w:rPr>
        <w:t xml:space="preserve"> 201</w:t>
      </w:r>
      <w:r>
        <w:rPr>
          <w:rFonts w:ascii="Arial" w:hAnsi="Arial" w:cs="Arial"/>
          <w:sz w:val="20"/>
          <w:szCs w:val="20"/>
        </w:rPr>
        <w:t>8</w:t>
      </w:r>
      <w:r w:rsidRPr="00731EA5">
        <w:rPr>
          <w:rFonts w:ascii="Arial" w:hAnsi="Arial" w:cs="Arial"/>
          <w:sz w:val="20"/>
          <w:szCs w:val="20"/>
        </w:rPr>
        <w:t>.</w:t>
      </w:r>
      <w:r>
        <w:rPr>
          <w:rFonts w:ascii="Arial" w:hAnsi="Arial" w:cs="Arial"/>
          <w:sz w:val="20"/>
          <w:szCs w:val="20"/>
        </w:rPr>
        <w:t xml:space="preserve"> The increase relates primarily to the depreciation on the right-of-use asset resulting from the adoption of IFRS 16.</w:t>
      </w:r>
    </w:p>
    <w:p w14:paraId="17F296BC" w14:textId="77777777" w:rsidR="00770FCE" w:rsidRPr="00C90A0A" w:rsidRDefault="00770FCE" w:rsidP="00770FCE">
      <w:pPr>
        <w:spacing w:after="0"/>
        <w:rPr>
          <w:rFonts w:ascii="Arial" w:hAnsi="Arial" w:cs="Arial"/>
          <w:sz w:val="20"/>
          <w:szCs w:val="20"/>
        </w:rPr>
      </w:pPr>
    </w:p>
    <w:p w14:paraId="3A4F1D0A" w14:textId="3F6CCA35" w:rsidR="001D13DE" w:rsidRPr="00C90A0A" w:rsidRDefault="005D35C2" w:rsidP="00FE6AAE">
      <w:pPr>
        <w:spacing w:after="0"/>
        <w:jc w:val="both"/>
        <w:rPr>
          <w:rFonts w:ascii="Arial" w:hAnsi="Arial" w:cs="Arial"/>
          <w:sz w:val="20"/>
          <w:szCs w:val="20"/>
          <w:u w:val="single"/>
        </w:rPr>
      </w:pPr>
      <w:r>
        <w:rPr>
          <w:rFonts w:ascii="Arial" w:hAnsi="Arial" w:cs="Arial"/>
          <w:sz w:val="20"/>
          <w:szCs w:val="20"/>
          <w:u w:val="single"/>
        </w:rPr>
        <w:t>Share-based</w:t>
      </w:r>
      <w:r w:rsidR="001D13DE" w:rsidRPr="00C90A0A">
        <w:rPr>
          <w:rFonts w:ascii="Arial" w:hAnsi="Arial" w:cs="Arial"/>
          <w:sz w:val="20"/>
          <w:szCs w:val="20"/>
          <w:u w:val="single"/>
        </w:rPr>
        <w:t xml:space="preserve"> payments</w:t>
      </w:r>
    </w:p>
    <w:p w14:paraId="0819D67D" w14:textId="77777777" w:rsidR="001D13DE" w:rsidRDefault="001D13DE" w:rsidP="00FE6AAE">
      <w:pPr>
        <w:spacing w:after="0"/>
        <w:jc w:val="both"/>
        <w:rPr>
          <w:rFonts w:ascii="Arial" w:hAnsi="Arial" w:cs="Arial"/>
          <w:sz w:val="20"/>
          <w:szCs w:val="20"/>
        </w:rPr>
      </w:pPr>
    </w:p>
    <w:p w14:paraId="62462252" w14:textId="3271980D" w:rsidR="001D13DE" w:rsidRPr="00C90A0A" w:rsidRDefault="005D35C2" w:rsidP="00FE6AAE">
      <w:pPr>
        <w:spacing w:after="0"/>
        <w:jc w:val="both"/>
        <w:rPr>
          <w:rFonts w:ascii="Arial" w:hAnsi="Arial" w:cs="Arial"/>
          <w:sz w:val="20"/>
          <w:szCs w:val="20"/>
        </w:rPr>
      </w:pPr>
      <w:r>
        <w:rPr>
          <w:rFonts w:ascii="Arial" w:hAnsi="Arial" w:cs="Arial"/>
          <w:sz w:val="20"/>
          <w:szCs w:val="20"/>
        </w:rPr>
        <w:t>Share-based</w:t>
      </w:r>
      <w:r w:rsidR="001D13DE">
        <w:rPr>
          <w:rFonts w:ascii="Arial" w:hAnsi="Arial" w:cs="Arial"/>
          <w:sz w:val="20"/>
          <w:szCs w:val="20"/>
        </w:rPr>
        <w:t xml:space="preserve"> payments expense was</w:t>
      </w:r>
      <w:r w:rsidR="00A604EC">
        <w:rPr>
          <w:rFonts w:ascii="Arial" w:hAnsi="Arial" w:cs="Arial"/>
          <w:sz w:val="20"/>
          <w:szCs w:val="20"/>
        </w:rPr>
        <w:t xml:space="preserve"> </w:t>
      </w:r>
      <w:r w:rsidR="001D13DE">
        <w:rPr>
          <w:rFonts w:ascii="Arial" w:hAnsi="Arial" w:cs="Arial"/>
          <w:sz w:val="20"/>
          <w:szCs w:val="20"/>
        </w:rPr>
        <w:t>$</w:t>
      </w:r>
      <w:r w:rsidR="0089453C">
        <w:rPr>
          <w:rFonts w:ascii="Arial" w:hAnsi="Arial" w:cs="Arial"/>
          <w:sz w:val="20"/>
          <w:szCs w:val="20"/>
        </w:rPr>
        <w:t>14,960</w:t>
      </w:r>
      <w:r w:rsidR="001D13DE">
        <w:rPr>
          <w:rFonts w:ascii="Arial" w:hAnsi="Arial" w:cs="Arial"/>
          <w:sz w:val="20"/>
          <w:szCs w:val="20"/>
        </w:rPr>
        <w:t>, compared to $</w:t>
      </w:r>
      <w:r w:rsidR="0089453C">
        <w:rPr>
          <w:rFonts w:ascii="Arial" w:hAnsi="Arial" w:cs="Arial"/>
          <w:sz w:val="20"/>
          <w:szCs w:val="20"/>
        </w:rPr>
        <w:t>1,443,928</w:t>
      </w:r>
      <w:r w:rsidR="001D13DE">
        <w:rPr>
          <w:rFonts w:ascii="Arial" w:hAnsi="Arial" w:cs="Arial"/>
          <w:sz w:val="20"/>
          <w:szCs w:val="20"/>
        </w:rPr>
        <w:t xml:space="preserve"> during Q</w:t>
      </w:r>
      <w:r w:rsidR="008F357A">
        <w:rPr>
          <w:rFonts w:ascii="Arial" w:hAnsi="Arial" w:cs="Arial"/>
          <w:sz w:val="20"/>
          <w:szCs w:val="20"/>
        </w:rPr>
        <w:t>1</w:t>
      </w:r>
      <w:r w:rsidR="001D13DE">
        <w:rPr>
          <w:rFonts w:ascii="Arial" w:hAnsi="Arial" w:cs="Arial"/>
          <w:sz w:val="20"/>
          <w:szCs w:val="20"/>
        </w:rPr>
        <w:t xml:space="preserve"> 201</w:t>
      </w:r>
      <w:r w:rsidR="008F357A">
        <w:rPr>
          <w:rFonts w:ascii="Arial" w:hAnsi="Arial" w:cs="Arial"/>
          <w:sz w:val="20"/>
          <w:szCs w:val="20"/>
        </w:rPr>
        <w:t>8</w:t>
      </w:r>
      <w:r w:rsidR="001D13DE">
        <w:rPr>
          <w:rFonts w:ascii="Arial" w:hAnsi="Arial" w:cs="Arial"/>
          <w:sz w:val="20"/>
          <w:szCs w:val="20"/>
        </w:rPr>
        <w:t>.</w:t>
      </w:r>
      <w:r w:rsidR="00A604EC">
        <w:rPr>
          <w:rFonts w:ascii="Arial" w:hAnsi="Arial" w:cs="Arial"/>
          <w:sz w:val="20"/>
          <w:szCs w:val="20"/>
        </w:rPr>
        <w:t xml:space="preserve"> </w:t>
      </w:r>
      <w:r w:rsidR="001D13DE">
        <w:rPr>
          <w:rFonts w:ascii="Arial" w:hAnsi="Arial" w:cs="Arial"/>
          <w:sz w:val="20"/>
          <w:szCs w:val="20"/>
        </w:rPr>
        <w:t xml:space="preserve">The </w:t>
      </w:r>
      <w:r>
        <w:rPr>
          <w:rFonts w:ascii="Arial" w:hAnsi="Arial" w:cs="Arial"/>
          <w:sz w:val="20"/>
          <w:szCs w:val="20"/>
        </w:rPr>
        <w:t>share-based</w:t>
      </w:r>
      <w:r w:rsidR="001D13DE">
        <w:rPr>
          <w:rFonts w:ascii="Arial" w:hAnsi="Arial" w:cs="Arial"/>
          <w:sz w:val="20"/>
          <w:szCs w:val="20"/>
        </w:rPr>
        <w:t xml:space="preserve"> payments expense </w:t>
      </w:r>
      <w:r w:rsidR="009C53F7">
        <w:rPr>
          <w:rFonts w:ascii="Arial" w:hAnsi="Arial" w:cs="Arial"/>
          <w:sz w:val="20"/>
          <w:szCs w:val="20"/>
        </w:rPr>
        <w:t>is</w:t>
      </w:r>
      <w:r w:rsidR="001D13DE">
        <w:rPr>
          <w:rFonts w:ascii="Arial" w:hAnsi="Arial" w:cs="Arial"/>
          <w:sz w:val="20"/>
          <w:szCs w:val="20"/>
        </w:rPr>
        <w:t xml:space="preserve"> the</w:t>
      </w:r>
      <w:r w:rsidR="001D13DE" w:rsidRPr="00F7428E">
        <w:rPr>
          <w:rFonts w:ascii="Arial" w:hAnsi="Arial" w:cs="Arial"/>
          <w:sz w:val="20"/>
          <w:szCs w:val="20"/>
        </w:rPr>
        <w:t xml:space="preserve"> fair value of share options recognized as an expense during the </w:t>
      </w:r>
      <w:r w:rsidR="003C5740">
        <w:rPr>
          <w:rFonts w:ascii="Arial" w:hAnsi="Arial" w:cs="Arial"/>
          <w:sz w:val="20"/>
          <w:szCs w:val="20"/>
        </w:rPr>
        <w:t xml:space="preserve">quarter </w:t>
      </w:r>
      <w:r w:rsidR="001D13DE">
        <w:rPr>
          <w:rFonts w:ascii="Arial" w:hAnsi="Arial" w:cs="Arial"/>
          <w:sz w:val="20"/>
          <w:szCs w:val="20"/>
        </w:rPr>
        <w:t>based on the fair valued determined</w:t>
      </w:r>
      <w:r w:rsidR="009C53F7">
        <w:rPr>
          <w:rFonts w:ascii="Arial" w:hAnsi="Arial" w:cs="Arial"/>
          <w:sz w:val="20"/>
          <w:szCs w:val="20"/>
        </w:rPr>
        <w:t xml:space="preserve"> by</w:t>
      </w:r>
      <w:r w:rsidR="001D13DE">
        <w:rPr>
          <w:rFonts w:ascii="Arial" w:hAnsi="Arial" w:cs="Arial"/>
          <w:sz w:val="20"/>
          <w:szCs w:val="20"/>
        </w:rPr>
        <w:t xml:space="preserve"> the </w:t>
      </w:r>
      <w:r w:rsidR="001D13DE" w:rsidRPr="00F7428E">
        <w:rPr>
          <w:rFonts w:ascii="Arial" w:hAnsi="Arial" w:cs="Arial"/>
          <w:sz w:val="20"/>
          <w:szCs w:val="20"/>
        </w:rPr>
        <w:t>Black Scholes option pricing model valuation</w:t>
      </w:r>
      <w:r w:rsidR="001D13DE">
        <w:rPr>
          <w:rFonts w:ascii="Arial" w:hAnsi="Arial" w:cs="Arial"/>
          <w:sz w:val="20"/>
          <w:szCs w:val="20"/>
        </w:rPr>
        <w:t>.</w:t>
      </w:r>
    </w:p>
    <w:p w14:paraId="1A51767B" w14:textId="77777777" w:rsidR="00DA65B0" w:rsidRPr="00C90A0A" w:rsidRDefault="00DA65B0" w:rsidP="00FE6AAE">
      <w:pPr>
        <w:spacing w:after="0"/>
        <w:jc w:val="both"/>
        <w:rPr>
          <w:rFonts w:ascii="Arial" w:hAnsi="Arial" w:cs="Arial"/>
          <w:sz w:val="20"/>
          <w:szCs w:val="20"/>
        </w:rPr>
      </w:pPr>
    </w:p>
    <w:p w14:paraId="6FFF5AF2" w14:textId="5DA7C2EB" w:rsidR="00DA65B0" w:rsidRPr="00C90A0A" w:rsidRDefault="00DA65B0" w:rsidP="00FE6AAE">
      <w:pPr>
        <w:spacing w:after="0"/>
        <w:jc w:val="both"/>
        <w:rPr>
          <w:rFonts w:ascii="Arial" w:hAnsi="Arial" w:cs="Arial"/>
          <w:sz w:val="20"/>
          <w:szCs w:val="20"/>
          <w:u w:val="single"/>
        </w:rPr>
      </w:pPr>
      <w:r w:rsidRPr="00C90A0A">
        <w:rPr>
          <w:rFonts w:ascii="Arial" w:hAnsi="Arial" w:cs="Arial"/>
          <w:sz w:val="20"/>
          <w:szCs w:val="20"/>
          <w:u w:val="single"/>
        </w:rPr>
        <w:t>Accretion expense</w:t>
      </w:r>
    </w:p>
    <w:p w14:paraId="07ED9135" w14:textId="3FE85DF1" w:rsidR="00DA65B0" w:rsidRDefault="00DA65B0" w:rsidP="00FE6AAE">
      <w:pPr>
        <w:spacing w:after="0"/>
        <w:jc w:val="both"/>
        <w:rPr>
          <w:rFonts w:ascii="Arial" w:hAnsi="Arial" w:cs="Arial"/>
          <w:sz w:val="20"/>
          <w:szCs w:val="20"/>
        </w:rPr>
      </w:pPr>
    </w:p>
    <w:p w14:paraId="5068CF86" w14:textId="38E2D527" w:rsidR="00DA65B0" w:rsidRDefault="00186033" w:rsidP="00FE6AAE">
      <w:pPr>
        <w:spacing w:after="0"/>
        <w:jc w:val="both"/>
        <w:rPr>
          <w:rFonts w:ascii="Arial" w:hAnsi="Arial" w:cs="Arial"/>
          <w:sz w:val="20"/>
          <w:szCs w:val="20"/>
        </w:rPr>
      </w:pPr>
      <w:r w:rsidRPr="00731EA5">
        <w:rPr>
          <w:rFonts w:ascii="Arial" w:hAnsi="Arial" w:cs="Arial"/>
          <w:sz w:val="20"/>
          <w:szCs w:val="20"/>
        </w:rPr>
        <w:t>Accretion expense was $</w:t>
      </w:r>
      <w:r w:rsidR="0089453C">
        <w:rPr>
          <w:rFonts w:ascii="Arial" w:hAnsi="Arial" w:cs="Arial"/>
          <w:sz w:val="20"/>
          <w:szCs w:val="20"/>
        </w:rPr>
        <w:t>29,914</w:t>
      </w:r>
      <w:r w:rsidRPr="00731EA5">
        <w:rPr>
          <w:rFonts w:ascii="Arial" w:hAnsi="Arial" w:cs="Arial"/>
          <w:sz w:val="20"/>
          <w:szCs w:val="20"/>
        </w:rPr>
        <w:t xml:space="preserve">, compared to </w:t>
      </w:r>
      <w:r w:rsidR="0089453C">
        <w:rPr>
          <w:rFonts w:ascii="Arial" w:hAnsi="Arial" w:cs="Arial"/>
          <w:sz w:val="20"/>
          <w:szCs w:val="20"/>
        </w:rPr>
        <w:t>$186,200</w:t>
      </w:r>
      <w:r w:rsidRPr="00731EA5">
        <w:rPr>
          <w:rFonts w:ascii="Arial" w:hAnsi="Arial" w:cs="Arial"/>
          <w:sz w:val="20"/>
          <w:szCs w:val="20"/>
        </w:rPr>
        <w:t xml:space="preserve"> during Q</w:t>
      </w:r>
      <w:r w:rsidR="003C5740">
        <w:rPr>
          <w:rFonts w:ascii="Arial" w:hAnsi="Arial" w:cs="Arial"/>
          <w:sz w:val="20"/>
          <w:szCs w:val="20"/>
        </w:rPr>
        <w:t>1</w:t>
      </w:r>
      <w:r w:rsidRPr="00731EA5">
        <w:rPr>
          <w:rFonts w:ascii="Arial" w:hAnsi="Arial" w:cs="Arial"/>
          <w:sz w:val="20"/>
          <w:szCs w:val="20"/>
        </w:rPr>
        <w:t xml:space="preserve"> 201</w:t>
      </w:r>
      <w:r w:rsidR="003C5740">
        <w:rPr>
          <w:rFonts w:ascii="Arial" w:hAnsi="Arial" w:cs="Arial"/>
          <w:sz w:val="20"/>
          <w:szCs w:val="20"/>
        </w:rPr>
        <w:t>8</w:t>
      </w:r>
      <w:r w:rsidRPr="00731EA5">
        <w:rPr>
          <w:rFonts w:ascii="Arial" w:hAnsi="Arial" w:cs="Arial"/>
          <w:sz w:val="20"/>
          <w:szCs w:val="20"/>
        </w:rPr>
        <w:t xml:space="preserve">, in connection with </w:t>
      </w:r>
      <w:r w:rsidR="00A604EC" w:rsidRPr="00731EA5">
        <w:rPr>
          <w:rFonts w:ascii="Arial" w:hAnsi="Arial" w:cs="Arial"/>
          <w:sz w:val="20"/>
          <w:szCs w:val="20"/>
        </w:rPr>
        <w:t xml:space="preserve">the Company’s </w:t>
      </w:r>
      <w:r w:rsidRPr="00731EA5">
        <w:rPr>
          <w:rFonts w:ascii="Arial" w:hAnsi="Arial" w:cs="Arial"/>
          <w:sz w:val="20"/>
          <w:szCs w:val="20"/>
        </w:rPr>
        <w:t>convertible notes payable</w:t>
      </w:r>
      <w:r w:rsidR="009C53F7" w:rsidRPr="00731EA5">
        <w:rPr>
          <w:rFonts w:ascii="Arial" w:hAnsi="Arial" w:cs="Arial"/>
          <w:sz w:val="20"/>
          <w:szCs w:val="20"/>
        </w:rPr>
        <w:t>.</w:t>
      </w:r>
      <w:r w:rsidR="00CF76E9">
        <w:rPr>
          <w:rFonts w:ascii="Arial" w:hAnsi="Arial" w:cs="Arial"/>
          <w:sz w:val="20"/>
          <w:szCs w:val="20"/>
        </w:rPr>
        <w:t xml:space="preserve"> The decrease is due to the conversion of the convertible debentures during fiscal 2018, thereby leading to lower accretion in Q</w:t>
      </w:r>
      <w:r w:rsidR="003C5740">
        <w:rPr>
          <w:rFonts w:ascii="Arial" w:hAnsi="Arial" w:cs="Arial"/>
          <w:sz w:val="20"/>
          <w:szCs w:val="20"/>
        </w:rPr>
        <w:t>1</w:t>
      </w:r>
      <w:r w:rsidR="00CF76E9">
        <w:rPr>
          <w:rFonts w:ascii="Arial" w:hAnsi="Arial" w:cs="Arial"/>
          <w:sz w:val="20"/>
          <w:szCs w:val="20"/>
        </w:rPr>
        <w:t xml:space="preserve"> 201</w:t>
      </w:r>
      <w:r w:rsidR="00770FCE">
        <w:rPr>
          <w:rFonts w:ascii="Arial" w:hAnsi="Arial" w:cs="Arial"/>
          <w:sz w:val="20"/>
          <w:szCs w:val="20"/>
        </w:rPr>
        <w:t>9</w:t>
      </w:r>
      <w:r w:rsidR="00CF76E9">
        <w:rPr>
          <w:rFonts w:ascii="Arial" w:hAnsi="Arial" w:cs="Arial"/>
          <w:sz w:val="20"/>
          <w:szCs w:val="20"/>
        </w:rPr>
        <w:t>.</w:t>
      </w:r>
    </w:p>
    <w:p w14:paraId="5048FD4E" w14:textId="77777777" w:rsidR="00DA65B0" w:rsidRPr="00C90A0A" w:rsidRDefault="00DA65B0" w:rsidP="00FE6AAE">
      <w:pPr>
        <w:spacing w:after="0"/>
        <w:jc w:val="both"/>
        <w:rPr>
          <w:rFonts w:ascii="Arial" w:hAnsi="Arial" w:cs="Arial"/>
          <w:sz w:val="20"/>
          <w:szCs w:val="20"/>
        </w:rPr>
      </w:pPr>
    </w:p>
    <w:p w14:paraId="10C0F8FB" w14:textId="423AFD89" w:rsidR="00DA65B0" w:rsidRPr="00C90A0A" w:rsidRDefault="00DA65B0" w:rsidP="00FE6AAE">
      <w:pPr>
        <w:spacing w:after="0"/>
        <w:jc w:val="both"/>
        <w:rPr>
          <w:rFonts w:ascii="Arial" w:hAnsi="Arial" w:cs="Arial"/>
          <w:sz w:val="20"/>
          <w:szCs w:val="20"/>
          <w:u w:val="single"/>
        </w:rPr>
      </w:pPr>
      <w:r w:rsidRPr="00C90A0A">
        <w:rPr>
          <w:rFonts w:ascii="Arial" w:hAnsi="Arial" w:cs="Arial"/>
          <w:sz w:val="20"/>
          <w:szCs w:val="20"/>
          <w:u w:val="single"/>
        </w:rPr>
        <w:t>Interest expense</w:t>
      </w:r>
    </w:p>
    <w:p w14:paraId="6C1D5B17" w14:textId="3D3C77E4" w:rsidR="00DA65B0" w:rsidRDefault="00DA65B0" w:rsidP="00FE6AAE">
      <w:pPr>
        <w:spacing w:after="0"/>
        <w:jc w:val="both"/>
        <w:rPr>
          <w:rFonts w:ascii="Arial" w:hAnsi="Arial" w:cs="Arial"/>
          <w:sz w:val="20"/>
          <w:szCs w:val="20"/>
        </w:rPr>
      </w:pPr>
    </w:p>
    <w:p w14:paraId="69A5A371" w14:textId="5F3B9800" w:rsidR="00D73518" w:rsidRDefault="00D73518" w:rsidP="00FE6AAE">
      <w:pPr>
        <w:spacing w:after="0"/>
        <w:jc w:val="both"/>
        <w:rPr>
          <w:rFonts w:ascii="Arial" w:hAnsi="Arial" w:cs="Arial"/>
          <w:sz w:val="20"/>
          <w:szCs w:val="20"/>
        </w:rPr>
      </w:pPr>
      <w:r>
        <w:rPr>
          <w:rFonts w:ascii="Arial" w:hAnsi="Arial" w:cs="Arial"/>
          <w:sz w:val="20"/>
          <w:szCs w:val="20"/>
        </w:rPr>
        <w:t>Interest expense decreased to $</w:t>
      </w:r>
      <w:r w:rsidR="0089453C">
        <w:rPr>
          <w:rFonts w:ascii="Arial" w:hAnsi="Arial" w:cs="Arial"/>
          <w:sz w:val="20"/>
          <w:szCs w:val="20"/>
        </w:rPr>
        <w:t>3</w:t>
      </w:r>
      <w:r w:rsidR="00DF5EEB">
        <w:rPr>
          <w:rFonts w:ascii="Arial" w:hAnsi="Arial" w:cs="Arial"/>
          <w:sz w:val="20"/>
          <w:szCs w:val="20"/>
        </w:rPr>
        <w:t>3,372</w:t>
      </w:r>
      <w:r>
        <w:rPr>
          <w:rFonts w:ascii="Arial" w:hAnsi="Arial" w:cs="Arial"/>
          <w:sz w:val="20"/>
          <w:szCs w:val="20"/>
        </w:rPr>
        <w:t>, compared to $</w:t>
      </w:r>
      <w:r w:rsidR="0089453C">
        <w:rPr>
          <w:rFonts w:ascii="Arial" w:hAnsi="Arial" w:cs="Arial"/>
          <w:sz w:val="20"/>
          <w:szCs w:val="20"/>
        </w:rPr>
        <w:t>45,013</w:t>
      </w:r>
      <w:r>
        <w:rPr>
          <w:rFonts w:ascii="Arial" w:hAnsi="Arial" w:cs="Arial"/>
          <w:sz w:val="20"/>
          <w:szCs w:val="20"/>
        </w:rPr>
        <w:t xml:space="preserve"> during Q</w:t>
      </w:r>
      <w:r w:rsidR="003C5740">
        <w:rPr>
          <w:rFonts w:ascii="Arial" w:hAnsi="Arial" w:cs="Arial"/>
          <w:sz w:val="20"/>
          <w:szCs w:val="20"/>
        </w:rPr>
        <w:t>1</w:t>
      </w:r>
      <w:r>
        <w:rPr>
          <w:rFonts w:ascii="Arial" w:hAnsi="Arial" w:cs="Arial"/>
          <w:sz w:val="20"/>
          <w:szCs w:val="20"/>
        </w:rPr>
        <w:t xml:space="preserve"> 201</w:t>
      </w:r>
      <w:r w:rsidR="003C5740">
        <w:rPr>
          <w:rFonts w:ascii="Arial" w:hAnsi="Arial" w:cs="Arial"/>
          <w:sz w:val="20"/>
          <w:szCs w:val="20"/>
        </w:rPr>
        <w:t>8</w:t>
      </w:r>
      <w:r>
        <w:rPr>
          <w:rFonts w:ascii="Arial" w:hAnsi="Arial" w:cs="Arial"/>
          <w:sz w:val="20"/>
          <w:szCs w:val="20"/>
        </w:rPr>
        <w:t xml:space="preserve">, owing to a reduction in the amount of </w:t>
      </w:r>
      <w:r w:rsidR="00CF76E9">
        <w:rPr>
          <w:rFonts w:ascii="Arial" w:hAnsi="Arial" w:cs="Arial"/>
          <w:sz w:val="20"/>
          <w:szCs w:val="20"/>
        </w:rPr>
        <w:t xml:space="preserve">notes payable and convertible debt liabilities </w:t>
      </w:r>
      <w:r>
        <w:rPr>
          <w:rFonts w:ascii="Arial" w:hAnsi="Arial" w:cs="Arial"/>
          <w:sz w:val="20"/>
          <w:szCs w:val="20"/>
        </w:rPr>
        <w:t>outstanding</w:t>
      </w:r>
      <w:r w:rsidR="0089453C">
        <w:rPr>
          <w:rFonts w:ascii="Arial" w:hAnsi="Arial" w:cs="Arial"/>
          <w:sz w:val="20"/>
          <w:szCs w:val="20"/>
        </w:rPr>
        <w:t xml:space="preserve"> which was partially offset by increased interest expense on the lease liability </w:t>
      </w:r>
      <w:r w:rsidR="00EF2D2F">
        <w:rPr>
          <w:rFonts w:ascii="Arial" w:hAnsi="Arial" w:cs="Arial"/>
          <w:sz w:val="20"/>
          <w:szCs w:val="20"/>
        </w:rPr>
        <w:t>resulting from the adoption of IFRS 16</w:t>
      </w:r>
      <w:r>
        <w:rPr>
          <w:rFonts w:ascii="Arial" w:hAnsi="Arial" w:cs="Arial"/>
          <w:sz w:val="20"/>
          <w:szCs w:val="20"/>
        </w:rPr>
        <w:t>.</w:t>
      </w:r>
    </w:p>
    <w:p w14:paraId="7D88E504" w14:textId="77777777" w:rsidR="00DA65B0" w:rsidRPr="00C90A0A" w:rsidRDefault="00DA65B0" w:rsidP="00A604EC">
      <w:pPr>
        <w:spacing w:after="0"/>
        <w:jc w:val="both"/>
        <w:rPr>
          <w:rFonts w:ascii="Arial" w:hAnsi="Arial" w:cs="Arial"/>
          <w:sz w:val="20"/>
          <w:szCs w:val="20"/>
        </w:rPr>
      </w:pPr>
    </w:p>
    <w:p w14:paraId="48CDAA54" w14:textId="536705AD" w:rsidR="004953F5" w:rsidRPr="004B214A" w:rsidRDefault="00EF2D2F" w:rsidP="004953F5">
      <w:pPr>
        <w:spacing w:after="0"/>
        <w:jc w:val="both"/>
        <w:rPr>
          <w:rFonts w:ascii="Arial" w:hAnsi="Arial" w:cs="Arial"/>
          <w:sz w:val="20"/>
          <w:szCs w:val="20"/>
        </w:rPr>
      </w:pPr>
      <w:r>
        <w:rPr>
          <w:rFonts w:ascii="Arial" w:hAnsi="Arial" w:cs="Arial"/>
          <w:sz w:val="20"/>
          <w:szCs w:val="20"/>
          <w:u w:val="single"/>
        </w:rPr>
        <w:t>L</w:t>
      </w:r>
      <w:r w:rsidR="009C53F7">
        <w:rPr>
          <w:rFonts w:ascii="Arial" w:hAnsi="Arial" w:cs="Arial"/>
          <w:sz w:val="20"/>
          <w:szCs w:val="20"/>
          <w:u w:val="single"/>
        </w:rPr>
        <w:t>oss</w:t>
      </w:r>
      <w:r w:rsidR="004953F5" w:rsidRPr="004B214A">
        <w:rPr>
          <w:rFonts w:ascii="Arial" w:hAnsi="Arial" w:cs="Arial"/>
          <w:sz w:val="20"/>
          <w:szCs w:val="20"/>
          <w:u w:val="single"/>
        </w:rPr>
        <w:t xml:space="preserve"> on change in fair value of warrant liability</w:t>
      </w:r>
    </w:p>
    <w:p w14:paraId="150C405F" w14:textId="27D14564" w:rsidR="004953F5" w:rsidRPr="004B214A" w:rsidRDefault="004953F5" w:rsidP="004953F5">
      <w:pPr>
        <w:spacing w:after="0"/>
        <w:jc w:val="both"/>
        <w:rPr>
          <w:rFonts w:ascii="Arial" w:hAnsi="Arial" w:cs="Arial"/>
          <w:sz w:val="20"/>
          <w:szCs w:val="20"/>
          <w:u w:val="single"/>
        </w:rPr>
      </w:pPr>
    </w:p>
    <w:p w14:paraId="225FE06D" w14:textId="6116F6BC" w:rsidR="00726CE5" w:rsidRPr="004B214A" w:rsidRDefault="00726CE5" w:rsidP="004953F5">
      <w:pPr>
        <w:spacing w:after="0"/>
        <w:jc w:val="both"/>
        <w:rPr>
          <w:rFonts w:ascii="Arial" w:hAnsi="Arial" w:cs="Arial"/>
          <w:sz w:val="20"/>
          <w:szCs w:val="20"/>
        </w:rPr>
      </w:pPr>
      <w:r w:rsidRPr="004B214A">
        <w:rPr>
          <w:rFonts w:ascii="Arial" w:hAnsi="Arial" w:cs="Arial"/>
          <w:sz w:val="20"/>
          <w:szCs w:val="20"/>
        </w:rPr>
        <w:t xml:space="preserve">The Company recorded a </w:t>
      </w:r>
      <w:r w:rsidR="00770FCE">
        <w:rPr>
          <w:rFonts w:ascii="Arial" w:hAnsi="Arial" w:cs="Arial"/>
          <w:sz w:val="20"/>
          <w:szCs w:val="20"/>
        </w:rPr>
        <w:t>loss</w:t>
      </w:r>
      <w:r w:rsidRPr="004B214A">
        <w:rPr>
          <w:rFonts w:ascii="Arial" w:hAnsi="Arial" w:cs="Arial"/>
          <w:sz w:val="20"/>
          <w:szCs w:val="20"/>
        </w:rPr>
        <w:t xml:space="preserve"> on the change in the fair value of the warrant liability of $</w:t>
      </w:r>
      <w:r w:rsidR="00EF2D2F">
        <w:rPr>
          <w:rFonts w:ascii="Arial" w:hAnsi="Arial" w:cs="Arial"/>
          <w:sz w:val="20"/>
          <w:szCs w:val="20"/>
        </w:rPr>
        <w:t>190</w:t>
      </w:r>
      <w:r w:rsidRPr="004B214A">
        <w:rPr>
          <w:rFonts w:ascii="Arial" w:hAnsi="Arial" w:cs="Arial"/>
          <w:sz w:val="20"/>
          <w:szCs w:val="20"/>
        </w:rPr>
        <w:t xml:space="preserve">, compared to </w:t>
      </w:r>
      <w:r w:rsidR="004B214A" w:rsidRPr="004B214A">
        <w:rPr>
          <w:rFonts w:ascii="Arial" w:hAnsi="Arial" w:cs="Arial"/>
          <w:sz w:val="20"/>
          <w:szCs w:val="20"/>
        </w:rPr>
        <w:t>$</w:t>
      </w:r>
      <w:r w:rsidR="00EF2D2F">
        <w:rPr>
          <w:rFonts w:ascii="Arial" w:hAnsi="Arial" w:cs="Arial"/>
          <w:sz w:val="20"/>
          <w:szCs w:val="20"/>
        </w:rPr>
        <w:t>nil</w:t>
      </w:r>
      <w:r w:rsidR="004B214A" w:rsidRPr="004B214A">
        <w:rPr>
          <w:rFonts w:ascii="Arial" w:hAnsi="Arial" w:cs="Arial"/>
          <w:sz w:val="20"/>
          <w:szCs w:val="20"/>
        </w:rPr>
        <w:t xml:space="preserve"> during Q</w:t>
      </w:r>
      <w:r w:rsidR="003C5740">
        <w:rPr>
          <w:rFonts w:ascii="Arial" w:hAnsi="Arial" w:cs="Arial"/>
          <w:sz w:val="20"/>
          <w:szCs w:val="20"/>
        </w:rPr>
        <w:t>1</w:t>
      </w:r>
      <w:r w:rsidR="004B214A" w:rsidRPr="004B214A">
        <w:rPr>
          <w:rFonts w:ascii="Arial" w:hAnsi="Arial" w:cs="Arial"/>
          <w:sz w:val="20"/>
          <w:szCs w:val="20"/>
        </w:rPr>
        <w:t xml:space="preserve"> 201</w:t>
      </w:r>
      <w:r w:rsidR="003C5740">
        <w:rPr>
          <w:rFonts w:ascii="Arial" w:hAnsi="Arial" w:cs="Arial"/>
          <w:sz w:val="20"/>
          <w:szCs w:val="20"/>
        </w:rPr>
        <w:t>8</w:t>
      </w:r>
      <w:r w:rsidR="004B214A" w:rsidRPr="004B214A">
        <w:rPr>
          <w:rFonts w:ascii="Arial" w:hAnsi="Arial" w:cs="Arial"/>
          <w:sz w:val="20"/>
          <w:szCs w:val="20"/>
        </w:rPr>
        <w:t>.</w:t>
      </w:r>
      <w:bookmarkStart w:id="4" w:name="_Hlk8667986"/>
      <w:r w:rsidR="003C5740">
        <w:rPr>
          <w:rFonts w:ascii="Arial" w:hAnsi="Arial" w:cs="Arial"/>
          <w:sz w:val="20"/>
          <w:szCs w:val="20"/>
        </w:rPr>
        <w:t xml:space="preserve"> </w:t>
      </w:r>
      <w:r w:rsidR="00341AC5">
        <w:rPr>
          <w:rFonts w:ascii="Arial" w:hAnsi="Arial" w:cs="Arial"/>
          <w:sz w:val="20"/>
          <w:szCs w:val="20"/>
        </w:rPr>
        <w:t>The share purchase warrants are required to be revalued at every quarter end and the</w:t>
      </w:r>
      <w:r w:rsidR="003C5740">
        <w:rPr>
          <w:rFonts w:ascii="Arial" w:hAnsi="Arial" w:cs="Arial"/>
          <w:sz w:val="20"/>
          <w:szCs w:val="20"/>
        </w:rPr>
        <w:t xml:space="preserve"> loss</w:t>
      </w:r>
      <w:r w:rsidR="00341AC5">
        <w:rPr>
          <w:rFonts w:ascii="Arial" w:hAnsi="Arial" w:cs="Arial"/>
          <w:sz w:val="20"/>
          <w:szCs w:val="20"/>
        </w:rPr>
        <w:t xml:space="preserve"> resulted from the </w:t>
      </w:r>
      <w:r w:rsidR="003C5740">
        <w:rPr>
          <w:rFonts w:ascii="Arial" w:hAnsi="Arial" w:cs="Arial"/>
          <w:sz w:val="20"/>
          <w:szCs w:val="20"/>
        </w:rPr>
        <w:t>inc</w:t>
      </w:r>
      <w:r w:rsidR="00341AC5">
        <w:rPr>
          <w:rFonts w:ascii="Arial" w:hAnsi="Arial" w:cs="Arial"/>
          <w:sz w:val="20"/>
          <w:szCs w:val="20"/>
        </w:rPr>
        <w:t>rease in the Company’s share price during Q</w:t>
      </w:r>
      <w:r w:rsidR="003C5740">
        <w:rPr>
          <w:rFonts w:ascii="Arial" w:hAnsi="Arial" w:cs="Arial"/>
          <w:sz w:val="20"/>
          <w:szCs w:val="20"/>
        </w:rPr>
        <w:t>1</w:t>
      </w:r>
      <w:r w:rsidR="00341AC5">
        <w:rPr>
          <w:rFonts w:ascii="Arial" w:hAnsi="Arial" w:cs="Arial"/>
          <w:sz w:val="20"/>
          <w:szCs w:val="20"/>
        </w:rPr>
        <w:t xml:space="preserve"> 201</w:t>
      </w:r>
      <w:r w:rsidR="003C5740">
        <w:rPr>
          <w:rFonts w:ascii="Arial" w:hAnsi="Arial" w:cs="Arial"/>
          <w:sz w:val="20"/>
          <w:szCs w:val="20"/>
        </w:rPr>
        <w:t>9</w:t>
      </w:r>
      <w:r w:rsidR="00341AC5">
        <w:rPr>
          <w:rFonts w:ascii="Arial" w:hAnsi="Arial" w:cs="Arial"/>
          <w:sz w:val="20"/>
          <w:szCs w:val="20"/>
        </w:rPr>
        <w:t>, which is a variable in determining the fair value of the warrant liability</w:t>
      </w:r>
      <w:r w:rsidR="00341AC5" w:rsidRPr="00F2455E">
        <w:rPr>
          <w:rFonts w:ascii="Arial" w:hAnsi="Arial" w:cs="Arial"/>
          <w:sz w:val="20"/>
          <w:szCs w:val="20"/>
        </w:rPr>
        <w:t xml:space="preserve"> </w:t>
      </w:r>
      <w:r w:rsidR="00341AC5">
        <w:rPr>
          <w:rFonts w:ascii="Arial" w:hAnsi="Arial" w:cs="Arial"/>
          <w:sz w:val="20"/>
          <w:szCs w:val="20"/>
        </w:rPr>
        <w:t>per the Black-Scholes valuation model</w:t>
      </w:r>
      <w:bookmarkEnd w:id="4"/>
      <w:r w:rsidR="004B214A" w:rsidRPr="004B214A">
        <w:rPr>
          <w:rFonts w:ascii="Arial" w:hAnsi="Arial" w:cs="Arial"/>
          <w:sz w:val="20"/>
          <w:szCs w:val="20"/>
        </w:rPr>
        <w:t>.</w:t>
      </w:r>
    </w:p>
    <w:p w14:paraId="5ED6CCCF" w14:textId="77777777" w:rsidR="00341AC5" w:rsidRPr="004B214A" w:rsidRDefault="00341AC5" w:rsidP="004953F5">
      <w:pPr>
        <w:spacing w:after="0"/>
        <w:jc w:val="both"/>
        <w:rPr>
          <w:rFonts w:ascii="Arial" w:hAnsi="Arial" w:cs="Arial"/>
          <w:sz w:val="20"/>
          <w:szCs w:val="20"/>
          <w:u w:val="single"/>
        </w:rPr>
      </w:pPr>
    </w:p>
    <w:p w14:paraId="120E268D" w14:textId="072E8D9D" w:rsidR="004953F5" w:rsidRPr="004B214A" w:rsidRDefault="00EF2D2F" w:rsidP="004953F5">
      <w:pPr>
        <w:spacing w:after="0"/>
        <w:jc w:val="both"/>
        <w:rPr>
          <w:rFonts w:ascii="Arial" w:hAnsi="Arial" w:cs="Arial"/>
          <w:sz w:val="20"/>
          <w:szCs w:val="20"/>
          <w:u w:val="single"/>
        </w:rPr>
      </w:pPr>
      <w:r>
        <w:rPr>
          <w:rFonts w:ascii="Arial" w:hAnsi="Arial" w:cs="Arial"/>
          <w:sz w:val="20"/>
          <w:szCs w:val="20"/>
          <w:u w:val="single"/>
        </w:rPr>
        <w:t>Loss</w:t>
      </w:r>
      <w:r w:rsidR="004953F5" w:rsidRPr="004B214A">
        <w:rPr>
          <w:rFonts w:ascii="Arial" w:hAnsi="Arial" w:cs="Arial"/>
          <w:sz w:val="20"/>
          <w:szCs w:val="20"/>
          <w:u w:val="single"/>
        </w:rPr>
        <w:t xml:space="preserve"> on change in fair value of conversion option</w:t>
      </w:r>
    </w:p>
    <w:p w14:paraId="43E99EE1" w14:textId="1741E092" w:rsidR="004953F5" w:rsidRPr="004B214A" w:rsidRDefault="004953F5" w:rsidP="004953F5">
      <w:pPr>
        <w:spacing w:after="0"/>
        <w:jc w:val="both"/>
        <w:rPr>
          <w:rFonts w:ascii="Arial" w:hAnsi="Arial" w:cs="Arial"/>
          <w:sz w:val="20"/>
          <w:szCs w:val="20"/>
          <w:u w:val="single"/>
        </w:rPr>
      </w:pPr>
    </w:p>
    <w:p w14:paraId="42CC0F24" w14:textId="67AE1097" w:rsidR="004B214A" w:rsidRPr="003B22BC" w:rsidRDefault="004B214A" w:rsidP="004953F5">
      <w:pPr>
        <w:spacing w:after="0"/>
        <w:jc w:val="both"/>
        <w:rPr>
          <w:rFonts w:ascii="Arial" w:hAnsi="Arial" w:cs="Arial"/>
          <w:sz w:val="20"/>
          <w:szCs w:val="20"/>
          <w:u w:val="single"/>
        </w:rPr>
      </w:pPr>
      <w:r w:rsidRPr="004B214A">
        <w:rPr>
          <w:rFonts w:ascii="Arial" w:hAnsi="Arial" w:cs="Arial"/>
          <w:sz w:val="20"/>
          <w:szCs w:val="20"/>
        </w:rPr>
        <w:t xml:space="preserve">The Company recorded a </w:t>
      </w:r>
      <w:r w:rsidR="003C5740">
        <w:rPr>
          <w:rFonts w:ascii="Arial" w:hAnsi="Arial" w:cs="Arial"/>
          <w:sz w:val="20"/>
          <w:szCs w:val="20"/>
        </w:rPr>
        <w:t>loss</w:t>
      </w:r>
      <w:r w:rsidRPr="004B214A">
        <w:rPr>
          <w:rFonts w:ascii="Arial" w:hAnsi="Arial" w:cs="Arial"/>
          <w:sz w:val="20"/>
          <w:szCs w:val="20"/>
        </w:rPr>
        <w:t xml:space="preserve"> on the change in the fair value of the </w:t>
      </w:r>
      <w:r w:rsidR="00D64B7F">
        <w:rPr>
          <w:rFonts w:ascii="Arial" w:hAnsi="Arial" w:cs="Arial"/>
          <w:sz w:val="20"/>
          <w:szCs w:val="20"/>
        </w:rPr>
        <w:t>conversion option</w:t>
      </w:r>
      <w:r w:rsidRPr="004B214A">
        <w:rPr>
          <w:rFonts w:ascii="Arial" w:hAnsi="Arial" w:cs="Arial"/>
          <w:sz w:val="20"/>
          <w:szCs w:val="20"/>
        </w:rPr>
        <w:t xml:space="preserve"> of $</w:t>
      </w:r>
      <w:r w:rsidR="00CD0382">
        <w:rPr>
          <w:rFonts w:ascii="Arial" w:hAnsi="Arial" w:cs="Arial"/>
          <w:sz w:val="20"/>
          <w:szCs w:val="20"/>
        </w:rPr>
        <w:t>33,362</w:t>
      </w:r>
      <w:r w:rsidRPr="004B214A">
        <w:rPr>
          <w:rFonts w:ascii="Arial" w:hAnsi="Arial" w:cs="Arial"/>
          <w:sz w:val="20"/>
          <w:szCs w:val="20"/>
        </w:rPr>
        <w:t>, compared to $nil during Q</w:t>
      </w:r>
      <w:r w:rsidR="003C5740">
        <w:rPr>
          <w:rFonts w:ascii="Arial" w:hAnsi="Arial" w:cs="Arial"/>
          <w:sz w:val="20"/>
          <w:szCs w:val="20"/>
        </w:rPr>
        <w:t>1</w:t>
      </w:r>
      <w:r w:rsidRPr="004B214A">
        <w:rPr>
          <w:rFonts w:ascii="Arial" w:hAnsi="Arial" w:cs="Arial"/>
          <w:sz w:val="20"/>
          <w:szCs w:val="20"/>
        </w:rPr>
        <w:t xml:space="preserve"> 201</w:t>
      </w:r>
      <w:r w:rsidR="003C5740">
        <w:rPr>
          <w:rFonts w:ascii="Arial" w:hAnsi="Arial" w:cs="Arial"/>
          <w:sz w:val="20"/>
          <w:szCs w:val="20"/>
        </w:rPr>
        <w:t>8</w:t>
      </w:r>
      <w:r w:rsidRPr="004B214A">
        <w:rPr>
          <w:rFonts w:ascii="Arial" w:hAnsi="Arial" w:cs="Arial"/>
          <w:sz w:val="20"/>
          <w:szCs w:val="20"/>
        </w:rPr>
        <w:t xml:space="preserve">. </w:t>
      </w:r>
      <w:r w:rsidR="000620B5">
        <w:rPr>
          <w:rFonts w:ascii="Arial" w:hAnsi="Arial" w:cs="Arial"/>
          <w:sz w:val="20"/>
          <w:szCs w:val="20"/>
        </w:rPr>
        <w:t xml:space="preserve">The </w:t>
      </w:r>
      <w:r w:rsidR="00D64B7F">
        <w:rPr>
          <w:rFonts w:ascii="Arial" w:hAnsi="Arial" w:cs="Arial"/>
          <w:sz w:val="20"/>
          <w:szCs w:val="20"/>
        </w:rPr>
        <w:t xml:space="preserve">conversion option is </w:t>
      </w:r>
      <w:r w:rsidR="00AD0529">
        <w:rPr>
          <w:rFonts w:ascii="Arial" w:hAnsi="Arial" w:cs="Arial"/>
          <w:sz w:val="20"/>
          <w:szCs w:val="20"/>
        </w:rPr>
        <w:t xml:space="preserve">required to be revalued at every quarter end and the </w:t>
      </w:r>
      <w:r w:rsidR="003C5740">
        <w:rPr>
          <w:rFonts w:ascii="Arial" w:hAnsi="Arial" w:cs="Arial"/>
          <w:sz w:val="20"/>
          <w:szCs w:val="20"/>
        </w:rPr>
        <w:t>loss</w:t>
      </w:r>
      <w:r w:rsidR="000620B5">
        <w:rPr>
          <w:rFonts w:ascii="Arial" w:hAnsi="Arial" w:cs="Arial"/>
          <w:sz w:val="20"/>
          <w:szCs w:val="20"/>
        </w:rPr>
        <w:t xml:space="preserve"> resulted from the </w:t>
      </w:r>
      <w:r w:rsidR="003C5740">
        <w:rPr>
          <w:rFonts w:ascii="Arial" w:hAnsi="Arial" w:cs="Arial"/>
          <w:sz w:val="20"/>
          <w:szCs w:val="20"/>
        </w:rPr>
        <w:t>in</w:t>
      </w:r>
      <w:r w:rsidR="000620B5">
        <w:rPr>
          <w:rFonts w:ascii="Arial" w:hAnsi="Arial" w:cs="Arial"/>
          <w:sz w:val="20"/>
          <w:szCs w:val="20"/>
        </w:rPr>
        <w:t xml:space="preserve">crease in the Company’s share price </w:t>
      </w:r>
      <w:r w:rsidR="00AD0529">
        <w:rPr>
          <w:rFonts w:ascii="Arial" w:hAnsi="Arial" w:cs="Arial"/>
          <w:sz w:val="20"/>
          <w:szCs w:val="20"/>
        </w:rPr>
        <w:t xml:space="preserve">during </w:t>
      </w:r>
      <w:r w:rsidR="000620B5">
        <w:rPr>
          <w:rFonts w:ascii="Arial" w:hAnsi="Arial" w:cs="Arial"/>
          <w:sz w:val="20"/>
          <w:szCs w:val="20"/>
        </w:rPr>
        <w:t>Q</w:t>
      </w:r>
      <w:r w:rsidR="003C5740">
        <w:rPr>
          <w:rFonts w:ascii="Arial" w:hAnsi="Arial" w:cs="Arial"/>
          <w:sz w:val="20"/>
          <w:szCs w:val="20"/>
        </w:rPr>
        <w:t>1</w:t>
      </w:r>
      <w:r w:rsidR="000620B5">
        <w:rPr>
          <w:rFonts w:ascii="Arial" w:hAnsi="Arial" w:cs="Arial"/>
          <w:sz w:val="20"/>
          <w:szCs w:val="20"/>
        </w:rPr>
        <w:t xml:space="preserve"> 201</w:t>
      </w:r>
      <w:r w:rsidR="003C5740">
        <w:rPr>
          <w:rFonts w:ascii="Arial" w:hAnsi="Arial" w:cs="Arial"/>
          <w:sz w:val="20"/>
          <w:szCs w:val="20"/>
        </w:rPr>
        <w:t>9</w:t>
      </w:r>
      <w:r w:rsidR="000620B5">
        <w:rPr>
          <w:rFonts w:ascii="Arial" w:hAnsi="Arial" w:cs="Arial"/>
          <w:sz w:val="20"/>
          <w:szCs w:val="20"/>
        </w:rPr>
        <w:t xml:space="preserve">, which is a variable in determining the fair value of the conversion option. The Company did not have any financial instruments with conversion features at </w:t>
      </w:r>
      <w:r w:rsidR="00EF2D2F">
        <w:rPr>
          <w:rFonts w:ascii="Arial" w:hAnsi="Arial" w:cs="Arial"/>
          <w:sz w:val="20"/>
          <w:szCs w:val="20"/>
        </w:rPr>
        <w:t>March 31, 2018</w:t>
      </w:r>
      <w:r w:rsidR="000620B5">
        <w:rPr>
          <w:rFonts w:ascii="Arial" w:hAnsi="Arial" w:cs="Arial"/>
          <w:sz w:val="20"/>
          <w:szCs w:val="20"/>
        </w:rPr>
        <w:t>.</w:t>
      </w:r>
    </w:p>
    <w:p w14:paraId="178CCBAF" w14:textId="35C2927E" w:rsidR="00514A11" w:rsidRDefault="00514A11">
      <w:pPr>
        <w:rPr>
          <w:rFonts w:ascii="Arial" w:eastAsia="Times New Roman" w:hAnsi="Arial" w:cs="Arial"/>
          <w:b/>
          <w:bCs/>
          <w:i/>
          <w:color w:val="000000"/>
          <w:sz w:val="20"/>
          <w:szCs w:val="20"/>
          <w:u w:val="single"/>
        </w:rPr>
      </w:pPr>
    </w:p>
    <w:p w14:paraId="047AC2D8" w14:textId="74918E7D" w:rsidR="00EF2D2F" w:rsidRDefault="00EF2D2F">
      <w:pPr>
        <w:rPr>
          <w:rFonts w:ascii="Arial" w:eastAsia="Times New Roman" w:hAnsi="Arial" w:cs="Arial"/>
          <w:b/>
          <w:bCs/>
          <w:i/>
          <w:color w:val="000000"/>
          <w:sz w:val="20"/>
          <w:szCs w:val="20"/>
          <w:u w:val="single"/>
        </w:rPr>
      </w:pPr>
    </w:p>
    <w:p w14:paraId="0F145031" w14:textId="1955282B" w:rsidR="00EF2D2F" w:rsidRDefault="00EF2D2F">
      <w:pPr>
        <w:rPr>
          <w:rFonts w:ascii="Arial" w:eastAsia="Times New Roman" w:hAnsi="Arial" w:cs="Arial"/>
          <w:b/>
          <w:bCs/>
          <w:i/>
          <w:color w:val="000000"/>
          <w:sz w:val="20"/>
          <w:szCs w:val="20"/>
          <w:u w:val="single"/>
        </w:rPr>
      </w:pPr>
    </w:p>
    <w:p w14:paraId="72F2AE38" w14:textId="77777777" w:rsidR="00EF2D2F" w:rsidRDefault="00EF2D2F">
      <w:pPr>
        <w:rPr>
          <w:rFonts w:ascii="Arial" w:eastAsia="Times New Roman" w:hAnsi="Arial" w:cs="Arial"/>
          <w:b/>
          <w:bCs/>
          <w:i/>
          <w:color w:val="000000"/>
          <w:sz w:val="20"/>
          <w:szCs w:val="20"/>
          <w:u w:val="single"/>
        </w:rPr>
      </w:pPr>
    </w:p>
    <w:p w14:paraId="0434E512" w14:textId="77777777" w:rsidR="00FE6AAE" w:rsidRDefault="00FE6AAE" w:rsidP="001D161C">
      <w:pPr>
        <w:pStyle w:val="Heading7"/>
        <w:tabs>
          <w:tab w:val="left" w:pos="540"/>
        </w:tabs>
        <w:rPr>
          <w:i/>
          <w:color w:val="000000"/>
          <w:sz w:val="20"/>
          <w:u w:val="single"/>
        </w:rPr>
      </w:pPr>
    </w:p>
    <w:p w14:paraId="06CA91FF" w14:textId="287F506F" w:rsidR="00453FBE" w:rsidRDefault="00623605" w:rsidP="00623605">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LIQUIDITY, CASH FLOWS AND CAPITAL RESOURCES</w:t>
      </w:r>
    </w:p>
    <w:p w14:paraId="7EB6D506" w14:textId="77777777" w:rsidR="00A353D2" w:rsidRPr="0061123D" w:rsidRDefault="00A353D2" w:rsidP="007D3CB8">
      <w:pPr>
        <w:pStyle w:val="NormalWeb"/>
        <w:spacing w:before="0" w:beforeAutospacing="0" w:after="0" w:afterAutospacing="0"/>
        <w:rPr>
          <w:rFonts w:ascii="Arial" w:hAnsi="Arial" w:cs="Arial"/>
          <w:b/>
          <w:sz w:val="20"/>
          <w:szCs w:val="20"/>
        </w:rPr>
      </w:pPr>
    </w:p>
    <w:p w14:paraId="31A89462" w14:textId="77777777" w:rsidR="00623605" w:rsidRPr="00623605" w:rsidRDefault="00623605" w:rsidP="00623605">
      <w:pPr>
        <w:pStyle w:val="Heading7"/>
        <w:tabs>
          <w:tab w:val="left" w:pos="540"/>
        </w:tabs>
        <w:rPr>
          <w:i/>
          <w:color w:val="000000"/>
          <w:sz w:val="20"/>
          <w:u w:val="single"/>
        </w:rPr>
      </w:pPr>
      <w:r w:rsidRPr="00623605">
        <w:rPr>
          <w:i/>
          <w:color w:val="000000"/>
          <w:sz w:val="20"/>
          <w:u w:val="single"/>
        </w:rPr>
        <w:t xml:space="preserve">Liquidity </w:t>
      </w:r>
    </w:p>
    <w:p w14:paraId="69A19362" w14:textId="77777777" w:rsidR="00623605" w:rsidRDefault="00623605" w:rsidP="00623605">
      <w:pPr>
        <w:pStyle w:val="Heading7"/>
        <w:tabs>
          <w:tab w:val="left" w:pos="540"/>
        </w:tabs>
      </w:pPr>
    </w:p>
    <w:p w14:paraId="1F9719E0" w14:textId="77777777" w:rsidR="00623605" w:rsidRDefault="00623605" w:rsidP="00623605">
      <w:pPr>
        <w:spacing w:after="0"/>
        <w:jc w:val="both"/>
        <w:rPr>
          <w:rFonts w:ascii="Arial" w:hAnsi="Arial" w:cs="Arial"/>
          <w:sz w:val="20"/>
          <w:szCs w:val="20"/>
        </w:rPr>
      </w:pPr>
      <w:r w:rsidRPr="00623605">
        <w:rPr>
          <w:rFonts w:ascii="Arial" w:hAnsi="Arial" w:cs="Arial"/>
          <w:sz w:val="20"/>
          <w:szCs w:val="20"/>
        </w:rPr>
        <w:t xml:space="preserve">Liquidity risk is the risk that the Company will encounter difficulties in meeting obligations associated with its financial liabilities and other contractual obligations. The Company’s strategy for managing liquidity is based on achieving positive cash flows from operations to internally fund operating and capital requirements. </w:t>
      </w:r>
    </w:p>
    <w:p w14:paraId="5BCCCAA0" w14:textId="77777777" w:rsidR="00623605" w:rsidRDefault="00623605" w:rsidP="00623605">
      <w:pPr>
        <w:spacing w:after="0"/>
        <w:jc w:val="both"/>
        <w:rPr>
          <w:rFonts w:ascii="Arial" w:hAnsi="Arial" w:cs="Arial"/>
          <w:sz w:val="20"/>
          <w:szCs w:val="20"/>
        </w:rPr>
      </w:pPr>
    </w:p>
    <w:p w14:paraId="65538F8A" w14:textId="77777777" w:rsidR="00DA05F7" w:rsidRDefault="00623605" w:rsidP="00623605">
      <w:pPr>
        <w:spacing w:after="0"/>
        <w:jc w:val="both"/>
        <w:rPr>
          <w:rFonts w:ascii="Arial" w:hAnsi="Arial" w:cs="Arial"/>
          <w:sz w:val="20"/>
          <w:szCs w:val="20"/>
        </w:rPr>
      </w:pPr>
      <w:r w:rsidRPr="00623605">
        <w:rPr>
          <w:rFonts w:ascii="Arial" w:hAnsi="Arial" w:cs="Arial"/>
          <w:sz w:val="20"/>
          <w:szCs w:val="20"/>
        </w:rPr>
        <w:t xml:space="preserve">Factors that may affect the Company’s liquidity are continuously monitored. These factors include the </w:t>
      </w:r>
      <w:r w:rsidR="007D3CB8">
        <w:rPr>
          <w:rFonts w:ascii="Arial" w:hAnsi="Arial" w:cs="Arial"/>
          <w:sz w:val="20"/>
          <w:szCs w:val="20"/>
        </w:rPr>
        <w:t>number of patient visits</w:t>
      </w:r>
      <w:r w:rsidRPr="00623605">
        <w:rPr>
          <w:rFonts w:ascii="Arial" w:hAnsi="Arial" w:cs="Arial"/>
          <w:sz w:val="20"/>
          <w:szCs w:val="20"/>
        </w:rPr>
        <w:t xml:space="preserve">, </w:t>
      </w:r>
      <w:r w:rsidR="007D3CB8">
        <w:rPr>
          <w:rFonts w:ascii="Arial" w:hAnsi="Arial" w:cs="Arial"/>
          <w:sz w:val="20"/>
          <w:szCs w:val="20"/>
        </w:rPr>
        <w:t>average patient spend per visit</w:t>
      </w:r>
      <w:r w:rsidRPr="00623605">
        <w:rPr>
          <w:rFonts w:ascii="Arial" w:hAnsi="Arial" w:cs="Arial"/>
          <w:sz w:val="20"/>
          <w:szCs w:val="20"/>
        </w:rPr>
        <w:t>, operating costs, capital costs, income tax refunds,</w:t>
      </w:r>
      <w:r w:rsidR="007D3CB8">
        <w:rPr>
          <w:rFonts w:ascii="Arial" w:hAnsi="Arial" w:cs="Arial"/>
          <w:sz w:val="20"/>
          <w:szCs w:val="20"/>
        </w:rPr>
        <w:t xml:space="preserve"> </w:t>
      </w:r>
      <w:r w:rsidRPr="00623605">
        <w:rPr>
          <w:rFonts w:ascii="Arial" w:hAnsi="Arial" w:cs="Arial"/>
          <w:sz w:val="20"/>
          <w:szCs w:val="20"/>
        </w:rPr>
        <w:t>foreign currency fluctuations</w:t>
      </w:r>
      <w:r w:rsidR="007D3CB8">
        <w:rPr>
          <w:rFonts w:ascii="Arial" w:hAnsi="Arial" w:cs="Arial"/>
          <w:sz w:val="20"/>
          <w:szCs w:val="20"/>
        </w:rPr>
        <w:t xml:space="preserve">, </w:t>
      </w:r>
      <w:r w:rsidR="007D3CB8" w:rsidRPr="00C90A0A">
        <w:rPr>
          <w:rFonts w:ascii="Arial" w:hAnsi="Arial" w:cs="Arial"/>
          <w:sz w:val="20"/>
          <w:szCs w:val="20"/>
        </w:rPr>
        <w:t>seasonality, market immaturity and a highly fluid environment related to state and federal law passage and regulations</w:t>
      </w:r>
      <w:r w:rsidRPr="00623605">
        <w:rPr>
          <w:rFonts w:ascii="Arial" w:hAnsi="Arial" w:cs="Arial"/>
          <w:sz w:val="20"/>
          <w:szCs w:val="20"/>
        </w:rPr>
        <w:t xml:space="preserve">. </w:t>
      </w:r>
    </w:p>
    <w:p w14:paraId="62CBDAC7" w14:textId="77777777" w:rsidR="00DA05F7" w:rsidRDefault="00DA05F7" w:rsidP="00623605">
      <w:pPr>
        <w:spacing w:after="0"/>
        <w:jc w:val="both"/>
        <w:rPr>
          <w:rFonts w:ascii="Arial" w:hAnsi="Arial" w:cs="Arial"/>
          <w:sz w:val="20"/>
          <w:szCs w:val="20"/>
        </w:rPr>
      </w:pPr>
    </w:p>
    <w:p w14:paraId="7D32EB26" w14:textId="51B689A8" w:rsidR="007D3CB8" w:rsidRDefault="00623605" w:rsidP="00623605">
      <w:pPr>
        <w:spacing w:after="0"/>
        <w:jc w:val="both"/>
        <w:rPr>
          <w:rFonts w:ascii="Arial" w:hAnsi="Arial" w:cs="Arial"/>
          <w:sz w:val="20"/>
          <w:szCs w:val="20"/>
        </w:rPr>
      </w:pPr>
      <w:r w:rsidRPr="00623605">
        <w:rPr>
          <w:rFonts w:ascii="Arial" w:hAnsi="Arial" w:cs="Arial"/>
          <w:sz w:val="20"/>
          <w:szCs w:val="20"/>
        </w:rPr>
        <w:t xml:space="preserve">In the event that the Company is adversely affected by any of these factors and, as a result, the operating cash flows are not sufficient to meet the Company’s working capital requirements there is no guarantee that the Company would be able to raise additional capital on acceptable terms to fund a potential cash shortfall. Consequently, the Company is subject to liquidity risk. </w:t>
      </w:r>
    </w:p>
    <w:p w14:paraId="78E38B2F" w14:textId="77777777" w:rsidR="007D3CB8" w:rsidRDefault="007D3CB8" w:rsidP="007D3CB8">
      <w:pPr>
        <w:spacing w:after="0"/>
        <w:jc w:val="both"/>
        <w:rPr>
          <w:rFonts w:ascii="Arial" w:hAnsi="Arial" w:cs="Arial"/>
          <w:sz w:val="20"/>
          <w:szCs w:val="20"/>
        </w:rPr>
      </w:pPr>
    </w:p>
    <w:p w14:paraId="2B448F69" w14:textId="419501F3" w:rsidR="007D3CB8" w:rsidRPr="00C90A0A" w:rsidRDefault="007D3CB8" w:rsidP="007D3CB8">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will need to procure additional financing in order to fund its ongoing operation. The </w:t>
      </w:r>
      <w:r>
        <w:rPr>
          <w:rFonts w:ascii="Arial" w:hAnsi="Arial" w:cs="Arial"/>
          <w:sz w:val="20"/>
          <w:szCs w:val="20"/>
        </w:rPr>
        <w:t>C</w:t>
      </w:r>
      <w:r w:rsidRPr="00C90A0A">
        <w:rPr>
          <w:rFonts w:ascii="Arial" w:hAnsi="Arial" w:cs="Arial"/>
          <w:sz w:val="20"/>
          <w:szCs w:val="20"/>
        </w:rPr>
        <w:t xml:space="preserve">ompany intends to obtain such financing through equity financing, and there can be no assurance that the </w:t>
      </w:r>
      <w:r>
        <w:rPr>
          <w:rFonts w:ascii="Arial" w:hAnsi="Arial" w:cs="Arial"/>
          <w:sz w:val="20"/>
          <w:szCs w:val="20"/>
        </w:rPr>
        <w:t>C</w:t>
      </w:r>
      <w:r w:rsidRPr="00C90A0A">
        <w:rPr>
          <w:rFonts w:ascii="Arial" w:hAnsi="Arial" w:cs="Arial"/>
          <w:sz w:val="20"/>
          <w:szCs w:val="20"/>
        </w:rPr>
        <w:t xml:space="preserve">ompany can raise the required capital it needs to build and expand as expected, nor that the capital markets will fund the business of the </w:t>
      </w:r>
      <w:r>
        <w:rPr>
          <w:rFonts w:ascii="Arial" w:hAnsi="Arial" w:cs="Arial"/>
          <w:sz w:val="20"/>
          <w:szCs w:val="20"/>
        </w:rPr>
        <w:t>C</w:t>
      </w:r>
      <w:r w:rsidRPr="00C90A0A">
        <w:rPr>
          <w:rFonts w:ascii="Arial" w:hAnsi="Arial" w:cs="Arial"/>
          <w:sz w:val="20"/>
          <w:szCs w:val="20"/>
        </w:rPr>
        <w:t xml:space="preserve">ompany. Without this additional financing, the </w:t>
      </w:r>
      <w:r>
        <w:rPr>
          <w:rFonts w:ascii="Arial" w:hAnsi="Arial" w:cs="Arial"/>
          <w:sz w:val="20"/>
          <w:szCs w:val="20"/>
        </w:rPr>
        <w:t>C</w:t>
      </w:r>
      <w:r w:rsidRPr="00C90A0A">
        <w:rPr>
          <w:rFonts w:ascii="Arial" w:hAnsi="Arial" w:cs="Arial"/>
          <w:sz w:val="20"/>
          <w:szCs w:val="20"/>
        </w:rPr>
        <w:t xml:space="preserve">ompany may be unable to achieve positive cash flow and earnings as quickly as anticipated, these uncertainties cast a significant doubt about the </w:t>
      </w:r>
      <w:r w:rsidR="001C7200">
        <w:rPr>
          <w:rFonts w:ascii="Arial" w:hAnsi="Arial" w:cs="Arial"/>
          <w:sz w:val="20"/>
          <w:szCs w:val="20"/>
        </w:rPr>
        <w:t>C</w:t>
      </w:r>
      <w:r w:rsidR="001C7200" w:rsidRPr="00C90A0A">
        <w:rPr>
          <w:rFonts w:ascii="Arial" w:hAnsi="Arial" w:cs="Arial"/>
          <w:sz w:val="20"/>
          <w:szCs w:val="20"/>
        </w:rPr>
        <w:t xml:space="preserve">ompany’s </w:t>
      </w:r>
      <w:r w:rsidRPr="00C90A0A">
        <w:rPr>
          <w:rFonts w:ascii="Arial" w:hAnsi="Arial" w:cs="Arial"/>
          <w:sz w:val="20"/>
          <w:szCs w:val="20"/>
        </w:rPr>
        <w:t xml:space="preserve">ability to continue as a going concern. </w:t>
      </w:r>
    </w:p>
    <w:p w14:paraId="6E95644D" w14:textId="77777777" w:rsidR="007D3CB8" w:rsidRDefault="007D3CB8" w:rsidP="00623605">
      <w:pPr>
        <w:spacing w:after="0"/>
        <w:jc w:val="both"/>
        <w:rPr>
          <w:rFonts w:ascii="Arial" w:hAnsi="Arial" w:cs="Arial"/>
          <w:sz w:val="20"/>
          <w:szCs w:val="20"/>
        </w:rPr>
      </w:pPr>
    </w:p>
    <w:p w14:paraId="03F067FD" w14:textId="27AA6E6E" w:rsidR="001A7E6B" w:rsidRPr="00C90A0A" w:rsidRDefault="00623605" w:rsidP="007D3CB8">
      <w:pPr>
        <w:spacing w:after="0"/>
        <w:jc w:val="both"/>
        <w:rPr>
          <w:rFonts w:ascii="Arial" w:hAnsi="Arial" w:cs="Arial"/>
          <w:sz w:val="20"/>
          <w:szCs w:val="20"/>
        </w:rPr>
      </w:pPr>
      <w:r w:rsidRPr="00623605">
        <w:rPr>
          <w:rFonts w:ascii="Arial" w:hAnsi="Arial" w:cs="Arial"/>
          <w:sz w:val="20"/>
          <w:szCs w:val="20"/>
        </w:rPr>
        <w:t xml:space="preserve">At </w:t>
      </w:r>
      <w:r w:rsidR="003C5740">
        <w:rPr>
          <w:rFonts w:ascii="Arial" w:hAnsi="Arial" w:cs="Arial"/>
          <w:sz w:val="20"/>
          <w:szCs w:val="20"/>
        </w:rPr>
        <w:t xml:space="preserve">March 31, </w:t>
      </w:r>
      <w:r w:rsidRPr="00623605">
        <w:rPr>
          <w:rFonts w:ascii="Arial" w:hAnsi="Arial" w:cs="Arial"/>
          <w:sz w:val="20"/>
          <w:szCs w:val="20"/>
        </w:rPr>
        <w:t>201</w:t>
      </w:r>
      <w:r w:rsidR="003C5740">
        <w:rPr>
          <w:rFonts w:ascii="Arial" w:hAnsi="Arial" w:cs="Arial"/>
          <w:sz w:val="20"/>
          <w:szCs w:val="20"/>
        </w:rPr>
        <w:t>9</w:t>
      </w:r>
      <w:r w:rsidRPr="00623605">
        <w:rPr>
          <w:rFonts w:ascii="Arial" w:hAnsi="Arial" w:cs="Arial"/>
          <w:sz w:val="20"/>
          <w:szCs w:val="20"/>
        </w:rPr>
        <w:t xml:space="preserve">, the Company </w:t>
      </w:r>
      <w:r w:rsidR="007D3CB8">
        <w:rPr>
          <w:rFonts w:ascii="Arial" w:hAnsi="Arial" w:cs="Arial"/>
          <w:sz w:val="20"/>
          <w:szCs w:val="20"/>
        </w:rPr>
        <w:t>had a working capital deficit</w:t>
      </w:r>
      <w:r w:rsidRPr="00623605">
        <w:rPr>
          <w:rFonts w:ascii="Arial" w:hAnsi="Arial" w:cs="Arial"/>
          <w:sz w:val="20"/>
          <w:szCs w:val="20"/>
        </w:rPr>
        <w:t xml:space="preserve"> of $</w:t>
      </w:r>
      <w:r w:rsidR="00CD0382">
        <w:rPr>
          <w:rFonts w:ascii="Arial" w:hAnsi="Arial" w:cs="Arial"/>
          <w:sz w:val="20"/>
          <w:szCs w:val="20"/>
        </w:rPr>
        <w:t>3,179,272</w:t>
      </w:r>
      <w:r w:rsidR="007D3CB8">
        <w:rPr>
          <w:rFonts w:ascii="Arial" w:hAnsi="Arial" w:cs="Arial"/>
          <w:sz w:val="20"/>
          <w:szCs w:val="20"/>
        </w:rPr>
        <w:t>, as follows:</w:t>
      </w:r>
    </w:p>
    <w:p w14:paraId="5913DD7F" w14:textId="77777777" w:rsidR="00FC3890" w:rsidRPr="00C90A0A" w:rsidRDefault="00FC3890" w:rsidP="00C90A0A">
      <w:pPr>
        <w:spacing w:after="0"/>
        <w:jc w:val="both"/>
        <w:rPr>
          <w:rFonts w:ascii="Arial" w:hAnsi="Arial" w:cs="Arial"/>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28"/>
        <w:gridCol w:w="1832"/>
        <w:gridCol w:w="328"/>
        <w:gridCol w:w="1767"/>
      </w:tblGrid>
      <w:tr w:rsidR="00FC3890" w:rsidRPr="00FC3890" w14:paraId="5D7B369D" w14:textId="77777777" w:rsidTr="00770FCE">
        <w:tc>
          <w:tcPr>
            <w:tcW w:w="5093" w:type="dxa"/>
            <w:tcBorders>
              <w:top w:val="single" w:sz="4" w:space="0" w:color="auto"/>
              <w:bottom w:val="single" w:sz="12" w:space="0" w:color="auto"/>
            </w:tcBorders>
            <w:shd w:val="clear" w:color="auto" w:fill="auto"/>
          </w:tcPr>
          <w:p w14:paraId="4015109D" w14:textId="78A8BDB6" w:rsidR="00FC3890" w:rsidRPr="00C90A0A" w:rsidRDefault="00FC3890" w:rsidP="00C90A0A">
            <w:pPr>
              <w:jc w:val="both"/>
              <w:rPr>
                <w:rFonts w:ascii="Arial" w:hAnsi="Arial" w:cs="Arial"/>
                <w:sz w:val="20"/>
                <w:szCs w:val="20"/>
                <w:highlight w:val="yellow"/>
              </w:rPr>
            </w:pPr>
            <w:r w:rsidRPr="00C90A0A">
              <w:rPr>
                <w:rFonts w:ascii="Arial" w:hAnsi="Arial" w:cs="Arial"/>
                <w:i/>
                <w:sz w:val="20"/>
                <w:szCs w:val="20"/>
              </w:rPr>
              <w:t>As at</w:t>
            </w:r>
          </w:p>
        </w:tc>
        <w:tc>
          <w:tcPr>
            <w:tcW w:w="2160" w:type="dxa"/>
            <w:gridSpan w:val="2"/>
            <w:tcBorders>
              <w:top w:val="single" w:sz="4" w:space="0" w:color="auto"/>
              <w:bottom w:val="single" w:sz="12" w:space="0" w:color="auto"/>
            </w:tcBorders>
            <w:shd w:val="clear" w:color="auto" w:fill="auto"/>
          </w:tcPr>
          <w:p w14:paraId="032B3932" w14:textId="77C2A638" w:rsidR="00FC3890" w:rsidRPr="00C90A0A" w:rsidRDefault="003C5740" w:rsidP="00C90A0A">
            <w:pPr>
              <w:jc w:val="right"/>
              <w:rPr>
                <w:rFonts w:ascii="Arial" w:hAnsi="Arial" w:cs="Arial"/>
                <w:sz w:val="20"/>
                <w:szCs w:val="20"/>
                <w:highlight w:val="yellow"/>
              </w:rPr>
            </w:pPr>
            <w:r>
              <w:rPr>
                <w:rFonts w:ascii="Arial" w:hAnsi="Arial" w:cs="Arial"/>
                <w:b/>
                <w:sz w:val="20"/>
                <w:szCs w:val="20"/>
              </w:rPr>
              <w:t xml:space="preserve">March 31, </w:t>
            </w:r>
            <w:r w:rsidR="00FC3890" w:rsidRPr="007307D2">
              <w:rPr>
                <w:rFonts w:ascii="Arial" w:hAnsi="Arial" w:cs="Arial"/>
                <w:b/>
                <w:sz w:val="20"/>
                <w:szCs w:val="20"/>
              </w:rPr>
              <w:t>201</w:t>
            </w:r>
            <w:r>
              <w:rPr>
                <w:rFonts w:ascii="Arial" w:hAnsi="Arial" w:cs="Arial"/>
                <w:b/>
                <w:sz w:val="20"/>
                <w:szCs w:val="20"/>
              </w:rPr>
              <w:t>9</w:t>
            </w:r>
          </w:p>
        </w:tc>
        <w:tc>
          <w:tcPr>
            <w:tcW w:w="2095" w:type="dxa"/>
            <w:gridSpan w:val="2"/>
            <w:tcBorders>
              <w:top w:val="single" w:sz="4" w:space="0" w:color="auto"/>
              <w:bottom w:val="single" w:sz="12" w:space="0" w:color="auto"/>
            </w:tcBorders>
            <w:shd w:val="clear" w:color="auto" w:fill="auto"/>
          </w:tcPr>
          <w:p w14:paraId="2C3DE4B1" w14:textId="3E18E81E" w:rsidR="00FC3890" w:rsidRPr="00B043B6" w:rsidRDefault="003C5740" w:rsidP="00C90A0A">
            <w:pPr>
              <w:jc w:val="right"/>
              <w:rPr>
                <w:rFonts w:ascii="Arial" w:hAnsi="Arial" w:cs="Arial"/>
                <w:sz w:val="20"/>
                <w:szCs w:val="20"/>
                <w:highlight w:val="yellow"/>
              </w:rPr>
            </w:pPr>
            <w:r>
              <w:rPr>
                <w:rFonts w:ascii="Arial" w:hAnsi="Arial" w:cs="Arial"/>
                <w:sz w:val="20"/>
                <w:szCs w:val="20"/>
              </w:rPr>
              <w:t>December 31, 2018</w:t>
            </w:r>
          </w:p>
        </w:tc>
      </w:tr>
      <w:tr w:rsidR="00FC3890" w:rsidRPr="00FC3890" w14:paraId="5E3B6122" w14:textId="77777777" w:rsidTr="00770FCE">
        <w:tc>
          <w:tcPr>
            <w:tcW w:w="5093" w:type="dxa"/>
            <w:tcBorders>
              <w:top w:val="single" w:sz="12" w:space="0" w:color="auto"/>
              <w:bottom w:val="nil"/>
            </w:tcBorders>
          </w:tcPr>
          <w:p w14:paraId="5AEB0D7C" w14:textId="1FDCB304" w:rsidR="00FC3890" w:rsidRPr="00C90A0A" w:rsidRDefault="00FC3890">
            <w:pPr>
              <w:jc w:val="both"/>
              <w:rPr>
                <w:rFonts w:ascii="Arial" w:hAnsi="Arial" w:cs="Arial"/>
                <w:sz w:val="20"/>
                <w:szCs w:val="20"/>
              </w:rPr>
            </w:pPr>
          </w:p>
        </w:tc>
        <w:tc>
          <w:tcPr>
            <w:tcW w:w="328" w:type="dxa"/>
            <w:tcBorders>
              <w:top w:val="single" w:sz="12" w:space="0" w:color="auto"/>
              <w:bottom w:val="nil"/>
            </w:tcBorders>
          </w:tcPr>
          <w:p w14:paraId="06712FD5" w14:textId="054AC10D" w:rsidR="00FC3890" w:rsidRPr="00C90A0A" w:rsidRDefault="00FC3890" w:rsidP="00C90A0A">
            <w:pPr>
              <w:jc w:val="both"/>
              <w:rPr>
                <w:rFonts w:ascii="Arial" w:hAnsi="Arial" w:cs="Arial"/>
                <w:sz w:val="20"/>
                <w:szCs w:val="20"/>
              </w:rPr>
            </w:pPr>
          </w:p>
        </w:tc>
        <w:tc>
          <w:tcPr>
            <w:tcW w:w="1832" w:type="dxa"/>
            <w:tcBorders>
              <w:top w:val="single" w:sz="12" w:space="0" w:color="auto"/>
              <w:bottom w:val="nil"/>
            </w:tcBorders>
          </w:tcPr>
          <w:p w14:paraId="3F44B36E" w14:textId="4FE452D6" w:rsidR="00FC3890" w:rsidRPr="00C90A0A" w:rsidRDefault="00FC3890" w:rsidP="00A461FC">
            <w:pPr>
              <w:jc w:val="right"/>
              <w:rPr>
                <w:rFonts w:ascii="Arial" w:hAnsi="Arial" w:cs="Arial"/>
                <w:sz w:val="20"/>
                <w:szCs w:val="20"/>
              </w:rPr>
            </w:pPr>
          </w:p>
        </w:tc>
        <w:tc>
          <w:tcPr>
            <w:tcW w:w="328" w:type="dxa"/>
            <w:tcBorders>
              <w:top w:val="single" w:sz="12" w:space="0" w:color="auto"/>
              <w:bottom w:val="nil"/>
            </w:tcBorders>
          </w:tcPr>
          <w:p w14:paraId="49A44D84" w14:textId="17B683A0" w:rsidR="00FC3890" w:rsidRPr="00C90A0A" w:rsidRDefault="00FC3890" w:rsidP="00C90A0A">
            <w:pPr>
              <w:jc w:val="both"/>
              <w:rPr>
                <w:rFonts w:ascii="Arial" w:hAnsi="Arial" w:cs="Arial"/>
                <w:sz w:val="20"/>
                <w:szCs w:val="20"/>
              </w:rPr>
            </w:pPr>
          </w:p>
        </w:tc>
        <w:tc>
          <w:tcPr>
            <w:tcW w:w="1767" w:type="dxa"/>
            <w:tcBorders>
              <w:top w:val="single" w:sz="12" w:space="0" w:color="auto"/>
              <w:bottom w:val="nil"/>
            </w:tcBorders>
          </w:tcPr>
          <w:p w14:paraId="3F3E9087" w14:textId="68B58B86" w:rsidR="00FC3890" w:rsidRPr="00C90A0A" w:rsidRDefault="00FC3890" w:rsidP="00C90A0A">
            <w:pPr>
              <w:jc w:val="right"/>
              <w:rPr>
                <w:rFonts w:ascii="Arial" w:hAnsi="Arial" w:cs="Arial"/>
                <w:sz w:val="20"/>
                <w:szCs w:val="20"/>
              </w:rPr>
            </w:pPr>
          </w:p>
        </w:tc>
      </w:tr>
      <w:tr w:rsidR="003C5740" w:rsidRPr="00FC3890" w14:paraId="31EFDB53" w14:textId="77777777" w:rsidTr="00F6674B">
        <w:tc>
          <w:tcPr>
            <w:tcW w:w="5093" w:type="dxa"/>
            <w:tcBorders>
              <w:top w:val="nil"/>
              <w:bottom w:val="nil"/>
            </w:tcBorders>
          </w:tcPr>
          <w:p w14:paraId="7DF949DE" w14:textId="3164765D" w:rsidR="003C5740" w:rsidRPr="00C90A0A" w:rsidRDefault="003C5740" w:rsidP="003C5740">
            <w:pPr>
              <w:jc w:val="both"/>
              <w:rPr>
                <w:rFonts w:ascii="Arial" w:hAnsi="Arial" w:cs="Arial"/>
                <w:sz w:val="20"/>
                <w:szCs w:val="20"/>
              </w:rPr>
            </w:pPr>
            <w:r w:rsidRPr="00C90A0A">
              <w:rPr>
                <w:rFonts w:ascii="Arial" w:hAnsi="Arial" w:cs="Arial"/>
                <w:sz w:val="20"/>
                <w:szCs w:val="20"/>
              </w:rPr>
              <w:t xml:space="preserve">Cash </w:t>
            </w:r>
          </w:p>
        </w:tc>
        <w:tc>
          <w:tcPr>
            <w:tcW w:w="328" w:type="dxa"/>
            <w:tcBorders>
              <w:top w:val="nil"/>
              <w:bottom w:val="nil"/>
            </w:tcBorders>
          </w:tcPr>
          <w:p w14:paraId="5F93D3E4" w14:textId="761D9291" w:rsidR="003C5740" w:rsidRPr="00DA05F7" w:rsidRDefault="003C5740" w:rsidP="003C5740">
            <w:pPr>
              <w:jc w:val="both"/>
              <w:rPr>
                <w:rFonts w:ascii="Arial" w:hAnsi="Arial" w:cs="Arial"/>
                <w:b/>
                <w:sz w:val="20"/>
                <w:szCs w:val="20"/>
              </w:rPr>
            </w:pPr>
            <w:r w:rsidRPr="00DA05F7">
              <w:rPr>
                <w:rFonts w:ascii="Arial" w:hAnsi="Arial" w:cs="Arial"/>
                <w:b/>
                <w:sz w:val="20"/>
                <w:szCs w:val="20"/>
              </w:rPr>
              <w:t>$</w:t>
            </w:r>
          </w:p>
        </w:tc>
        <w:tc>
          <w:tcPr>
            <w:tcW w:w="1832" w:type="dxa"/>
            <w:tcBorders>
              <w:top w:val="nil"/>
              <w:bottom w:val="nil"/>
            </w:tcBorders>
          </w:tcPr>
          <w:p w14:paraId="4534B09D" w14:textId="143ACA68" w:rsidR="003C5740" w:rsidRPr="00DA05F7" w:rsidRDefault="00EF2D2F" w:rsidP="003C5740">
            <w:pPr>
              <w:jc w:val="right"/>
              <w:rPr>
                <w:rFonts w:ascii="Arial" w:hAnsi="Arial" w:cs="Arial"/>
                <w:b/>
                <w:sz w:val="20"/>
                <w:szCs w:val="20"/>
              </w:rPr>
            </w:pPr>
            <w:r>
              <w:rPr>
                <w:rFonts w:ascii="Arial" w:hAnsi="Arial" w:cs="Arial"/>
                <w:b/>
                <w:sz w:val="20"/>
                <w:szCs w:val="20"/>
              </w:rPr>
              <w:t>1,974,48</w:t>
            </w:r>
            <w:r w:rsidR="00DF5EEB">
              <w:rPr>
                <w:rFonts w:ascii="Arial" w:hAnsi="Arial" w:cs="Arial"/>
                <w:b/>
                <w:sz w:val="20"/>
                <w:szCs w:val="20"/>
              </w:rPr>
              <w:t>3</w:t>
            </w:r>
          </w:p>
        </w:tc>
        <w:tc>
          <w:tcPr>
            <w:tcW w:w="328" w:type="dxa"/>
            <w:tcBorders>
              <w:top w:val="nil"/>
              <w:bottom w:val="nil"/>
            </w:tcBorders>
          </w:tcPr>
          <w:p w14:paraId="11684843" w14:textId="1CF40E4D" w:rsidR="003C5740" w:rsidRPr="00C90A0A" w:rsidRDefault="003C5740" w:rsidP="003C5740">
            <w:pPr>
              <w:jc w:val="both"/>
              <w:rPr>
                <w:rFonts w:ascii="Arial" w:hAnsi="Arial" w:cs="Arial"/>
                <w:sz w:val="20"/>
                <w:szCs w:val="20"/>
              </w:rPr>
            </w:pPr>
            <w:r w:rsidRPr="00C90A0A">
              <w:rPr>
                <w:rFonts w:ascii="Arial" w:hAnsi="Arial" w:cs="Arial"/>
                <w:sz w:val="20"/>
                <w:szCs w:val="20"/>
              </w:rPr>
              <w:t>$</w:t>
            </w:r>
          </w:p>
        </w:tc>
        <w:tc>
          <w:tcPr>
            <w:tcW w:w="1767" w:type="dxa"/>
            <w:tcBorders>
              <w:top w:val="nil"/>
              <w:bottom w:val="nil"/>
            </w:tcBorders>
          </w:tcPr>
          <w:p w14:paraId="68A8E1EB" w14:textId="0FC70A56" w:rsidR="003C5740" w:rsidRPr="003C5740" w:rsidRDefault="003C5740" w:rsidP="003C5740">
            <w:pPr>
              <w:jc w:val="right"/>
              <w:rPr>
                <w:rFonts w:ascii="Arial" w:hAnsi="Arial" w:cs="Arial"/>
                <w:sz w:val="20"/>
                <w:szCs w:val="20"/>
              </w:rPr>
            </w:pPr>
            <w:r w:rsidRPr="003C5740">
              <w:rPr>
                <w:rFonts w:ascii="Arial" w:hAnsi="Arial" w:cs="Arial"/>
                <w:sz w:val="20"/>
                <w:szCs w:val="20"/>
              </w:rPr>
              <w:t>157,668</w:t>
            </w:r>
          </w:p>
        </w:tc>
      </w:tr>
      <w:tr w:rsidR="003C5740" w:rsidRPr="00FC3890" w14:paraId="2C50B47E" w14:textId="77777777" w:rsidTr="005435FC">
        <w:tc>
          <w:tcPr>
            <w:tcW w:w="5093" w:type="dxa"/>
            <w:tcBorders>
              <w:top w:val="nil"/>
              <w:bottom w:val="single" w:sz="4" w:space="0" w:color="auto"/>
            </w:tcBorders>
          </w:tcPr>
          <w:p w14:paraId="0DB701BD" w14:textId="567DFAB4" w:rsidR="003C5740" w:rsidRPr="00FC3890" w:rsidRDefault="003C5740" w:rsidP="003C5740">
            <w:pPr>
              <w:jc w:val="both"/>
              <w:rPr>
                <w:rFonts w:ascii="Arial" w:hAnsi="Arial" w:cs="Arial"/>
                <w:sz w:val="20"/>
                <w:szCs w:val="20"/>
              </w:rPr>
            </w:pPr>
            <w:r>
              <w:rPr>
                <w:rFonts w:ascii="Arial" w:hAnsi="Arial" w:cs="Arial"/>
                <w:sz w:val="20"/>
                <w:szCs w:val="20"/>
              </w:rPr>
              <w:t>Prepaid expenses</w:t>
            </w:r>
          </w:p>
        </w:tc>
        <w:tc>
          <w:tcPr>
            <w:tcW w:w="328" w:type="dxa"/>
            <w:tcBorders>
              <w:top w:val="nil"/>
              <w:bottom w:val="single" w:sz="4" w:space="0" w:color="auto"/>
            </w:tcBorders>
          </w:tcPr>
          <w:p w14:paraId="40CA5D4B" w14:textId="77777777" w:rsidR="003C5740" w:rsidRPr="00DA05F7" w:rsidRDefault="003C5740" w:rsidP="003C5740">
            <w:pPr>
              <w:jc w:val="both"/>
              <w:rPr>
                <w:rFonts w:ascii="Arial" w:hAnsi="Arial" w:cs="Arial"/>
                <w:b/>
                <w:sz w:val="20"/>
                <w:szCs w:val="20"/>
              </w:rPr>
            </w:pPr>
          </w:p>
        </w:tc>
        <w:tc>
          <w:tcPr>
            <w:tcW w:w="1832" w:type="dxa"/>
            <w:tcBorders>
              <w:top w:val="nil"/>
              <w:bottom w:val="single" w:sz="4" w:space="0" w:color="auto"/>
            </w:tcBorders>
          </w:tcPr>
          <w:p w14:paraId="2E69D17A" w14:textId="5AFCD3C8" w:rsidR="003C5740" w:rsidRPr="00DA05F7" w:rsidRDefault="00EF2D2F" w:rsidP="003C5740">
            <w:pPr>
              <w:jc w:val="right"/>
              <w:rPr>
                <w:rFonts w:ascii="Arial" w:hAnsi="Arial" w:cs="Arial"/>
                <w:b/>
                <w:sz w:val="20"/>
                <w:szCs w:val="20"/>
              </w:rPr>
            </w:pPr>
            <w:r>
              <w:rPr>
                <w:rFonts w:ascii="Arial" w:hAnsi="Arial" w:cs="Arial"/>
                <w:b/>
                <w:sz w:val="20"/>
                <w:szCs w:val="20"/>
              </w:rPr>
              <w:t>17,600</w:t>
            </w:r>
          </w:p>
        </w:tc>
        <w:tc>
          <w:tcPr>
            <w:tcW w:w="328" w:type="dxa"/>
            <w:tcBorders>
              <w:top w:val="nil"/>
              <w:bottom w:val="single" w:sz="4" w:space="0" w:color="auto"/>
            </w:tcBorders>
          </w:tcPr>
          <w:p w14:paraId="2C95F6E2" w14:textId="77777777" w:rsidR="003C5740" w:rsidRPr="00FC3890" w:rsidRDefault="003C5740" w:rsidP="003C5740">
            <w:pPr>
              <w:jc w:val="both"/>
              <w:rPr>
                <w:rFonts w:ascii="Arial" w:hAnsi="Arial" w:cs="Arial"/>
                <w:sz w:val="20"/>
                <w:szCs w:val="20"/>
              </w:rPr>
            </w:pPr>
          </w:p>
        </w:tc>
        <w:tc>
          <w:tcPr>
            <w:tcW w:w="1767" w:type="dxa"/>
            <w:tcBorders>
              <w:top w:val="nil"/>
              <w:bottom w:val="single" w:sz="4" w:space="0" w:color="auto"/>
            </w:tcBorders>
          </w:tcPr>
          <w:p w14:paraId="102D1379" w14:textId="1CE79193" w:rsidR="003C5740" w:rsidRPr="003C5740" w:rsidRDefault="003C5740" w:rsidP="003C5740">
            <w:pPr>
              <w:jc w:val="right"/>
              <w:rPr>
                <w:rFonts w:ascii="Arial" w:hAnsi="Arial" w:cs="Arial"/>
                <w:sz w:val="20"/>
                <w:szCs w:val="20"/>
              </w:rPr>
            </w:pPr>
            <w:r w:rsidRPr="003C5740">
              <w:rPr>
                <w:rFonts w:ascii="Arial" w:hAnsi="Arial" w:cs="Arial"/>
                <w:sz w:val="20"/>
                <w:szCs w:val="20"/>
              </w:rPr>
              <w:t>29,475</w:t>
            </w:r>
          </w:p>
        </w:tc>
      </w:tr>
      <w:tr w:rsidR="003C5740" w:rsidRPr="00FC3890" w14:paraId="3658B754" w14:textId="77777777" w:rsidTr="005435FC">
        <w:tc>
          <w:tcPr>
            <w:tcW w:w="5093" w:type="dxa"/>
            <w:tcBorders>
              <w:top w:val="single" w:sz="4" w:space="0" w:color="auto"/>
            </w:tcBorders>
          </w:tcPr>
          <w:p w14:paraId="7BA177C3"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Total Current Assets</w:t>
            </w:r>
          </w:p>
        </w:tc>
        <w:tc>
          <w:tcPr>
            <w:tcW w:w="328" w:type="dxa"/>
            <w:tcBorders>
              <w:top w:val="single" w:sz="4" w:space="0" w:color="auto"/>
            </w:tcBorders>
          </w:tcPr>
          <w:p w14:paraId="7C7C6AF9" w14:textId="77777777" w:rsidR="003C5740" w:rsidRPr="00DA05F7" w:rsidRDefault="003C5740" w:rsidP="003C5740">
            <w:pPr>
              <w:jc w:val="both"/>
              <w:rPr>
                <w:rFonts w:ascii="Arial" w:hAnsi="Arial" w:cs="Arial"/>
                <w:b/>
                <w:sz w:val="20"/>
                <w:szCs w:val="20"/>
              </w:rPr>
            </w:pPr>
          </w:p>
        </w:tc>
        <w:tc>
          <w:tcPr>
            <w:tcW w:w="1832" w:type="dxa"/>
            <w:tcBorders>
              <w:top w:val="single" w:sz="4" w:space="0" w:color="auto"/>
            </w:tcBorders>
          </w:tcPr>
          <w:p w14:paraId="4C20CB77" w14:textId="29CAEEA1" w:rsidR="003C5740" w:rsidRPr="00DA05F7" w:rsidRDefault="00EF2D2F" w:rsidP="003C5740">
            <w:pPr>
              <w:jc w:val="right"/>
              <w:rPr>
                <w:rFonts w:ascii="Arial" w:hAnsi="Arial" w:cs="Arial"/>
                <w:b/>
                <w:sz w:val="20"/>
                <w:szCs w:val="20"/>
              </w:rPr>
            </w:pPr>
            <w:r>
              <w:rPr>
                <w:rFonts w:ascii="Arial" w:hAnsi="Arial" w:cs="Arial"/>
                <w:b/>
                <w:sz w:val="20"/>
                <w:szCs w:val="20"/>
              </w:rPr>
              <w:t>1,992,08</w:t>
            </w:r>
            <w:r w:rsidR="00DF5EEB">
              <w:rPr>
                <w:rFonts w:ascii="Arial" w:hAnsi="Arial" w:cs="Arial"/>
                <w:b/>
                <w:sz w:val="20"/>
                <w:szCs w:val="20"/>
              </w:rPr>
              <w:t>3</w:t>
            </w:r>
          </w:p>
        </w:tc>
        <w:tc>
          <w:tcPr>
            <w:tcW w:w="328" w:type="dxa"/>
            <w:tcBorders>
              <w:top w:val="single" w:sz="4" w:space="0" w:color="auto"/>
            </w:tcBorders>
          </w:tcPr>
          <w:p w14:paraId="212A7B8F" w14:textId="77777777" w:rsidR="003C5740" w:rsidRPr="00C90A0A" w:rsidRDefault="003C5740" w:rsidP="003C5740">
            <w:pPr>
              <w:jc w:val="both"/>
              <w:rPr>
                <w:rFonts w:ascii="Arial" w:hAnsi="Arial" w:cs="Arial"/>
                <w:sz w:val="20"/>
                <w:szCs w:val="20"/>
              </w:rPr>
            </w:pPr>
          </w:p>
        </w:tc>
        <w:tc>
          <w:tcPr>
            <w:tcW w:w="1767" w:type="dxa"/>
            <w:tcBorders>
              <w:top w:val="single" w:sz="4" w:space="0" w:color="auto"/>
            </w:tcBorders>
          </w:tcPr>
          <w:p w14:paraId="75D2E2EE" w14:textId="6AF8A95F" w:rsidR="003C5740" w:rsidRPr="003C5740" w:rsidRDefault="003C5740" w:rsidP="003C5740">
            <w:pPr>
              <w:jc w:val="right"/>
              <w:rPr>
                <w:rFonts w:ascii="Arial" w:hAnsi="Arial" w:cs="Arial"/>
                <w:sz w:val="20"/>
                <w:szCs w:val="20"/>
              </w:rPr>
            </w:pPr>
            <w:r w:rsidRPr="003C5740">
              <w:rPr>
                <w:rFonts w:ascii="Arial" w:hAnsi="Arial" w:cs="Arial"/>
                <w:sz w:val="20"/>
                <w:szCs w:val="20"/>
              </w:rPr>
              <w:t>187,143</w:t>
            </w:r>
          </w:p>
        </w:tc>
      </w:tr>
      <w:tr w:rsidR="003C5740" w:rsidRPr="00FC3890" w14:paraId="7298C413" w14:textId="77777777" w:rsidTr="00C90A0A">
        <w:tc>
          <w:tcPr>
            <w:tcW w:w="5093" w:type="dxa"/>
            <w:tcBorders>
              <w:bottom w:val="nil"/>
            </w:tcBorders>
          </w:tcPr>
          <w:p w14:paraId="047DD687" w14:textId="77777777" w:rsidR="003C5740" w:rsidRPr="00C90A0A" w:rsidRDefault="003C5740" w:rsidP="003C5740">
            <w:pPr>
              <w:jc w:val="both"/>
              <w:rPr>
                <w:rFonts w:ascii="Arial" w:hAnsi="Arial" w:cs="Arial"/>
                <w:sz w:val="20"/>
                <w:szCs w:val="20"/>
              </w:rPr>
            </w:pPr>
          </w:p>
        </w:tc>
        <w:tc>
          <w:tcPr>
            <w:tcW w:w="328" w:type="dxa"/>
            <w:tcBorders>
              <w:bottom w:val="nil"/>
            </w:tcBorders>
          </w:tcPr>
          <w:p w14:paraId="6A9BB7AE" w14:textId="77777777" w:rsidR="003C5740" w:rsidRPr="00DA05F7" w:rsidRDefault="003C5740" w:rsidP="003C5740">
            <w:pPr>
              <w:jc w:val="both"/>
              <w:rPr>
                <w:rFonts w:ascii="Arial" w:hAnsi="Arial" w:cs="Arial"/>
                <w:b/>
                <w:sz w:val="20"/>
                <w:szCs w:val="20"/>
              </w:rPr>
            </w:pPr>
          </w:p>
        </w:tc>
        <w:tc>
          <w:tcPr>
            <w:tcW w:w="1832" w:type="dxa"/>
            <w:tcBorders>
              <w:bottom w:val="nil"/>
            </w:tcBorders>
          </w:tcPr>
          <w:p w14:paraId="72E288B7" w14:textId="77777777" w:rsidR="003C5740" w:rsidRPr="00DA05F7" w:rsidRDefault="003C5740" w:rsidP="003C5740">
            <w:pPr>
              <w:jc w:val="right"/>
              <w:rPr>
                <w:rFonts w:ascii="Arial" w:hAnsi="Arial" w:cs="Arial"/>
                <w:b/>
                <w:sz w:val="20"/>
                <w:szCs w:val="20"/>
              </w:rPr>
            </w:pPr>
          </w:p>
        </w:tc>
        <w:tc>
          <w:tcPr>
            <w:tcW w:w="328" w:type="dxa"/>
            <w:tcBorders>
              <w:bottom w:val="nil"/>
            </w:tcBorders>
          </w:tcPr>
          <w:p w14:paraId="77A3D401" w14:textId="77777777" w:rsidR="003C5740" w:rsidRPr="00C90A0A" w:rsidRDefault="003C5740" w:rsidP="003C5740">
            <w:pPr>
              <w:jc w:val="both"/>
              <w:rPr>
                <w:rFonts w:ascii="Arial" w:hAnsi="Arial" w:cs="Arial"/>
                <w:sz w:val="20"/>
                <w:szCs w:val="20"/>
              </w:rPr>
            </w:pPr>
          </w:p>
        </w:tc>
        <w:tc>
          <w:tcPr>
            <w:tcW w:w="1767" w:type="dxa"/>
            <w:tcBorders>
              <w:bottom w:val="nil"/>
            </w:tcBorders>
          </w:tcPr>
          <w:p w14:paraId="6309308F" w14:textId="77777777" w:rsidR="003C5740" w:rsidRPr="003C5740" w:rsidRDefault="003C5740" w:rsidP="003C5740">
            <w:pPr>
              <w:jc w:val="right"/>
              <w:rPr>
                <w:rFonts w:ascii="Arial" w:hAnsi="Arial" w:cs="Arial"/>
                <w:sz w:val="20"/>
                <w:szCs w:val="20"/>
              </w:rPr>
            </w:pPr>
          </w:p>
        </w:tc>
      </w:tr>
      <w:tr w:rsidR="003A2C50" w:rsidRPr="00FC3890" w14:paraId="39B68499" w14:textId="77777777" w:rsidTr="00C90A0A">
        <w:tc>
          <w:tcPr>
            <w:tcW w:w="5093" w:type="dxa"/>
            <w:tcBorders>
              <w:top w:val="nil"/>
              <w:bottom w:val="nil"/>
            </w:tcBorders>
          </w:tcPr>
          <w:p w14:paraId="2CCD15C0" w14:textId="7B47560D" w:rsidR="003A2C50" w:rsidRPr="007307D2" w:rsidRDefault="003A2C50" w:rsidP="003A2C50">
            <w:pPr>
              <w:jc w:val="both"/>
              <w:rPr>
                <w:rFonts w:ascii="Arial" w:hAnsi="Arial" w:cs="Arial"/>
                <w:sz w:val="20"/>
                <w:szCs w:val="20"/>
              </w:rPr>
            </w:pPr>
            <w:r w:rsidRPr="007307D2">
              <w:rPr>
                <w:rFonts w:ascii="Arial" w:hAnsi="Arial" w:cs="Arial"/>
                <w:sz w:val="20"/>
                <w:szCs w:val="20"/>
              </w:rPr>
              <w:t>Accounts payable and accrued liabilities</w:t>
            </w:r>
          </w:p>
        </w:tc>
        <w:tc>
          <w:tcPr>
            <w:tcW w:w="328" w:type="dxa"/>
            <w:tcBorders>
              <w:top w:val="nil"/>
              <w:bottom w:val="nil"/>
            </w:tcBorders>
          </w:tcPr>
          <w:p w14:paraId="52C824DD"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633B2260" w14:textId="7B2C94B4" w:rsidR="003A2C50" w:rsidRPr="00DA05F7" w:rsidRDefault="003A2C50" w:rsidP="003A2C50">
            <w:pPr>
              <w:jc w:val="right"/>
              <w:rPr>
                <w:rFonts w:ascii="Arial" w:hAnsi="Arial" w:cs="Arial"/>
                <w:b/>
                <w:sz w:val="20"/>
                <w:szCs w:val="20"/>
              </w:rPr>
            </w:pPr>
            <w:r>
              <w:rPr>
                <w:rFonts w:ascii="Arial" w:hAnsi="Arial" w:cs="Arial"/>
                <w:b/>
                <w:sz w:val="20"/>
                <w:szCs w:val="20"/>
              </w:rPr>
              <w:t>1,318,744</w:t>
            </w:r>
          </w:p>
        </w:tc>
        <w:tc>
          <w:tcPr>
            <w:tcW w:w="328" w:type="dxa"/>
            <w:tcBorders>
              <w:top w:val="nil"/>
              <w:bottom w:val="nil"/>
            </w:tcBorders>
          </w:tcPr>
          <w:p w14:paraId="6EA2B2E2"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72B58B86" w14:textId="68410132" w:rsidR="003A2C50" w:rsidRPr="003A2C50" w:rsidRDefault="003A2C50" w:rsidP="003A2C50">
            <w:pPr>
              <w:jc w:val="right"/>
              <w:rPr>
                <w:rFonts w:ascii="Arial" w:hAnsi="Arial" w:cs="Arial"/>
                <w:bCs/>
                <w:sz w:val="20"/>
                <w:szCs w:val="20"/>
              </w:rPr>
            </w:pPr>
            <w:r w:rsidRPr="003A2C50">
              <w:rPr>
                <w:rFonts w:ascii="Arial" w:hAnsi="Arial" w:cs="Arial"/>
                <w:bCs/>
                <w:sz w:val="20"/>
                <w:szCs w:val="20"/>
              </w:rPr>
              <w:t>1,554,892</w:t>
            </w:r>
          </w:p>
        </w:tc>
      </w:tr>
      <w:tr w:rsidR="003A2C50" w:rsidRPr="00FC3890" w14:paraId="4D1D4C08" w14:textId="77777777" w:rsidTr="00C90A0A">
        <w:tc>
          <w:tcPr>
            <w:tcW w:w="5093" w:type="dxa"/>
            <w:tcBorders>
              <w:top w:val="nil"/>
              <w:bottom w:val="nil"/>
            </w:tcBorders>
          </w:tcPr>
          <w:p w14:paraId="6139A4CE" w14:textId="58CA6D24" w:rsidR="003A2C50" w:rsidRDefault="003A2C50" w:rsidP="003A2C50">
            <w:pPr>
              <w:jc w:val="both"/>
              <w:rPr>
                <w:rFonts w:ascii="Arial" w:hAnsi="Arial" w:cs="Arial"/>
                <w:sz w:val="20"/>
                <w:szCs w:val="20"/>
              </w:rPr>
            </w:pPr>
            <w:r>
              <w:rPr>
                <w:rFonts w:ascii="Arial" w:hAnsi="Arial" w:cs="Arial"/>
                <w:sz w:val="20"/>
                <w:szCs w:val="20"/>
              </w:rPr>
              <w:t>Share subscriptions</w:t>
            </w:r>
          </w:p>
        </w:tc>
        <w:tc>
          <w:tcPr>
            <w:tcW w:w="328" w:type="dxa"/>
            <w:tcBorders>
              <w:top w:val="nil"/>
              <w:bottom w:val="nil"/>
            </w:tcBorders>
          </w:tcPr>
          <w:p w14:paraId="7B746E04"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3CAD80F8" w14:textId="62DED161" w:rsidR="003A2C50" w:rsidRPr="00DA05F7" w:rsidRDefault="003A2C50" w:rsidP="003A2C50">
            <w:pPr>
              <w:jc w:val="right"/>
              <w:rPr>
                <w:rFonts w:ascii="Arial" w:hAnsi="Arial" w:cs="Arial"/>
                <w:b/>
                <w:sz w:val="20"/>
                <w:szCs w:val="20"/>
              </w:rPr>
            </w:pPr>
            <w:r>
              <w:rPr>
                <w:rFonts w:ascii="Arial" w:hAnsi="Arial" w:cs="Arial"/>
                <w:b/>
                <w:sz w:val="20"/>
                <w:szCs w:val="20"/>
              </w:rPr>
              <w:t>2,024,082</w:t>
            </w:r>
          </w:p>
        </w:tc>
        <w:tc>
          <w:tcPr>
            <w:tcW w:w="328" w:type="dxa"/>
            <w:tcBorders>
              <w:top w:val="nil"/>
              <w:bottom w:val="nil"/>
            </w:tcBorders>
          </w:tcPr>
          <w:p w14:paraId="67398B20"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259B2D15" w14:textId="10DFBB2A" w:rsidR="003A2C50" w:rsidRPr="003A2C50" w:rsidRDefault="003A2C50" w:rsidP="003A2C50">
            <w:pPr>
              <w:jc w:val="right"/>
              <w:rPr>
                <w:rFonts w:ascii="Arial" w:hAnsi="Arial" w:cs="Arial"/>
                <w:bCs/>
                <w:sz w:val="20"/>
                <w:szCs w:val="20"/>
              </w:rPr>
            </w:pPr>
            <w:r w:rsidRPr="003A2C50">
              <w:rPr>
                <w:rFonts w:ascii="Arial" w:hAnsi="Arial" w:cs="Arial"/>
                <w:bCs/>
                <w:sz w:val="20"/>
                <w:szCs w:val="20"/>
              </w:rPr>
              <w:t>61,167</w:t>
            </w:r>
          </w:p>
        </w:tc>
      </w:tr>
      <w:tr w:rsidR="003A2C50" w:rsidRPr="00FC3890" w14:paraId="47163CB7" w14:textId="77777777" w:rsidTr="00C90A0A">
        <w:tc>
          <w:tcPr>
            <w:tcW w:w="5093" w:type="dxa"/>
            <w:tcBorders>
              <w:top w:val="nil"/>
              <w:bottom w:val="nil"/>
            </w:tcBorders>
          </w:tcPr>
          <w:p w14:paraId="2A09B13C" w14:textId="45E8DF9E" w:rsidR="003A2C50" w:rsidRPr="007307D2" w:rsidRDefault="003A2C50" w:rsidP="003A2C50">
            <w:pPr>
              <w:jc w:val="both"/>
              <w:rPr>
                <w:rFonts w:ascii="Arial" w:hAnsi="Arial" w:cs="Arial"/>
                <w:sz w:val="20"/>
                <w:szCs w:val="20"/>
              </w:rPr>
            </w:pPr>
            <w:r>
              <w:rPr>
                <w:rFonts w:ascii="Arial" w:hAnsi="Arial" w:cs="Arial"/>
                <w:sz w:val="20"/>
                <w:szCs w:val="20"/>
              </w:rPr>
              <w:t xml:space="preserve">Notes </w:t>
            </w:r>
            <w:r w:rsidR="003F5DC9">
              <w:rPr>
                <w:rFonts w:ascii="Arial" w:hAnsi="Arial" w:cs="Arial"/>
                <w:sz w:val="20"/>
                <w:szCs w:val="20"/>
              </w:rPr>
              <w:t>p</w:t>
            </w:r>
            <w:r>
              <w:rPr>
                <w:rFonts w:ascii="Arial" w:hAnsi="Arial" w:cs="Arial"/>
                <w:sz w:val="20"/>
                <w:szCs w:val="20"/>
              </w:rPr>
              <w:t>ayable</w:t>
            </w:r>
          </w:p>
        </w:tc>
        <w:tc>
          <w:tcPr>
            <w:tcW w:w="328" w:type="dxa"/>
            <w:tcBorders>
              <w:top w:val="nil"/>
              <w:bottom w:val="nil"/>
            </w:tcBorders>
          </w:tcPr>
          <w:p w14:paraId="50E1017E"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63032F8A" w14:textId="073C8DF9" w:rsidR="003A2C50" w:rsidRPr="00DA05F7" w:rsidRDefault="003A2C50" w:rsidP="003A2C50">
            <w:pPr>
              <w:jc w:val="right"/>
              <w:rPr>
                <w:rFonts w:ascii="Arial" w:hAnsi="Arial" w:cs="Arial"/>
                <w:b/>
                <w:sz w:val="20"/>
                <w:szCs w:val="20"/>
              </w:rPr>
            </w:pPr>
            <w:r>
              <w:rPr>
                <w:rFonts w:ascii="Arial" w:hAnsi="Arial" w:cs="Arial"/>
                <w:b/>
                <w:sz w:val="20"/>
                <w:szCs w:val="20"/>
              </w:rPr>
              <w:t>614,989</w:t>
            </w:r>
          </w:p>
        </w:tc>
        <w:tc>
          <w:tcPr>
            <w:tcW w:w="328" w:type="dxa"/>
            <w:tcBorders>
              <w:top w:val="nil"/>
              <w:bottom w:val="nil"/>
            </w:tcBorders>
          </w:tcPr>
          <w:p w14:paraId="0C43A923"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1ABC5BB0" w14:textId="357BEB76" w:rsidR="003A2C50" w:rsidRPr="003A2C50" w:rsidRDefault="003A2C50" w:rsidP="003A2C50">
            <w:pPr>
              <w:jc w:val="right"/>
              <w:rPr>
                <w:rFonts w:ascii="Arial" w:hAnsi="Arial" w:cs="Arial"/>
                <w:bCs/>
                <w:sz w:val="20"/>
                <w:szCs w:val="20"/>
              </w:rPr>
            </w:pPr>
            <w:r w:rsidRPr="003A2C50">
              <w:rPr>
                <w:rFonts w:ascii="Arial" w:hAnsi="Arial" w:cs="Arial"/>
                <w:bCs/>
                <w:sz w:val="20"/>
                <w:szCs w:val="20"/>
              </w:rPr>
              <w:t>610,444</w:t>
            </w:r>
          </w:p>
        </w:tc>
      </w:tr>
      <w:tr w:rsidR="003A2C50" w:rsidRPr="00FC3890" w14:paraId="21BE64B4" w14:textId="77777777" w:rsidTr="00C90A0A">
        <w:tc>
          <w:tcPr>
            <w:tcW w:w="5093" w:type="dxa"/>
            <w:tcBorders>
              <w:top w:val="nil"/>
              <w:bottom w:val="nil"/>
            </w:tcBorders>
          </w:tcPr>
          <w:p w14:paraId="3B2400C9" w14:textId="1B8011ED" w:rsidR="003A2C50" w:rsidRPr="007307D2" w:rsidRDefault="003A2C50" w:rsidP="003A2C50">
            <w:pPr>
              <w:jc w:val="both"/>
              <w:rPr>
                <w:rFonts w:ascii="Arial" w:hAnsi="Arial" w:cs="Arial"/>
                <w:sz w:val="20"/>
                <w:szCs w:val="20"/>
              </w:rPr>
            </w:pPr>
            <w:r>
              <w:rPr>
                <w:rFonts w:ascii="Arial" w:hAnsi="Arial" w:cs="Arial"/>
                <w:sz w:val="20"/>
                <w:szCs w:val="20"/>
              </w:rPr>
              <w:t>Due to related parties</w:t>
            </w:r>
          </w:p>
        </w:tc>
        <w:tc>
          <w:tcPr>
            <w:tcW w:w="328" w:type="dxa"/>
            <w:tcBorders>
              <w:top w:val="nil"/>
              <w:bottom w:val="nil"/>
            </w:tcBorders>
          </w:tcPr>
          <w:p w14:paraId="6F3F03B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5F7EAED7" w14:textId="7F4EC489" w:rsidR="003A2C50" w:rsidRPr="00DA05F7" w:rsidRDefault="003A2C50" w:rsidP="003A2C50">
            <w:pPr>
              <w:jc w:val="right"/>
              <w:rPr>
                <w:rFonts w:ascii="Arial" w:hAnsi="Arial" w:cs="Arial"/>
                <w:b/>
                <w:sz w:val="20"/>
                <w:szCs w:val="20"/>
              </w:rPr>
            </w:pPr>
            <w:r>
              <w:rPr>
                <w:rFonts w:ascii="Arial" w:hAnsi="Arial" w:cs="Arial"/>
                <w:b/>
                <w:sz w:val="20"/>
                <w:szCs w:val="20"/>
              </w:rPr>
              <w:t>12,575</w:t>
            </w:r>
          </w:p>
        </w:tc>
        <w:tc>
          <w:tcPr>
            <w:tcW w:w="328" w:type="dxa"/>
            <w:tcBorders>
              <w:top w:val="nil"/>
              <w:bottom w:val="nil"/>
            </w:tcBorders>
          </w:tcPr>
          <w:p w14:paraId="1A0657D5"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0064452C" w14:textId="49F28230" w:rsidR="003A2C50" w:rsidRPr="003A2C50" w:rsidRDefault="003A2C50" w:rsidP="003A2C50">
            <w:pPr>
              <w:jc w:val="right"/>
              <w:rPr>
                <w:rFonts w:ascii="Arial" w:hAnsi="Arial" w:cs="Arial"/>
                <w:bCs/>
                <w:sz w:val="20"/>
                <w:szCs w:val="20"/>
              </w:rPr>
            </w:pPr>
            <w:r w:rsidRPr="003A2C50">
              <w:rPr>
                <w:rFonts w:ascii="Arial" w:hAnsi="Arial" w:cs="Arial"/>
                <w:bCs/>
                <w:sz w:val="20"/>
                <w:szCs w:val="20"/>
              </w:rPr>
              <w:t>12,575</w:t>
            </w:r>
          </w:p>
        </w:tc>
      </w:tr>
      <w:tr w:rsidR="003A2C50" w:rsidRPr="00FC3890" w14:paraId="7A333A6A" w14:textId="77777777" w:rsidTr="00FC3890">
        <w:tc>
          <w:tcPr>
            <w:tcW w:w="5093" w:type="dxa"/>
            <w:tcBorders>
              <w:top w:val="nil"/>
              <w:bottom w:val="nil"/>
            </w:tcBorders>
          </w:tcPr>
          <w:p w14:paraId="354C4E12" w14:textId="22279FD2" w:rsidR="003A2C50" w:rsidRPr="00C90A0A" w:rsidRDefault="003A2C50" w:rsidP="003A2C50">
            <w:pPr>
              <w:jc w:val="both"/>
              <w:rPr>
                <w:rFonts w:ascii="Arial" w:hAnsi="Arial" w:cs="Arial"/>
                <w:sz w:val="20"/>
                <w:szCs w:val="20"/>
              </w:rPr>
            </w:pPr>
            <w:r>
              <w:rPr>
                <w:rFonts w:ascii="Arial" w:hAnsi="Arial" w:cs="Arial"/>
                <w:sz w:val="20"/>
                <w:szCs w:val="20"/>
              </w:rPr>
              <w:t>Convertible debentures payable</w:t>
            </w:r>
          </w:p>
        </w:tc>
        <w:tc>
          <w:tcPr>
            <w:tcW w:w="328" w:type="dxa"/>
            <w:tcBorders>
              <w:top w:val="nil"/>
              <w:bottom w:val="nil"/>
            </w:tcBorders>
          </w:tcPr>
          <w:p w14:paraId="4B5BD1D2"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1C8D317E" w14:textId="517743AC" w:rsidR="003A2C50" w:rsidRPr="00DA05F7" w:rsidRDefault="003A2C50" w:rsidP="003A2C50">
            <w:pPr>
              <w:jc w:val="right"/>
              <w:rPr>
                <w:rFonts w:ascii="Arial" w:hAnsi="Arial" w:cs="Arial"/>
                <w:b/>
                <w:sz w:val="20"/>
                <w:szCs w:val="20"/>
              </w:rPr>
            </w:pPr>
            <w:r>
              <w:rPr>
                <w:rFonts w:ascii="Arial" w:hAnsi="Arial" w:cs="Arial"/>
                <w:b/>
                <w:sz w:val="20"/>
                <w:szCs w:val="20"/>
              </w:rPr>
              <w:t>302,924</w:t>
            </w:r>
          </w:p>
        </w:tc>
        <w:tc>
          <w:tcPr>
            <w:tcW w:w="328" w:type="dxa"/>
            <w:tcBorders>
              <w:top w:val="nil"/>
              <w:bottom w:val="nil"/>
            </w:tcBorders>
          </w:tcPr>
          <w:p w14:paraId="6FB07E32" w14:textId="77777777" w:rsidR="003A2C50" w:rsidRPr="00C90A0A" w:rsidRDefault="003A2C50" w:rsidP="003A2C50">
            <w:pPr>
              <w:jc w:val="both"/>
              <w:rPr>
                <w:rFonts w:ascii="Arial" w:hAnsi="Arial" w:cs="Arial"/>
                <w:sz w:val="20"/>
                <w:szCs w:val="20"/>
              </w:rPr>
            </w:pPr>
          </w:p>
        </w:tc>
        <w:tc>
          <w:tcPr>
            <w:tcW w:w="1767" w:type="dxa"/>
            <w:tcBorders>
              <w:top w:val="nil"/>
              <w:bottom w:val="nil"/>
            </w:tcBorders>
          </w:tcPr>
          <w:p w14:paraId="60E632AE" w14:textId="04746EAC" w:rsidR="003A2C50" w:rsidRPr="003A2C50" w:rsidRDefault="003A2C50" w:rsidP="003A2C50">
            <w:pPr>
              <w:jc w:val="right"/>
              <w:rPr>
                <w:rFonts w:ascii="Arial" w:hAnsi="Arial" w:cs="Arial"/>
                <w:bCs/>
                <w:sz w:val="20"/>
                <w:szCs w:val="20"/>
              </w:rPr>
            </w:pPr>
            <w:r w:rsidRPr="003A2C50">
              <w:rPr>
                <w:rFonts w:ascii="Arial" w:hAnsi="Arial" w:cs="Arial"/>
                <w:bCs/>
                <w:sz w:val="20"/>
                <w:szCs w:val="20"/>
              </w:rPr>
              <w:t>274,466</w:t>
            </w:r>
          </w:p>
        </w:tc>
      </w:tr>
      <w:tr w:rsidR="003A2C50" w:rsidRPr="00FC3890" w14:paraId="47724D6C" w14:textId="77777777" w:rsidTr="00A461FC">
        <w:tc>
          <w:tcPr>
            <w:tcW w:w="5093" w:type="dxa"/>
            <w:tcBorders>
              <w:top w:val="nil"/>
              <w:bottom w:val="nil"/>
            </w:tcBorders>
          </w:tcPr>
          <w:p w14:paraId="4CA0BDC3" w14:textId="3BF41558" w:rsidR="003A2C50" w:rsidRPr="00FC3890" w:rsidRDefault="003A2C50" w:rsidP="003A2C50">
            <w:pPr>
              <w:jc w:val="both"/>
              <w:rPr>
                <w:rFonts w:ascii="Arial" w:hAnsi="Arial" w:cs="Arial"/>
                <w:sz w:val="20"/>
                <w:szCs w:val="20"/>
              </w:rPr>
            </w:pPr>
            <w:r>
              <w:rPr>
                <w:rFonts w:ascii="Arial" w:hAnsi="Arial" w:cs="Arial"/>
                <w:sz w:val="20"/>
                <w:szCs w:val="20"/>
              </w:rPr>
              <w:t>Secured loan payable</w:t>
            </w:r>
          </w:p>
        </w:tc>
        <w:tc>
          <w:tcPr>
            <w:tcW w:w="328" w:type="dxa"/>
            <w:tcBorders>
              <w:top w:val="nil"/>
              <w:bottom w:val="nil"/>
            </w:tcBorders>
          </w:tcPr>
          <w:p w14:paraId="4D9CC79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12A1DF53" w14:textId="47939615" w:rsidR="003A2C50" w:rsidRPr="00DA05F7" w:rsidRDefault="003A2C50" w:rsidP="003A2C50">
            <w:pPr>
              <w:jc w:val="right"/>
              <w:rPr>
                <w:rFonts w:ascii="Arial" w:hAnsi="Arial" w:cs="Arial"/>
                <w:b/>
                <w:sz w:val="20"/>
                <w:szCs w:val="20"/>
              </w:rPr>
            </w:pPr>
            <w:r>
              <w:rPr>
                <w:rFonts w:ascii="Arial" w:hAnsi="Arial" w:cs="Arial"/>
                <w:b/>
                <w:sz w:val="20"/>
                <w:szCs w:val="20"/>
              </w:rPr>
              <w:t>728,127</w:t>
            </w:r>
          </w:p>
        </w:tc>
        <w:tc>
          <w:tcPr>
            <w:tcW w:w="328" w:type="dxa"/>
            <w:tcBorders>
              <w:top w:val="nil"/>
              <w:bottom w:val="nil"/>
            </w:tcBorders>
          </w:tcPr>
          <w:p w14:paraId="6701231B"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31ACA63D" w14:textId="360F730A" w:rsidR="003A2C50" w:rsidRPr="003A2C50" w:rsidRDefault="003A2C50" w:rsidP="003A2C50">
            <w:pPr>
              <w:jc w:val="right"/>
              <w:rPr>
                <w:rFonts w:ascii="Arial" w:hAnsi="Arial" w:cs="Arial"/>
                <w:bCs/>
                <w:sz w:val="20"/>
                <w:szCs w:val="20"/>
              </w:rPr>
            </w:pPr>
            <w:r w:rsidRPr="003A2C50">
              <w:rPr>
                <w:rFonts w:ascii="Arial" w:hAnsi="Arial" w:cs="Arial"/>
                <w:bCs/>
                <w:sz w:val="20"/>
                <w:szCs w:val="20"/>
              </w:rPr>
              <w:t>717,460</w:t>
            </w:r>
          </w:p>
        </w:tc>
      </w:tr>
      <w:tr w:rsidR="00EF2D2F" w:rsidRPr="00FC3890" w14:paraId="5B3BAF78" w14:textId="77777777" w:rsidTr="00A461FC">
        <w:tc>
          <w:tcPr>
            <w:tcW w:w="5093" w:type="dxa"/>
            <w:tcBorders>
              <w:top w:val="nil"/>
              <w:bottom w:val="nil"/>
            </w:tcBorders>
          </w:tcPr>
          <w:p w14:paraId="1587B0CB" w14:textId="3EAD8D66" w:rsidR="00EF2D2F" w:rsidRDefault="00EF2D2F" w:rsidP="003C5740">
            <w:pPr>
              <w:jc w:val="both"/>
              <w:rPr>
                <w:rFonts w:ascii="Arial" w:hAnsi="Arial" w:cs="Arial"/>
                <w:sz w:val="20"/>
                <w:szCs w:val="20"/>
              </w:rPr>
            </w:pPr>
            <w:r>
              <w:rPr>
                <w:rFonts w:ascii="Arial" w:hAnsi="Arial" w:cs="Arial"/>
                <w:sz w:val="20"/>
                <w:szCs w:val="20"/>
              </w:rPr>
              <w:t>Current portion of lease liability</w:t>
            </w:r>
          </w:p>
        </w:tc>
        <w:tc>
          <w:tcPr>
            <w:tcW w:w="328" w:type="dxa"/>
            <w:tcBorders>
              <w:top w:val="nil"/>
              <w:bottom w:val="nil"/>
            </w:tcBorders>
          </w:tcPr>
          <w:p w14:paraId="11961286" w14:textId="77777777" w:rsidR="00EF2D2F" w:rsidRPr="00DA05F7" w:rsidRDefault="00EF2D2F" w:rsidP="003C5740">
            <w:pPr>
              <w:jc w:val="both"/>
              <w:rPr>
                <w:rFonts w:ascii="Arial" w:hAnsi="Arial" w:cs="Arial"/>
                <w:b/>
                <w:sz w:val="20"/>
                <w:szCs w:val="20"/>
              </w:rPr>
            </w:pPr>
          </w:p>
        </w:tc>
        <w:tc>
          <w:tcPr>
            <w:tcW w:w="1832" w:type="dxa"/>
            <w:tcBorders>
              <w:top w:val="nil"/>
              <w:bottom w:val="nil"/>
            </w:tcBorders>
          </w:tcPr>
          <w:p w14:paraId="455149B0" w14:textId="53729C77" w:rsidR="00EF2D2F" w:rsidRPr="00DA05F7" w:rsidRDefault="00041AB3" w:rsidP="003C5740">
            <w:pPr>
              <w:jc w:val="right"/>
              <w:rPr>
                <w:rFonts w:ascii="Arial" w:hAnsi="Arial" w:cs="Arial"/>
                <w:b/>
                <w:sz w:val="20"/>
                <w:szCs w:val="20"/>
              </w:rPr>
            </w:pPr>
            <w:r>
              <w:rPr>
                <w:rFonts w:ascii="Arial" w:hAnsi="Arial" w:cs="Arial"/>
                <w:b/>
                <w:sz w:val="20"/>
                <w:szCs w:val="20"/>
              </w:rPr>
              <w:t>10</w:t>
            </w:r>
            <w:r w:rsidR="00DF5EEB">
              <w:rPr>
                <w:rFonts w:ascii="Arial" w:hAnsi="Arial" w:cs="Arial"/>
                <w:b/>
                <w:sz w:val="20"/>
                <w:szCs w:val="20"/>
              </w:rPr>
              <w:t>7,814</w:t>
            </w:r>
          </w:p>
        </w:tc>
        <w:tc>
          <w:tcPr>
            <w:tcW w:w="328" w:type="dxa"/>
            <w:tcBorders>
              <w:top w:val="nil"/>
              <w:bottom w:val="nil"/>
            </w:tcBorders>
          </w:tcPr>
          <w:p w14:paraId="5A84C8D1" w14:textId="77777777" w:rsidR="00EF2D2F" w:rsidRPr="00FC3890" w:rsidRDefault="00EF2D2F" w:rsidP="003C5740">
            <w:pPr>
              <w:jc w:val="both"/>
              <w:rPr>
                <w:rFonts w:ascii="Arial" w:hAnsi="Arial" w:cs="Arial"/>
                <w:sz w:val="20"/>
                <w:szCs w:val="20"/>
              </w:rPr>
            </w:pPr>
          </w:p>
        </w:tc>
        <w:tc>
          <w:tcPr>
            <w:tcW w:w="1767" w:type="dxa"/>
            <w:tcBorders>
              <w:top w:val="nil"/>
              <w:bottom w:val="nil"/>
            </w:tcBorders>
          </w:tcPr>
          <w:p w14:paraId="3318D8A3" w14:textId="4B987307" w:rsidR="00EF2D2F" w:rsidRPr="003C5740" w:rsidRDefault="00EF2D2F" w:rsidP="003C5740">
            <w:pPr>
              <w:jc w:val="right"/>
              <w:rPr>
                <w:rFonts w:ascii="Arial" w:hAnsi="Arial" w:cs="Arial"/>
                <w:sz w:val="20"/>
                <w:szCs w:val="20"/>
              </w:rPr>
            </w:pPr>
            <w:r>
              <w:rPr>
                <w:rFonts w:ascii="Arial" w:hAnsi="Arial" w:cs="Arial"/>
                <w:sz w:val="20"/>
                <w:szCs w:val="20"/>
              </w:rPr>
              <w:t>-</w:t>
            </w:r>
          </w:p>
        </w:tc>
      </w:tr>
      <w:tr w:rsidR="003A2C50" w:rsidRPr="00FC3890" w14:paraId="0316D6E3" w14:textId="77777777" w:rsidTr="00A461FC">
        <w:tc>
          <w:tcPr>
            <w:tcW w:w="5093" w:type="dxa"/>
            <w:tcBorders>
              <w:top w:val="nil"/>
              <w:bottom w:val="nil"/>
            </w:tcBorders>
          </w:tcPr>
          <w:p w14:paraId="216EEBAF" w14:textId="168E4470" w:rsidR="003A2C50" w:rsidRDefault="003A2C50" w:rsidP="003A2C50">
            <w:pPr>
              <w:jc w:val="both"/>
              <w:rPr>
                <w:rFonts w:ascii="Arial" w:hAnsi="Arial" w:cs="Arial"/>
                <w:sz w:val="20"/>
                <w:szCs w:val="20"/>
              </w:rPr>
            </w:pPr>
            <w:r>
              <w:rPr>
                <w:rFonts w:ascii="Arial" w:hAnsi="Arial" w:cs="Arial"/>
                <w:sz w:val="20"/>
                <w:szCs w:val="20"/>
              </w:rPr>
              <w:t xml:space="preserve">Conversion </w:t>
            </w:r>
            <w:r w:rsidR="003F5DC9">
              <w:rPr>
                <w:rFonts w:ascii="Arial" w:hAnsi="Arial" w:cs="Arial"/>
                <w:sz w:val="20"/>
                <w:szCs w:val="20"/>
              </w:rPr>
              <w:t>f</w:t>
            </w:r>
            <w:r>
              <w:rPr>
                <w:rFonts w:ascii="Arial" w:hAnsi="Arial" w:cs="Arial"/>
                <w:sz w:val="20"/>
                <w:szCs w:val="20"/>
              </w:rPr>
              <w:t>eature</w:t>
            </w:r>
          </w:p>
        </w:tc>
        <w:tc>
          <w:tcPr>
            <w:tcW w:w="328" w:type="dxa"/>
            <w:tcBorders>
              <w:top w:val="nil"/>
              <w:bottom w:val="nil"/>
            </w:tcBorders>
          </w:tcPr>
          <w:p w14:paraId="37546D7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3CF866B7" w14:textId="7838AE52" w:rsidR="003A2C50" w:rsidRPr="00DA05F7" w:rsidRDefault="003A2C50" w:rsidP="003A2C50">
            <w:pPr>
              <w:jc w:val="right"/>
              <w:rPr>
                <w:rFonts w:ascii="Arial" w:hAnsi="Arial" w:cs="Arial"/>
                <w:b/>
                <w:sz w:val="20"/>
                <w:szCs w:val="20"/>
              </w:rPr>
            </w:pPr>
            <w:r>
              <w:rPr>
                <w:rFonts w:ascii="Arial" w:hAnsi="Arial" w:cs="Arial"/>
                <w:b/>
                <w:sz w:val="20"/>
                <w:szCs w:val="20"/>
              </w:rPr>
              <w:t>55,927</w:t>
            </w:r>
          </w:p>
        </w:tc>
        <w:tc>
          <w:tcPr>
            <w:tcW w:w="328" w:type="dxa"/>
            <w:tcBorders>
              <w:top w:val="nil"/>
              <w:bottom w:val="nil"/>
            </w:tcBorders>
          </w:tcPr>
          <w:p w14:paraId="20895752"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4FE79A4A" w14:textId="4C08F7DC" w:rsidR="003A2C50" w:rsidRPr="003A2C50" w:rsidRDefault="003A2C50" w:rsidP="003A2C50">
            <w:pPr>
              <w:jc w:val="right"/>
              <w:rPr>
                <w:rFonts w:ascii="Arial" w:hAnsi="Arial" w:cs="Arial"/>
                <w:bCs/>
                <w:sz w:val="20"/>
                <w:szCs w:val="20"/>
              </w:rPr>
            </w:pPr>
            <w:r w:rsidRPr="003A2C50">
              <w:rPr>
                <w:rFonts w:ascii="Arial" w:hAnsi="Arial" w:cs="Arial"/>
                <w:bCs/>
                <w:sz w:val="20"/>
                <w:szCs w:val="20"/>
              </w:rPr>
              <w:t>22,565</w:t>
            </w:r>
          </w:p>
        </w:tc>
      </w:tr>
      <w:tr w:rsidR="003A2C50" w:rsidRPr="00FC3890" w14:paraId="2246B742" w14:textId="77777777" w:rsidTr="00372D83">
        <w:tc>
          <w:tcPr>
            <w:tcW w:w="5093" w:type="dxa"/>
            <w:tcBorders>
              <w:top w:val="nil"/>
              <w:bottom w:val="single" w:sz="4" w:space="0" w:color="auto"/>
            </w:tcBorders>
          </w:tcPr>
          <w:p w14:paraId="07110B38" w14:textId="16A6EA5B" w:rsidR="003A2C50" w:rsidRPr="00FC3890" w:rsidRDefault="003A2C50" w:rsidP="003A2C50">
            <w:pPr>
              <w:jc w:val="both"/>
              <w:rPr>
                <w:rFonts w:ascii="Arial" w:hAnsi="Arial" w:cs="Arial"/>
                <w:sz w:val="20"/>
                <w:szCs w:val="20"/>
              </w:rPr>
            </w:pPr>
            <w:r w:rsidRPr="00731EA5">
              <w:rPr>
                <w:rFonts w:ascii="Arial" w:hAnsi="Arial" w:cs="Arial"/>
                <w:sz w:val="20"/>
                <w:szCs w:val="20"/>
              </w:rPr>
              <w:t>Current portion of warrant liability</w:t>
            </w:r>
            <w:r w:rsidDel="00B20E54">
              <w:rPr>
                <w:rFonts w:ascii="Arial" w:hAnsi="Arial" w:cs="Arial"/>
                <w:sz w:val="20"/>
                <w:szCs w:val="20"/>
              </w:rPr>
              <w:t xml:space="preserve"> </w:t>
            </w:r>
          </w:p>
        </w:tc>
        <w:tc>
          <w:tcPr>
            <w:tcW w:w="328" w:type="dxa"/>
            <w:tcBorders>
              <w:top w:val="nil"/>
              <w:bottom w:val="single" w:sz="4" w:space="0" w:color="auto"/>
            </w:tcBorders>
          </w:tcPr>
          <w:p w14:paraId="33E814CC" w14:textId="77777777" w:rsidR="003A2C50" w:rsidRPr="00DA05F7" w:rsidRDefault="003A2C50" w:rsidP="003A2C50">
            <w:pPr>
              <w:jc w:val="both"/>
              <w:rPr>
                <w:rFonts w:ascii="Arial" w:hAnsi="Arial" w:cs="Arial"/>
                <w:b/>
                <w:sz w:val="20"/>
                <w:szCs w:val="20"/>
              </w:rPr>
            </w:pPr>
          </w:p>
        </w:tc>
        <w:tc>
          <w:tcPr>
            <w:tcW w:w="1832" w:type="dxa"/>
            <w:tcBorders>
              <w:top w:val="nil"/>
              <w:bottom w:val="single" w:sz="4" w:space="0" w:color="auto"/>
            </w:tcBorders>
          </w:tcPr>
          <w:p w14:paraId="6972AB73" w14:textId="654F566E" w:rsidR="003A2C50" w:rsidRPr="00DA05F7" w:rsidRDefault="003A2C50" w:rsidP="003A2C50">
            <w:pPr>
              <w:jc w:val="right"/>
              <w:rPr>
                <w:rFonts w:ascii="Arial" w:hAnsi="Arial" w:cs="Arial"/>
                <w:b/>
                <w:sz w:val="20"/>
                <w:szCs w:val="20"/>
              </w:rPr>
            </w:pPr>
            <w:r>
              <w:rPr>
                <w:rFonts w:ascii="Arial" w:hAnsi="Arial" w:cs="Arial"/>
                <w:b/>
                <w:sz w:val="20"/>
                <w:szCs w:val="20"/>
              </w:rPr>
              <w:t>6,173</w:t>
            </w:r>
          </w:p>
        </w:tc>
        <w:tc>
          <w:tcPr>
            <w:tcW w:w="328" w:type="dxa"/>
            <w:tcBorders>
              <w:top w:val="nil"/>
              <w:bottom w:val="single" w:sz="4" w:space="0" w:color="auto"/>
            </w:tcBorders>
          </w:tcPr>
          <w:p w14:paraId="6F2856B5" w14:textId="77777777" w:rsidR="003A2C50" w:rsidRPr="00FC3890" w:rsidRDefault="003A2C50" w:rsidP="003A2C50">
            <w:pPr>
              <w:jc w:val="both"/>
              <w:rPr>
                <w:rFonts w:ascii="Arial" w:hAnsi="Arial" w:cs="Arial"/>
                <w:sz w:val="20"/>
                <w:szCs w:val="20"/>
              </w:rPr>
            </w:pPr>
          </w:p>
        </w:tc>
        <w:tc>
          <w:tcPr>
            <w:tcW w:w="1767" w:type="dxa"/>
            <w:tcBorders>
              <w:top w:val="nil"/>
              <w:bottom w:val="single" w:sz="4" w:space="0" w:color="auto"/>
            </w:tcBorders>
          </w:tcPr>
          <w:p w14:paraId="79934839" w14:textId="6508862E" w:rsidR="003A2C50" w:rsidRPr="003A2C50" w:rsidRDefault="003A2C50" w:rsidP="003A2C50">
            <w:pPr>
              <w:jc w:val="right"/>
              <w:rPr>
                <w:rFonts w:ascii="Arial" w:hAnsi="Arial" w:cs="Arial"/>
                <w:bCs/>
                <w:sz w:val="20"/>
                <w:szCs w:val="20"/>
              </w:rPr>
            </w:pPr>
            <w:r w:rsidRPr="003A2C50">
              <w:rPr>
                <w:rFonts w:ascii="Arial" w:hAnsi="Arial" w:cs="Arial"/>
                <w:bCs/>
                <w:sz w:val="20"/>
                <w:szCs w:val="20"/>
              </w:rPr>
              <w:t>4,474</w:t>
            </w:r>
          </w:p>
        </w:tc>
      </w:tr>
      <w:tr w:rsidR="003A2C50" w:rsidRPr="00FC3890" w14:paraId="6ECFD028" w14:textId="77777777" w:rsidTr="00372D83">
        <w:tc>
          <w:tcPr>
            <w:tcW w:w="5093" w:type="dxa"/>
            <w:tcBorders>
              <w:top w:val="single" w:sz="4" w:space="0" w:color="auto"/>
              <w:bottom w:val="single" w:sz="4" w:space="0" w:color="auto"/>
            </w:tcBorders>
          </w:tcPr>
          <w:p w14:paraId="1A54E25B" w14:textId="77777777" w:rsidR="003A2C50" w:rsidRPr="00C90A0A" w:rsidRDefault="003A2C50" w:rsidP="003A2C50">
            <w:pPr>
              <w:jc w:val="both"/>
              <w:rPr>
                <w:rFonts w:ascii="Arial" w:hAnsi="Arial" w:cs="Arial"/>
                <w:sz w:val="20"/>
                <w:szCs w:val="20"/>
              </w:rPr>
            </w:pPr>
            <w:r w:rsidRPr="00C90A0A">
              <w:rPr>
                <w:rFonts w:ascii="Arial" w:hAnsi="Arial" w:cs="Arial"/>
                <w:sz w:val="20"/>
                <w:szCs w:val="20"/>
              </w:rPr>
              <w:t>Total Current Liabilities</w:t>
            </w:r>
          </w:p>
        </w:tc>
        <w:tc>
          <w:tcPr>
            <w:tcW w:w="328" w:type="dxa"/>
            <w:tcBorders>
              <w:top w:val="single" w:sz="4" w:space="0" w:color="auto"/>
              <w:bottom w:val="single" w:sz="4" w:space="0" w:color="auto"/>
            </w:tcBorders>
          </w:tcPr>
          <w:p w14:paraId="457C7BA0" w14:textId="77777777" w:rsidR="003A2C50" w:rsidRPr="00DA05F7" w:rsidRDefault="003A2C50" w:rsidP="003A2C50">
            <w:pPr>
              <w:jc w:val="both"/>
              <w:rPr>
                <w:rFonts w:ascii="Arial" w:hAnsi="Arial" w:cs="Arial"/>
                <w:b/>
                <w:sz w:val="20"/>
                <w:szCs w:val="20"/>
              </w:rPr>
            </w:pPr>
          </w:p>
        </w:tc>
        <w:tc>
          <w:tcPr>
            <w:tcW w:w="1832" w:type="dxa"/>
            <w:tcBorders>
              <w:top w:val="single" w:sz="4" w:space="0" w:color="auto"/>
              <w:bottom w:val="single" w:sz="4" w:space="0" w:color="auto"/>
            </w:tcBorders>
          </w:tcPr>
          <w:p w14:paraId="539F764D" w14:textId="57C14C59" w:rsidR="003A2C50" w:rsidRPr="00DA05F7" w:rsidRDefault="003A2C50" w:rsidP="003A2C50">
            <w:pPr>
              <w:jc w:val="right"/>
              <w:rPr>
                <w:rFonts w:ascii="Arial" w:hAnsi="Arial" w:cs="Arial"/>
                <w:b/>
                <w:sz w:val="20"/>
                <w:szCs w:val="20"/>
              </w:rPr>
            </w:pPr>
            <w:r>
              <w:rPr>
                <w:rFonts w:ascii="Arial" w:hAnsi="Arial" w:cs="Arial"/>
                <w:b/>
                <w:sz w:val="20"/>
                <w:szCs w:val="20"/>
              </w:rPr>
              <w:t>5,171,355</w:t>
            </w:r>
          </w:p>
        </w:tc>
        <w:tc>
          <w:tcPr>
            <w:tcW w:w="328" w:type="dxa"/>
            <w:tcBorders>
              <w:top w:val="single" w:sz="4" w:space="0" w:color="auto"/>
              <w:bottom w:val="single" w:sz="4" w:space="0" w:color="auto"/>
            </w:tcBorders>
          </w:tcPr>
          <w:p w14:paraId="278A4543" w14:textId="77777777" w:rsidR="003A2C50" w:rsidRPr="00C90A0A" w:rsidRDefault="003A2C50" w:rsidP="003A2C50">
            <w:pPr>
              <w:jc w:val="both"/>
              <w:rPr>
                <w:rFonts w:ascii="Arial" w:hAnsi="Arial" w:cs="Arial"/>
                <w:sz w:val="20"/>
                <w:szCs w:val="20"/>
              </w:rPr>
            </w:pPr>
          </w:p>
        </w:tc>
        <w:tc>
          <w:tcPr>
            <w:tcW w:w="1767" w:type="dxa"/>
            <w:tcBorders>
              <w:top w:val="single" w:sz="4" w:space="0" w:color="auto"/>
              <w:bottom w:val="single" w:sz="4" w:space="0" w:color="auto"/>
            </w:tcBorders>
          </w:tcPr>
          <w:p w14:paraId="7E8FD448" w14:textId="78E4A619" w:rsidR="003A2C50" w:rsidRPr="003A2C50" w:rsidRDefault="003A2C50" w:rsidP="003A2C50">
            <w:pPr>
              <w:jc w:val="right"/>
              <w:rPr>
                <w:rFonts w:ascii="Arial" w:hAnsi="Arial" w:cs="Arial"/>
                <w:bCs/>
                <w:sz w:val="20"/>
                <w:szCs w:val="20"/>
              </w:rPr>
            </w:pPr>
            <w:r w:rsidRPr="003A2C50">
              <w:rPr>
                <w:rFonts w:ascii="Arial" w:hAnsi="Arial" w:cs="Arial"/>
                <w:bCs/>
                <w:sz w:val="20"/>
                <w:szCs w:val="20"/>
              </w:rPr>
              <w:t>3,258,043</w:t>
            </w:r>
          </w:p>
        </w:tc>
      </w:tr>
      <w:tr w:rsidR="003C5740" w:rsidRPr="00FC3890" w14:paraId="3490ED16" w14:textId="77777777" w:rsidTr="00372D83">
        <w:tc>
          <w:tcPr>
            <w:tcW w:w="5093" w:type="dxa"/>
            <w:tcBorders>
              <w:top w:val="single" w:sz="4" w:space="0" w:color="auto"/>
            </w:tcBorders>
          </w:tcPr>
          <w:p w14:paraId="35716E11" w14:textId="77777777" w:rsidR="003C5740" w:rsidRPr="00C90A0A" w:rsidRDefault="003C5740" w:rsidP="003C5740">
            <w:pPr>
              <w:jc w:val="both"/>
              <w:rPr>
                <w:rFonts w:ascii="Arial" w:hAnsi="Arial" w:cs="Arial"/>
                <w:sz w:val="20"/>
                <w:szCs w:val="20"/>
              </w:rPr>
            </w:pPr>
          </w:p>
        </w:tc>
        <w:tc>
          <w:tcPr>
            <w:tcW w:w="328" w:type="dxa"/>
            <w:tcBorders>
              <w:top w:val="single" w:sz="4" w:space="0" w:color="auto"/>
            </w:tcBorders>
          </w:tcPr>
          <w:p w14:paraId="5B984C6E" w14:textId="77777777" w:rsidR="003C5740" w:rsidRPr="00DA05F7" w:rsidRDefault="003C5740" w:rsidP="003C5740">
            <w:pPr>
              <w:jc w:val="both"/>
              <w:rPr>
                <w:rFonts w:ascii="Arial" w:hAnsi="Arial" w:cs="Arial"/>
                <w:b/>
                <w:sz w:val="20"/>
                <w:szCs w:val="20"/>
              </w:rPr>
            </w:pPr>
          </w:p>
        </w:tc>
        <w:tc>
          <w:tcPr>
            <w:tcW w:w="1832" w:type="dxa"/>
            <w:tcBorders>
              <w:top w:val="single" w:sz="4" w:space="0" w:color="auto"/>
            </w:tcBorders>
          </w:tcPr>
          <w:p w14:paraId="7CB8F205" w14:textId="77777777" w:rsidR="003C5740" w:rsidRPr="00DA05F7" w:rsidRDefault="003C5740" w:rsidP="003C5740">
            <w:pPr>
              <w:jc w:val="right"/>
              <w:rPr>
                <w:rFonts w:ascii="Arial" w:hAnsi="Arial" w:cs="Arial"/>
                <w:b/>
                <w:sz w:val="20"/>
                <w:szCs w:val="20"/>
              </w:rPr>
            </w:pPr>
          </w:p>
        </w:tc>
        <w:tc>
          <w:tcPr>
            <w:tcW w:w="328" w:type="dxa"/>
            <w:tcBorders>
              <w:top w:val="single" w:sz="4" w:space="0" w:color="auto"/>
            </w:tcBorders>
          </w:tcPr>
          <w:p w14:paraId="5E29B6C1" w14:textId="77777777" w:rsidR="003C5740" w:rsidRPr="00C90A0A" w:rsidRDefault="003C5740" w:rsidP="003C5740">
            <w:pPr>
              <w:jc w:val="both"/>
              <w:rPr>
                <w:rFonts w:ascii="Arial" w:hAnsi="Arial" w:cs="Arial"/>
                <w:sz w:val="20"/>
                <w:szCs w:val="20"/>
              </w:rPr>
            </w:pPr>
          </w:p>
        </w:tc>
        <w:tc>
          <w:tcPr>
            <w:tcW w:w="1767" w:type="dxa"/>
            <w:tcBorders>
              <w:top w:val="single" w:sz="4" w:space="0" w:color="auto"/>
            </w:tcBorders>
          </w:tcPr>
          <w:p w14:paraId="0154FD95" w14:textId="77777777" w:rsidR="003C5740" w:rsidRPr="003C5740" w:rsidRDefault="003C5740" w:rsidP="003C5740">
            <w:pPr>
              <w:jc w:val="right"/>
              <w:rPr>
                <w:rFonts w:ascii="Arial" w:hAnsi="Arial" w:cs="Arial"/>
                <w:sz w:val="20"/>
                <w:szCs w:val="20"/>
              </w:rPr>
            </w:pPr>
          </w:p>
        </w:tc>
      </w:tr>
      <w:tr w:rsidR="003C5740" w:rsidRPr="00FC3890" w14:paraId="34FB2B2A" w14:textId="77777777" w:rsidTr="00FC3890">
        <w:tc>
          <w:tcPr>
            <w:tcW w:w="5093" w:type="dxa"/>
          </w:tcPr>
          <w:p w14:paraId="36E42210"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Working Capital</w:t>
            </w:r>
          </w:p>
        </w:tc>
        <w:tc>
          <w:tcPr>
            <w:tcW w:w="328" w:type="dxa"/>
          </w:tcPr>
          <w:p w14:paraId="68FB8036" w14:textId="77777777" w:rsidR="003C5740" w:rsidRPr="00DA05F7" w:rsidRDefault="003C5740" w:rsidP="003C5740">
            <w:pPr>
              <w:jc w:val="both"/>
              <w:rPr>
                <w:rFonts w:ascii="Arial" w:hAnsi="Arial" w:cs="Arial"/>
                <w:b/>
                <w:sz w:val="20"/>
                <w:szCs w:val="20"/>
              </w:rPr>
            </w:pPr>
            <w:r w:rsidRPr="00DA05F7">
              <w:rPr>
                <w:rFonts w:ascii="Arial" w:hAnsi="Arial" w:cs="Arial"/>
                <w:b/>
                <w:sz w:val="20"/>
                <w:szCs w:val="20"/>
              </w:rPr>
              <w:t>$</w:t>
            </w:r>
          </w:p>
        </w:tc>
        <w:tc>
          <w:tcPr>
            <w:tcW w:w="1832" w:type="dxa"/>
          </w:tcPr>
          <w:p w14:paraId="13728936" w14:textId="08E6CDB9" w:rsidR="003C5740" w:rsidRPr="00DA05F7" w:rsidRDefault="00EF2D2F" w:rsidP="00EF2D2F">
            <w:pPr>
              <w:ind w:right="-58"/>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3,</w:t>
            </w:r>
            <w:r w:rsidR="00CD0382">
              <w:rPr>
                <w:rFonts w:ascii="Arial" w:hAnsi="Arial" w:cs="Arial"/>
                <w:b/>
                <w:sz w:val="20"/>
                <w:szCs w:val="20"/>
              </w:rPr>
              <w:t>179,272</w:t>
            </w:r>
            <w:r>
              <w:rPr>
                <w:rFonts w:ascii="Arial" w:hAnsi="Arial" w:cs="Arial"/>
                <w:b/>
                <w:sz w:val="20"/>
                <w:szCs w:val="20"/>
              </w:rPr>
              <w:t>)</w:t>
            </w:r>
          </w:p>
        </w:tc>
        <w:tc>
          <w:tcPr>
            <w:tcW w:w="328" w:type="dxa"/>
          </w:tcPr>
          <w:p w14:paraId="2C069E2E"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w:t>
            </w:r>
          </w:p>
        </w:tc>
        <w:tc>
          <w:tcPr>
            <w:tcW w:w="1767" w:type="dxa"/>
          </w:tcPr>
          <w:p w14:paraId="14EF2215" w14:textId="1F45BDDA" w:rsidR="003C5740" w:rsidRPr="003A2C50" w:rsidRDefault="003A2C50" w:rsidP="00EF2D2F">
            <w:pPr>
              <w:ind w:right="-48"/>
              <w:jc w:val="right"/>
              <w:rPr>
                <w:rFonts w:ascii="Arial" w:hAnsi="Arial" w:cs="Arial"/>
                <w:bCs/>
                <w:sz w:val="20"/>
                <w:szCs w:val="20"/>
              </w:rPr>
            </w:pPr>
            <w:r w:rsidRPr="003A2C50">
              <w:rPr>
                <w:rFonts w:ascii="Arial" w:hAnsi="Arial" w:cs="Arial"/>
                <w:bCs/>
                <w:sz w:val="20"/>
                <w:szCs w:val="20"/>
              </w:rPr>
              <w:t>(3,070,900)</w:t>
            </w:r>
          </w:p>
        </w:tc>
      </w:tr>
    </w:tbl>
    <w:p w14:paraId="5E7119DE" w14:textId="77777777" w:rsidR="00B043B6" w:rsidRDefault="00B043B6" w:rsidP="00DA05F7">
      <w:pPr>
        <w:keepNext/>
        <w:tabs>
          <w:tab w:val="left" w:pos="540"/>
        </w:tabs>
        <w:suppressAutoHyphens/>
        <w:spacing w:after="0"/>
        <w:jc w:val="both"/>
        <w:rPr>
          <w:rFonts w:ascii="Arial" w:hAnsi="Arial" w:cs="Arial"/>
          <w:b/>
          <w:i/>
          <w:sz w:val="20"/>
          <w:szCs w:val="20"/>
          <w:u w:val="single"/>
        </w:rPr>
      </w:pPr>
    </w:p>
    <w:p w14:paraId="1D504A99" w14:textId="77777777" w:rsidR="00C773A2" w:rsidRDefault="00C773A2">
      <w:pPr>
        <w:rPr>
          <w:rFonts w:ascii="Arial" w:eastAsia="Times New Roman" w:hAnsi="Arial" w:cs="Arial"/>
          <w:b/>
          <w:bCs/>
          <w:i/>
          <w:color w:val="000000"/>
          <w:sz w:val="20"/>
          <w:szCs w:val="20"/>
          <w:u w:val="single"/>
        </w:rPr>
      </w:pPr>
      <w:r>
        <w:rPr>
          <w:i/>
          <w:color w:val="000000"/>
          <w:sz w:val="20"/>
          <w:u w:val="single"/>
        </w:rPr>
        <w:br w:type="page"/>
      </w:r>
    </w:p>
    <w:p w14:paraId="41D4C526" w14:textId="77777777" w:rsidR="00C773A2" w:rsidRDefault="00C773A2" w:rsidP="00DA05F7">
      <w:pPr>
        <w:pStyle w:val="Heading7"/>
        <w:tabs>
          <w:tab w:val="left" w:pos="540"/>
        </w:tabs>
        <w:rPr>
          <w:i/>
          <w:color w:val="000000"/>
          <w:sz w:val="20"/>
          <w:u w:val="single"/>
        </w:rPr>
      </w:pPr>
    </w:p>
    <w:p w14:paraId="51ABBF30" w14:textId="2C4A84C8" w:rsidR="00FC3890" w:rsidRDefault="00453FBE" w:rsidP="00DA05F7">
      <w:pPr>
        <w:pStyle w:val="Heading7"/>
        <w:tabs>
          <w:tab w:val="left" w:pos="540"/>
        </w:tabs>
        <w:rPr>
          <w:i/>
          <w:color w:val="000000"/>
          <w:sz w:val="20"/>
          <w:u w:val="single"/>
        </w:rPr>
      </w:pPr>
      <w:r w:rsidRPr="00DA05F7">
        <w:rPr>
          <w:i/>
          <w:color w:val="000000"/>
          <w:sz w:val="20"/>
          <w:u w:val="single"/>
        </w:rPr>
        <w:t>Cash Flow</w:t>
      </w:r>
    </w:p>
    <w:p w14:paraId="5710E540" w14:textId="77777777" w:rsidR="00DA05F7" w:rsidRPr="00DA05F7" w:rsidRDefault="00DA05F7" w:rsidP="00DA05F7">
      <w:pPr>
        <w:spacing w:after="0"/>
      </w:pP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23"/>
        <w:gridCol w:w="1688"/>
        <w:gridCol w:w="323"/>
        <w:gridCol w:w="1056"/>
        <w:gridCol w:w="323"/>
        <w:gridCol w:w="1544"/>
        <w:gridCol w:w="284"/>
        <w:gridCol w:w="1587"/>
      </w:tblGrid>
      <w:tr w:rsidR="00732B04" w:rsidRPr="00770FCE" w14:paraId="63C6C83C" w14:textId="77777777" w:rsidTr="00770FCE">
        <w:trPr>
          <w:trHeight w:val="113"/>
        </w:trPr>
        <w:tc>
          <w:tcPr>
            <w:tcW w:w="2256" w:type="dxa"/>
            <w:tcBorders>
              <w:top w:val="single" w:sz="4" w:space="0" w:color="auto"/>
              <w:bottom w:val="single" w:sz="12" w:space="0" w:color="auto"/>
            </w:tcBorders>
          </w:tcPr>
          <w:p w14:paraId="029C7B6C" w14:textId="77777777" w:rsidR="00732B04" w:rsidRPr="00770FCE" w:rsidRDefault="00732B04" w:rsidP="00732B04">
            <w:pPr>
              <w:tabs>
                <w:tab w:val="left" w:pos="360"/>
              </w:tabs>
              <w:suppressAutoHyphens/>
              <w:rPr>
                <w:rFonts w:ascii="Arial" w:hAnsi="Arial" w:cs="Arial"/>
                <w:sz w:val="20"/>
                <w:szCs w:val="20"/>
              </w:rPr>
            </w:pPr>
          </w:p>
        </w:tc>
        <w:tc>
          <w:tcPr>
            <w:tcW w:w="323" w:type="dxa"/>
            <w:tcBorders>
              <w:top w:val="single" w:sz="4" w:space="0" w:color="auto"/>
              <w:bottom w:val="single" w:sz="12" w:space="0" w:color="auto"/>
            </w:tcBorders>
          </w:tcPr>
          <w:p w14:paraId="6ED25418" w14:textId="77777777" w:rsidR="00732B04" w:rsidRPr="00770FCE" w:rsidRDefault="00732B04" w:rsidP="00FC3890">
            <w:pPr>
              <w:tabs>
                <w:tab w:val="left" w:pos="360"/>
              </w:tabs>
              <w:suppressAutoHyphens/>
              <w:jc w:val="both"/>
              <w:rPr>
                <w:rFonts w:ascii="Arial" w:hAnsi="Arial" w:cs="Arial"/>
                <w:b/>
                <w:sz w:val="20"/>
                <w:szCs w:val="20"/>
              </w:rPr>
            </w:pPr>
          </w:p>
        </w:tc>
        <w:tc>
          <w:tcPr>
            <w:tcW w:w="1688" w:type="dxa"/>
            <w:tcBorders>
              <w:top w:val="single" w:sz="4" w:space="0" w:color="auto"/>
              <w:bottom w:val="single" w:sz="12" w:space="0" w:color="auto"/>
            </w:tcBorders>
          </w:tcPr>
          <w:p w14:paraId="6173D439" w14:textId="3B1281E1" w:rsidR="00732B04" w:rsidRPr="00770FCE" w:rsidRDefault="00732B04" w:rsidP="00987B43">
            <w:pPr>
              <w:tabs>
                <w:tab w:val="left" w:pos="360"/>
              </w:tabs>
              <w:suppressAutoHyphens/>
              <w:jc w:val="right"/>
              <w:rPr>
                <w:rFonts w:ascii="Arial" w:hAnsi="Arial" w:cs="Arial"/>
                <w:b/>
                <w:sz w:val="20"/>
                <w:szCs w:val="20"/>
              </w:rPr>
            </w:pPr>
          </w:p>
        </w:tc>
        <w:tc>
          <w:tcPr>
            <w:tcW w:w="323" w:type="dxa"/>
            <w:tcBorders>
              <w:top w:val="single" w:sz="4" w:space="0" w:color="auto"/>
              <w:bottom w:val="single" w:sz="12" w:space="0" w:color="auto"/>
            </w:tcBorders>
          </w:tcPr>
          <w:p w14:paraId="36B46A4A" w14:textId="77777777" w:rsidR="00732B04" w:rsidRPr="00770FCE" w:rsidRDefault="00732B04" w:rsidP="00987B43">
            <w:pPr>
              <w:tabs>
                <w:tab w:val="left" w:pos="360"/>
              </w:tabs>
              <w:suppressAutoHyphens/>
              <w:jc w:val="right"/>
              <w:rPr>
                <w:rFonts w:ascii="Arial" w:hAnsi="Arial" w:cs="Arial"/>
                <w:b/>
                <w:sz w:val="20"/>
                <w:szCs w:val="20"/>
              </w:rPr>
            </w:pPr>
          </w:p>
        </w:tc>
        <w:tc>
          <w:tcPr>
            <w:tcW w:w="1056" w:type="dxa"/>
            <w:tcBorders>
              <w:top w:val="single" w:sz="4" w:space="0" w:color="auto"/>
              <w:bottom w:val="single" w:sz="12" w:space="0" w:color="auto"/>
            </w:tcBorders>
          </w:tcPr>
          <w:p w14:paraId="79EB6CB1" w14:textId="575A3790" w:rsidR="00732B04" w:rsidRPr="00770FCE" w:rsidRDefault="00732B04" w:rsidP="00987B43">
            <w:pPr>
              <w:tabs>
                <w:tab w:val="left" w:pos="360"/>
              </w:tabs>
              <w:suppressAutoHyphens/>
              <w:jc w:val="right"/>
              <w:rPr>
                <w:rFonts w:ascii="Arial" w:hAnsi="Arial" w:cs="Arial"/>
                <w:sz w:val="20"/>
                <w:szCs w:val="20"/>
              </w:rPr>
            </w:pPr>
          </w:p>
        </w:tc>
        <w:tc>
          <w:tcPr>
            <w:tcW w:w="323" w:type="dxa"/>
            <w:tcBorders>
              <w:top w:val="single" w:sz="4" w:space="0" w:color="auto"/>
              <w:bottom w:val="single" w:sz="12" w:space="0" w:color="auto"/>
            </w:tcBorders>
          </w:tcPr>
          <w:p w14:paraId="483797B4" w14:textId="3FA6B7F1" w:rsidR="00732B04" w:rsidRPr="00770FCE" w:rsidRDefault="00732B04" w:rsidP="00987B43">
            <w:pPr>
              <w:tabs>
                <w:tab w:val="left" w:pos="360"/>
              </w:tabs>
              <w:suppressAutoHyphens/>
              <w:jc w:val="right"/>
              <w:rPr>
                <w:rFonts w:ascii="Arial" w:hAnsi="Arial" w:cs="Arial"/>
                <w:b/>
                <w:sz w:val="20"/>
                <w:szCs w:val="20"/>
              </w:rPr>
            </w:pPr>
          </w:p>
        </w:tc>
        <w:tc>
          <w:tcPr>
            <w:tcW w:w="1544" w:type="dxa"/>
            <w:tcBorders>
              <w:top w:val="single" w:sz="4" w:space="0" w:color="auto"/>
              <w:bottom w:val="single" w:sz="12" w:space="0" w:color="auto"/>
            </w:tcBorders>
          </w:tcPr>
          <w:p w14:paraId="17C3BA73" w14:textId="3713A0B3" w:rsidR="00732B04" w:rsidRPr="00770FCE" w:rsidRDefault="003C5740" w:rsidP="00987B43">
            <w:pPr>
              <w:tabs>
                <w:tab w:val="left" w:pos="360"/>
              </w:tabs>
              <w:suppressAutoHyphens/>
              <w:jc w:val="right"/>
              <w:rPr>
                <w:rFonts w:ascii="Arial" w:hAnsi="Arial" w:cs="Arial"/>
                <w:b/>
                <w:sz w:val="20"/>
                <w:szCs w:val="20"/>
              </w:rPr>
            </w:pPr>
            <w:r w:rsidRPr="00770FCE">
              <w:rPr>
                <w:rFonts w:ascii="Arial" w:hAnsi="Arial" w:cs="Arial"/>
                <w:b/>
                <w:sz w:val="20"/>
                <w:szCs w:val="20"/>
              </w:rPr>
              <w:t>Q1 2019</w:t>
            </w:r>
          </w:p>
        </w:tc>
        <w:tc>
          <w:tcPr>
            <w:tcW w:w="284" w:type="dxa"/>
            <w:tcBorders>
              <w:top w:val="single" w:sz="4" w:space="0" w:color="auto"/>
              <w:bottom w:val="single" w:sz="12" w:space="0" w:color="auto"/>
            </w:tcBorders>
          </w:tcPr>
          <w:p w14:paraId="4AD48107" w14:textId="77777777" w:rsidR="00732B04" w:rsidRPr="00770FCE" w:rsidRDefault="00732B04" w:rsidP="00987B43">
            <w:pPr>
              <w:tabs>
                <w:tab w:val="left" w:pos="360"/>
              </w:tabs>
              <w:suppressAutoHyphens/>
              <w:jc w:val="right"/>
              <w:rPr>
                <w:rFonts w:ascii="Arial" w:hAnsi="Arial" w:cs="Arial"/>
                <w:b/>
                <w:sz w:val="20"/>
                <w:szCs w:val="20"/>
              </w:rPr>
            </w:pPr>
          </w:p>
        </w:tc>
        <w:tc>
          <w:tcPr>
            <w:tcW w:w="1587" w:type="dxa"/>
            <w:tcBorders>
              <w:top w:val="single" w:sz="4" w:space="0" w:color="auto"/>
              <w:bottom w:val="single" w:sz="12" w:space="0" w:color="auto"/>
            </w:tcBorders>
          </w:tcPr>
          <w:p w14:paraId="5566CCAC" w14:textId="277890DD" w:rsidR="00732B04" w:rsidRPr="00770FCE" w:rsidRDefault="003C5740">
            <w:pPr>
              <w:tabs>
                <w:tab w:val="left" w:pos="360"/>
              </w:tabs>
              <w:suppressAutoHyphens/>
              <w:jc w:val="right"/>
              <w:rPr>
                <w:rFonts w:ascii="Arial" w:hAnsi="Arial" w:cs="Arial"/>
                <w:sz w:val="20"/>
                <w:szCs w:val="20"/>
              </w:rPr>
            </w:pPr>
            <w:r w:rsidRPr="00770FCE">
              <w:rPr>
                <w:rFonts w:ascii="Arial" w:hAnsi="Arial" w:cs="Arial"/>
                <w:sz w:val="20"/>
                <w:szCs w:val="20"/>
              </w:rPr>
              <w:t>Q1 2018</w:t>
            </w:r>
          </w:p>
        </w:tc>
      </w:tr>
      <w:tr w:rsidR="00732B04" w:rsidRPr="00770FCE" w14:paraId="7A93BEF7" w14:textId="77777777" w:rsidTr="00770FCE">
        <w:trPr>
          <w:trHeight w:val="113"/>
        </w:trPr>
        <w:tc>
          <w:tcPr>
            <w:tcW w:w="2256" w:type="dxa"/>
            <w:tcBorders>
              <w:top w:val="single" w:sz="12" w:space="0" w:color="auto"/>
            </w:tcBorders>
          </w:tcPr>
          <w:p w14:paraId="5382B905" w14:textId="77777777" w:rsidR="00732B04" w:rsidRPr="00770FCE" w:rsidRDefault="00732B04" w:rsidP="00732B04">
            <w:pPr>
              <w:tabs>
                <w:tab w:val="left" w:pos="360"/>
              </w:tabs>
              <w:suppressAutoHyphens/>
              <w:rPr>
                <w:rFonts w:ascii="Arial" w:hAnsi="Arial" w:cs="Arial"/>
                <w:sz w:val="20"/>
                <w:szCs w:val="20"/>
              </w:rPr>
            </w:pPr>
          </w:p>
        </w:tc>
        <w:tc>
          <w:tcPr>
            <w:tcW w:w="323" w:type="dxa"/>
            <w:tcBorders>
              <w:top w:val="single" w:sz="12" w:space="0" w:color="auto"/>
            </w:tcBorders>
          </w:tcPr>
          <w:p w14:paraId="5900D972" w14:textId="77777777" w:rsidR="00732B04" w:rsidRPr="00770FCE" w:rsidRDefault="00732B04" w:rsidP="00FC3890">
            <w:pPr>
              <w:tabs>
                <w:tab w:val="left" w:pos="360"/>
              </w:tabs>
              <w:suppressAutoHyphens/>
              <w:jc w:val="both"/>
              <w:rPr>
                <w:rFonts w:ascii="Arial" w:hAnsi="Arial" w:cs="Arial"/>
                <w:sz w:val="20"/>
                <w:szCs w:val="20"/>
              </w:rPr>
            </w:pPr>
          </w:p>
        </w:tc>
        <w:tc>
          <w:tcPr>
            <w:tcW w:w="1688" w:type="dxa"/>
            <w:tcBorders>
              <w:top w:val="single" w:sz="12" w:space="0" w:color="auto"/>
            </w:tcBorders>
          </w:tcPr>
          <w:p w14:paraId="10A2C215" w14:textId="77777777" w:rsidR="00732B04" w:rsidRPr="00770FCE" w:rsidRDefault="00732B04" w:rsidP="00FC3890">
            <w:pPr>
              <w:tabs>
                <w:tab w:val="left" w:pos="360"/>
              </w:tabs>
              <w:suppressAutoHyphens/>
              <w:jc w:val="both"/>
              <w:rPr>
                <w:rFonts w:ascii="Arial" w:hAnsi="Arial" w:cs="Arial"/>
                <w:sz w:val="20"/>
                <w:szCs w:val="20"/>
              </w:rPr>
            </w:pPr>
          </w:p>
        </w:tc>
        <w:tc>
          <w:tcPr>
            <w:tcW w:w="323" w:type="dxa"/>
            <w:tcBorders>
              <w:top w:val="single" w:sz="12" w:space="0" w:color="auto"/>
            </w:tcBorders>
          </w:tcPr>
          <w:p w14:paraId="4EFC6709" w14:textId="77777777" w:rsidR="00732B04" w:rsidRPr="00770FCE" w:rsidRDefault="00732B04" w:rsidP="00FC3890">
            <w:pPr>
              <w:tabs>
                <w:tab w:val="left" w:pos="360"/>
              </w:tabs>
              <w:suppressAutoHyphens/>
              <w:jc w:val="both"/>
              <w:rPr>
                <w:rFonts w:ascii="Arial" w:hAnsi="Arial" w:cs="Arial"/>
                <w:sz w:val="20"/>
                <w:szCs w:val="20"/>
              </w:rPr>
            </w:pPr>
          </w:p>
        </w:tc>
        <w:tc>
          <w:tcPr>
            <w:tcW w:w="1056" w:type="dxa"/>
            <w:tcBorders>
              <w:top w:val="single" w:sz="12" w:space="0" w:color="auto"/>
            </w:tcBorders>
          </w:tcPr>
          <w:p w14:paraId="4409A214" w14:textId="77777777" w:rsidR="00732B04" w:rsidRPr="00770FCE" w:rsidRDefault="00732B04" w:rsidP="00FC3890">
            <w:pPr>
              <w:tabs>
                <w:tab w:val="left" w:pos="360"/>
              </w:tabs>
              <w:suppressAutoHyphens/>
              <w:jc w:val="both"/>
              <w:rPr>
                <w:rFonts w:ascii="Arial" w:hAnsi="Arial" w:cs="Arial"/>
                <w:sz w:val="20"/>
                <w:szCs w:val="20"/>
              </w:rPr>
            </w:pPr>
          </w:p>
        </w:tc>
        <w:tc>
          <w:tcPr>
            <w:tcW w:w="323" w:type="dxa"/>
            <w:tcBorders>
              <w:top w:val="single" w:sz="12" w:space="0" w:color="auto"/>
            </w:tcBorders>
          </w:tcPr>
          <w:p w14:paraId="409BC2FD" w14:textId="77777777" w:rsidR="00732B04" w:rsidRPr="00770FCE" w:rsidRDefault="00732B04" w:rsidP="00FC3890">
            <w:pPr>
              <w:tabs>
                <w:tab w:val="left" w:pos="360"/>
              </w:tabs>
              <w:suppressAutoHyphens/>
              <w:jc w:val="both"/>
              <w:rPr>
                <w:rFonts w:ascii="Arial" w:hAnsi="Arial" w:cs="Arial"/>
                <w:sz w:val="20"/>
                <w:szCs w:val="20"/>
              </w:rPr>
            </w:pPr>
          </w:p>
        </w:tc>
        <w:tc>
          <w:tcPr>
            <w:tcW w:w="1544" w:type="dxa"/>
            <w:tcBorders>
              <w:top w:val="single" w:sz="12" w:space="0" w:color="auto"/>
            </w:tcBorders>
          </w:tcPr>
          <w:p w14:paraId="32944911" w14:textId="77777777" w:rsidR="00732B04" w:rsidRPr="00770FCE" w:rsidRDefault="00732B04" w:rsidP="00FC3890">
            <w:pPr>
              <w:tabs>
                <w:tab w:val="left" w:pos="360"/>
              </w:tabs>
              <w:suppressAutoHyphens/>
              <w:jc w:val="both"/>
              <w:rPr>
                <w:rFonts w:ascii="Arial" w:hAnsi="Arial" w:cs="Arial"/>
                <w:sz w:val="20"/>
                <w:szCs w:val="20"/>
              </w:rPr>
            </w:pPr>
          </w:p>
        </w:tc>
        <w:tc>
          <w:tcPr>
            <w:tcW w:w="284" w:type="dxa"/>
            <w:tcBorders>
              <w:top w:val="single" w:sz="12" w:space="0" w:color="auto"/>
            </w:tcBorders>
          </w:tcPr>
          <w:p w14:paraId="7DC3CCE4" w14:textId="77777777" w:rsidR="00732B04" w:rsidRPr="00770FCE" w:rsidRDefault="00732B04" w:rsidP="00FC3890">
            <w:pPr>
              <w:tabs>
                <w:tab w:val="left" w:pos="360"/>
              </w:tabs>
              <w:suppressAutoHyphens/>
              <w:jc w:val="both"/>
              <w:rPr>
                <w:rFonts w:ascii="Arial" w:hAnsi="Arial" w:cs="Arial"/>
                <w:sz w:val="20"/>
                <w:szCs w:val="20"/>
              </w:rPr>
            </w:pPr>
          </w:p>
        </w:tc>
        <w:tc>
          <w:tcPr>
            <w:tcW w:w="1587" w:type="dxa"/>
            <w:tcBorders>
              <w:top w:val="single" w:sz="12" w:space="0" w:color="auto"/>
            </w:tcBorders>
          </w:tcPr>
          <w:p w14:paraId="5B983E1D" w14:textId="77777777" w:rsidR="00732B04" w:rsidRPr="00770FCE" w:rsidRDefault="00732B04" w:rsidP="00FC3890">
            <w:pPr>
              <w:tabs>
                <w:tab w:val="left" w:pos="360"/>
              </w:tabs>
              <w:suppressAutoHyphens/>
              <w:jc w:val="both"/>
              <w:rPr>
                <w:rFonts w:ascii="Arial" w:hAnsi="Arial" w:cs="Arial"/>
                <w:sz w:val="20"/>
                <w:szCs w:val="20"/>
              </w:rPr>
            </w:pPr>
          </w:p>
        </w:tc>
      </w:tr>
      <w:tr w:rsidR="00770FCE" w:rsidRPr="00770FCE" w14:paraId="504134E9" w14:textId="77777777" w:rsidTr="005435FC">
        <w:trPr>
          <w:trHeight w:val="113"/>
        </w:trPr>
        <w:tc>
          <w:tcPr>
            <w:tcW w:w="4590" w:type="dxa"/>
            <w:gridSpan w:val="4"/>
          </w:tcPr>
          <w:p w14:paraId="39CBF2C1" w14:textId="7CBD3658" w:rsidR="00770FCE" w:rsidRPr="00770FCE" w:rsidRDefault="00770FCE" w:rsidP="00FC3890">
            <w:pPr>
              <w:tabs>
                <w:tab w:val="left" w:pos="360"/>
              </w:tabs>
              <w:suppressAutoHyphens/>
              <w:jc w:val="both"/>
              <w:rPr>
                <w:rFonts w:ascii="Arial" w:hAnsi="Arial" w:cs="Arial"/>
                <w:sz w:val="20"/>
                <w:szCs w:val="20"/>
              </w:rPr>
            </w:pPr>
            <w:r w:rsidRPr="00770FCE">
              <w:rPr>
                <w:rFonts w:ascii="Arial" w:hAnsi="Arial" w:cs="Arial"/>
                <w:sz w:val="20"/>
                <w:szCs w:val="20"/>
              </w:rPr>
              <w:t>Net cash used in operating activities</w:t>
            </w:r>
          </w:p>
        </w:tc>
        <w:tc>
          <w:tcPr>
            <w:tcW w:w="1056" w:type="dxa"/>
          </w:tcPr>
          <w:p w14:paraId="72D9C1D9" w14:textId="500D6429" w:rsidR="00770FCE" w:rsidRPr="00770FCE" w:rsidRDefault="00770FCE" w:rsidP="00DA05F7">
            <w:pPr>
              <w:tabs>
                <w:tab w:val="left" w:pos="360"/>
              </w:tabs>
              <w:suppressAutoHyphens/>
              <w:jc w:val="right"/>
              <w:rPr>
                <w:rFonts w:ascii="Arial" w:hAnsi="Arial" w:cs="Arial"/>
                <w:sz w:val="20"/>
                <w:szCs w:val="20"/>
              </w:rPr>
            </w:pPr>
          </w:p>
        </w:tc>
        <w:tc>
          <w:tcPr>
            <w:tcW w:w="323" w:type="dxa"/>
          </w:tcPr>
          <w:p w14:paraId="049075A9" w14:textId="57B5C1D4" w:rsidR="00770FCE" w:rsidRPr="00770FCE" w:rsidRDefault="00770FCE" w:rsidP="00DA05F7">
            <w:pPr>
              <w:tabs>
                <w:tab w:val="left" w:pos="360"/>
              </w:tabs>
              <w:suppressAutoHyphens/>
              <w:jc w:val="right"/>
              <w:rPr>
                <w:rFonts w:ascii="Arial" w:hAnsi="Arial" w:cs="Arial"/>
                <w:b/>
                <w:sz w:val="20"/>
                <w:szCs w:val="20"/>
              </w:rPr>
            </w:pPr>
            <w:r w:rsidRPr="00770FCE">
              <w:rPr>
                <w:rFonts w:ascii="Arial" w:hAnsi="Arial" w:cs="Arial"/>
                <w:b/>
                <w:sz w:val="20"/>
                <w:szCs w:val="20"/>
              </w:rPr>
              <w:t>$</w:t>
            </w:r>
          </w:p>
        </w:tc>
        <w:tc>
          <w:tcPr>
            <w:tcW w:w="1544" w:type="dxa"/>
          </w:tcPr>
          <w:p w14:paraId="34FE9176" w14:textId="36FC9377" w:rsidR="00770FCE" w:rsidRPr="00770FCE" w:rsidRDefault="00770FCE" w:rsidP="00DF5EEB">
            <w:pPr>
              <w:tabs>
                <w:tab w:val="left" w:pos="360"/>
              </w:tabs>
              <w:suppressAutoHyphens/>
              <w:ind w:right="-60"/>
              <w:jc w:val="right"/>
              <w:rPr>
                <w:rFonts w:ascii="Arial" w:hAnsi="Arial" w:cs="Arial"/>
                <w:b/>
                <w:sz w:val="20"/>
                <w:szCs w:val="20"/>
              </w:rPr>
            </w:pPr>
            <w:r w:rsidRPr="00770FCE">
              <w:rPr>
                <w:rFonts w:ascii="Arial" w:hAnsi="Arial" w:cs="Arial"/>
                <w:b/>
                <w:sz w:val="20"/>
                <w:szCs w:val="20"/>
              </w:rPr>
              <w:t>(219,21</w:t>
            </w:r>
            <w:r w:rsidR="00DF5EEB">
              <w:rPr>
                <w:rFonts w:ascii="Arial" w:hAnsi="Arial" w:cs="Arial"/>
                <w:b/>
                <w:sz w:val="20"/>
                <w:szCs w:val="20"/>
              </w:rPr>
              <w:t>2</w:t>
            </w:r>
            <w:r w:rsidRPr="00770FCE">
              <w:rPr>
                <w:rFonts w:ascii="Arial" w:hAnsi="Arial" w:cs="Arial"/>
                <w:b/>
                <w:sz w:val="20"/>
                <w:szCs w:val="20"/>
              </w:rPr>
              <w:t>)</w:t>
            </w:r>
          </w:p>
        </w:tc>
        <w:tc>
          <w:tcPr>
            <w:tcW w:w="284" w:type="dxa"/>
          </w:tcPr>
          <w:p w14:paraId="251F3722" w14:textId="77777777" w:rsidR="00770FCE" w:rsidRPr="00770FCE" w:rsidRDefault="00770FCE" w:rsidP="00DA05F7">
            <w:pPr>
              <w:tabs>
                <w:tab w:val="left" w:pos="360"/>
              </w:tabs>
              <w:suppressAutoHyphens/>
              <w:jc w:val="right"/>
              <w:rPr>
                <w:rFonts w:ascii="Arial" w:hAnsi="Arial" w:cs="Arial"/>
                <w:sz w:val="20"/>
                <w:szCs w:val="20"/>
              </w:rPr>
            </w:pPr>
            <w:r w:rsidRPr="00770FCE">
              <w:rPr>
                <w:rFonts w:ascii="Arial" w:hAnsi="Arial" w:cs="Arial"/>
                <w:sz w:val="20"/>
                <w:szCs w:val="20"/>
              </w:rPr>
              <w:t>$</w:t>
            </w:r>
          </w:p>
        </w:tc>
        <w:tc>
          <w:tcPr>
            <w:tcW w:w="1587" w:type="dxa"/>
          </w:tcPr>
          <w:p w14:paraId="3992CFF8" w14:textId="42091877" w:rsidR="00770FCE" w:rsidRPr="00770FCE" w:rsidRDefault="00770FCE" w:rsidP="00DF5EEB">
            <w:pPr>
              <w:tabs>
                <w:tab w:val="left" w:pos="360"/>
              </w:tabs>
              <w:suppressAutoHyphens/>
              <w:ind w:right="-44"/>
              <w:jc w:val="right"/>
              <w:rPr>
                <w:rFonts w:ascii="Arial" w:hAnsi="Arial" w:cs="Arial"/>
                <w:sz w:val="20"/>
                <w:szCs w:val="20"/>
              </w:rPr>
            </w:pPr>
            <w:r w:rsidRPr="00770FCE">
              <w:rPr>
                <w:rFonts w:ascii="Arial" w:hAnsi="Arial" w:cs="Arial"/>
                <w:sz w:val="20"/>
                <w:szCs w:val="20"/>
              </w:rPr>
              <w:t>(202,712)</w:t>
            </w:r>
          </w:p>
        </w:tc>
      </w:tr>
      <w:tr w:rsidR="00732B04" w:rsidRPr="00770FCE" w14:paraId="086CB1A4" w14:textId="77777777" w:rsidTr="00731EA5">
        <w:trPr>
          <w:trHeight w:val="113"/>
        </w:trPr>
        <w:tc>
          <w:tcPr>
            <w:tcW w:w="2256" w:type="dxa"/>
          </w:tcPr>
          <w:p w14:paraId="7097A3FC" w14:textId="77777777" w:rsidR="00732B04" w:rsidRPr="00770FCE" w:rsidRDefault="00732B04" w:rsidP="00732B04">
            <w:pPr>
              <w:pStyle w:val="ListParagraph"/>
              <w:tabs>
                <w:tab w:val="left" w:pos="360"/>
              </w:tabs>
              <w:suppressAutoHyphens/>
              <w:ind w:left="360"/>
              <w:rPr>
                <w:rFonts w:ascii="Arial" w:hAnsi="Arial" w:cs="Arial"/>
                <w:sz w:val="20"/>
                <w:szCs w:val="20"/>
              </w:rPr>
            </w:pPr>
          </w:p>
        </w:tc>
        <w:tc>
          <w:tcPr>
            <w:tcW w:w="323" w:type="dxa"/>
          </w:tcPr>
          <w:p w14:paraId="2DA17A7D" w14:textId="77777777" w:rsidR="00732B04" w:rsidRPr="00770FCE" w:rsidRDefault="00732B04" w:rsidP="00FC3890">
            <w:pPr>
              <w:tabs>
                <w:tab w:val="left" w:pos="360"/>
              </w:tabs>
              <w:suppressAutoHyphens/>
              <w:jc w:val="right"/>
              <w:rPr>
                <w:rFonts w:ascii="Arial" w:hAnsi="Arial" w:cs="Arial"/>
                <w:b/>
                <w:sz w:val="20"/>
                <w:szCs w:val="20"/>
              </w:rPr>
            </w:pPr>
          </w:p>
        </w:tc>
        <w:tc>
          <w:tcPr>
            <w:tcW w:w="1688" w:type="dxa"/>
          </w:tcPr>
          <w:p w14:paraId="463146D0" w14:textId="1DB7C230" w:rsidR="00732B04" w:rsidRPr="00770FCE" w:rsidRDefault="00732B04" w:rsidP="00FC3890">
            <w:pPr>
              <w:tabs>
                <w:tab w:val="left" w:pos="360"/>
              </w:tabs>
              <w:suppressAutoHyphens/>
              <w:jc w:val="right"/>
              <w:rPr>
                <w:rFonts w:ascii="Arial" w:hAnsi="Arial" w:cs="Arial"/>
                <w:b/>
                <w:sz w:val="20"/>
                <w:szCs w:val="20"/>
              </w:rPr>
            </w:pPr>
          </w:p>
        </w:tc>
        <w:tc>
          <w:tcPr>
            <w:tcW w:w="323" w:type="dxa"/>
          </w:tcPr>
          <w:p w14:paraId="2C44A260" w14:textId="77777777" w:rsidR="00732B04" w:rsidRPr="00770FCE" w:rsidRDefault="00732B04" w:rsidP="00FC3890">
            <w:pPr>
              <w:tabs>
                <w:tab w:val="left" w:pos="360"/>
              </w:tabs>
              <w:suppressAutoHyphens/>
              <w:jc w:val="right"/>
              <w:rPr>
                <w:rFonts w:ascii="Arial" w:hAnsi="Arial" w:cs="Arial"/>
                <w:sz w:val="20"/>
                <w:szCs w:val="20"/>
              </w:rPr>
            </w:pPr>
          </w:p>
        </w:tc>
        <w:tc>
          <w:tcPr>
            <w:tcW w:w="1056" w:type="dxa"/>
          </w:tcPr>
          <w:p w14:paraId="27DFD23A" w14:textId="602CA862" w:rsidR="00732B04" w:rsidRPr="00770FCE" w:rsidRDefault="00732B04" w:rsidP="00FC3890">
            <w:pPr>
              <w:tabs>
                <w:tab w:val="left" w:pos="360"/>
              </w:tabs>
              <w:suppressAutoHyphens/>
              <w:jc w:val="right"/>
              <w:rPr>
                <w:rFonts w:ascii="Arial" w:hAnsi="Arial" w:cs="Arial"/>
                <w:sz w:val="20"/>
                <w:szCs w:val="20"/>
              </w:rPr>
            </w:pPr>
          </w:p>
        </w:tc>
        <w:tc>
          <w:tcPr>
            <w:tcW w:w="323" w:type="dxa"/>
          </w:tcPr>
          <w:p w14:paraId="047AF67B" w14:textId="26EE87E3" w:rsidR="00732B04" w:rsidRPr="00770FCE" w:rsidRDefault="00732B04" w:rsidP="00FC3890">
            <w:pPr>
              <w:tabs>
                <w:tab w:val="left" w:pos="360"/>
              </w:tabs>
              <w:suppressAutoHyphens/>
              <w:jc w:val="right"/>
              <w:rPr>
                <w:rFonts w:ascii="Arial" w:hAnsi="Arial" w:cs="Arial"/>
                <w:b/>
                <w:sz w:val="20"/>
                <w:szCs w:val="20"/>
              </w:rPr>
            </w:pPr>
          </w:p>
        </w:tc>
        <w:tc>
          <w:tcPr>
            <w:tcW w:w="1544" w:type="dxa"/>
          </w:tcPr>
          <w:p w14:paraId="7C4E90F1" w14:textId="77777777" w:rsidR="00732B04" w:rsidRPr="00770FCE" w:rsidRDefault="00732B04" w:rsidP="00FC3890">
            <w:pPr>
              <w:tabs>
                <w:tab w:val="left" w:pos="360"/>
              </w:tabs>
              <w:suppressAutoHyphens/>
              <w:jc w:val="right"/>
              <w:rPr>
                <w:rFonts w:ascii="Arial" w:hAnsi="Arial" w:cs="Arial"/>
                <w:b/>
                <w:sz w:val="20"/>
                <w:szCs w:val="20"/>
              </w:rPr>
            </w:pPr>
          </w:p>
        </w:tc>
        <w:tc>
          <w:tcPr>
            <w:tcW w:w="284" w:type="dxa"/>
          </w:tcPr>
          <w:p w14:paraId="6D1B5998" w14:textId="77777777" w:rsidR="00732B04" w:rsidRPr="00770FCE" w:rsidRDefault="00732B04" w:rsidP="00FC3890">
            <w:pPr>
              <w:tabs>
                <w:tab w:val="left" w:pos="360"/>
              </w:tabs>
              <w:suppressAutoHyphens/>
              <w:jc w:val="right"/>
              <w:rPr>
                <w:rFonts w:ascii="Arial" w:hAnsi="Arial" w:cs="Arial"/>
                <w:sz w:val="20"/>
                <w:szCs w:val="20"/>
              </w:rPr>
            </w:pPr>
          </w:p>
        </w:tc>
        <w:tc>
          <w:tcPr>
            <w:tcW w:w="1587" w:type="dxa"/>
          </w:tcPr>
          <w:p w14:paraId="4D4919B9" w14:textId="77777777" w:rsidR="00732B04" w:rsidRPr="00770FCE" w:rsidRDefault="00732B04">
            <w:pPr>
              <w:tabs>
                <w:tab w:val="left" w:pos="360"/>
              </w:tabs>
              <w:suppressAutoHyphens/>
              <w:jc w:val="right"/>
              <w:rPr>
                <w:rFonts w:ascii="Arial" w:hAnsi="Arial" w:cs="Arial"/>
                <w:sz w:val="20"/>
                <w:szCs w:val="20"/>
              </w:rPr>
            </w:pPr>
          </w:p>
        </w:tc>
      </w:tr>
      <w:tr w:rsidR="00770FCE" w:rsidRPr="00770FCE" w14:paraId="49B94D96" w14:textId="77777777" w:rsidTr="00770FCE">
        <w:trPr>
          <w:trHeight w:val="113"/>
        </w:trPr>
        <w:tc>
          <w:tcPr>
            <w:tcW w:w="4267" w:type="dxa"/>
            <w:gridSpan w:val="3"/>
            <w:vAlign w:val="bottom"/>
          </w:tcPr>
          <w:p w14:paraId="3CBFAADD" w14:textId="20950C2E" w:rsidR="00770FCE" w:rsidRPr="00770FCE" w:rsidRDefault="00770FCE" w:rsidP="00770FCE">
            <w:pPr>
              <w:tabs>
                <w:tab w:val="left" w:pos="360"/>
              </w:tabs>
              <w:suppressAutoHyphens/>
              <w:rPr>
                <w:rFonts w:ascii="Arial" w:hAnsi="Arial" w:cs="Arial"/>
                <w:b/>
                <w:sz w:val="20"/>
                <w:szCs w:val="20"/>
              </w:rPr>
            </w:pPr>
            <w:r w:rsidRPr="00770FCE">
              <w:rPr>
                <w:rFonts w:ascii="Arial" w:hAnsi="Arial" w:cs="Arial"/>
                <w:sz w:val="20"/>
                <w:szCs w:val="20"/>
              </w:rPr>
              <w:t>Net cash used in investing activities</w:t>
            </w:r>
          </w:p>
        </w:tc>
        <w:tc>
          <w:tcPr>
            <w:tcW w:w="323" w:type="dxa"/>
          </w:tcPr>
          <w:p w14:paraId="4983A6E3" w14:textId="77777777" w:rsidR="00770FCE" w:rsidRPr="00770FCE" w:rsidRDefault="00770FCE" w:rsidP="009C7350">
            <w:pPr>
              <w:tabs>
                <w:tab w:val="left" w:pos="360"/>
              </w:tabs>
              <w:suppressAutoHyphens/>
              <w:jc w:val="right"/>
              <w:rPr>
                <w:rFonts w:ascii="Arial" w:hAnsi="Arial" w:cs="Arial"/>
                <w:sz w:val="20"/>
                <w:szCs w:val="20"/>
              </w:rPr>
            </w:pPr>
          </w:p>
        </w:tc>
        <w:tc>
          <w:tcPr>
            <w:tcW w:w="1056" w:type="dxa"/>
          </w:tcPr>
          <w:p w14:paraId="5E5BEACA" w14:textId="45F4313C" w:rsidR="00770FCE" w:rsidRPr="00770FCE" w:rsidRDefault="00770FCE" w:rsidP="009C7350">
            <w:pPr>
              <w:tabs>
                <w:tab w:val="left" w:pos="360"/>
              </w:tabs>
              <w:suppressAutoHyphens/>
              <w:jc w:val="right"/>
              <w:rPr>
                <w:rFonts w:ascii="Arial" w:hAnsi="Arial" w:cs="Arial"/>
                <w:sz w:val="20"/>
                <w:szCs w:val="20"/>
              </w:rPr>
            </w:pPr>
          </w:p>
        </w:tc>
        <w:tc>
          <w:tcPr>
            <w:tcW w:w="323" w:type="dxa"/>
          </w:tcPr>
          <w:p w14:paraId="7613A3B8" w14:textId="5090CED7" w:rsidR="00770FCE" w:rsidRPr="00770FCE" w:rsidRDefault="00770FCE" w:rsidP="009C7350">
            <w:pPr>
              <w:tabs>
                <w:tab w:val="left" w:pos="360"/>
              </w:tabs>
              <w:suppressAutoHyphens/>
              <w:jc w:val="right"/>
              <w:rPr>
                <w:rFonts w:ascii="Arial" w:hAnsi="Arial" w:cs="Arial"/>
                <w:b/>
                <w:sz w:val="20"/>
                <w:szCs w:val="20"/>
              </w:rPr>
            </w:pPr>
          </w:p>
        </w:tc>
        <w:tc>
          <w:tcPr>
            <w:tcW w:w="1544" w:type="dxa"/>
          </w:tcPr>
          <w:p w14:paraId="6A7CC64C" w14:textId="2A562776" w:rsidR="00770FCE" w:rsidRPr="00770FCE" w:rsidRDefault="00770FCE" w:rsidP="009C7350">
            <w:pPr>
              <w:tabs>
                <w:tab w:val="left" w:pos="360"/>
              </w:tabs>
              <w:suppressAutoHyphens/>
              <w:jc w:val="right"/>
              <w:rPr>
                <w:rFonts w:ascii="Arial" w:hAnsi="Arial" w:cs="Arial"/>
                <w:b/>
                <w:sz w:val="20"/>
                <w:szCs w:val="20"/>
              </w:rPr>
            </w:pPr>
            <w:r w:rsidRPr="00770FCE">
              <w:rPr>
                <w:rFonts w:ascii="Arial" w:hAnsi="Arial" w:cs="Arial"/>
                <w:b/>
                <w:sz w:val="20"/>
                <w:szCs w:val="20"/>
              </w:rPr>
              <w:t>-</w:t>
            </w:r>
          </w:p>
        </w:tc>
        <w:tc>
          <w:tcPr>
            <w:tcW w:w="284" w:type="dxa"/>
          </w:tcPr>
          <w:p w14:paraId="4FD04692" w14:textId="77777777" w:rsidR="00770FCE" w:rsidRPr="00770FCE" w:rsidRDefault="00770FCE" w:rsidP="009C7350">
            <w:pPr>
              <w:tabs>
                <w:tab w:val="left" w:pos="360"/>
              </w:tabs>
              <w:suppressAutoHyphens/>
              <w:jc w:val="right"/>
              <w:rPr>
                <w:rFonts w:ascii="Arial" w:hAnsi="Arial" w:cs="Arial"/>
                <w:sz w:val="20"/>
                <w:szCs w:val="20"/>
              </w:rPr>
            </w:pPr>
          </w:p>
        </w:tc>
        <w:tc>
          <w:tcPr>
            <w:tcW w:w="1587" w:type="dxa"/>
          </w:tcPr>
          <w:p w14:paraId="04303DA3" w14:textId="37AE072D" w:rsidR="00770FCE" w:rsidRPr="00770FCE" w:rsidRDefault="00770FCE" w:rsidP="00DF5EEB">
            <w:pPr>
              <w:tabs>
                <w:tab w:val="left" w:pos="360"/>
              </w:tabs>
              <w:suppressAutoHyphens/>
              <w:ind w:right="-44"/>
              <w:jc w:val="right"/>
              <w:rPr>
                <w:rFonts w:ascii="Arial" w:hAnsi="Arial" w:cs="Arial"/>
                <w:sz w:val="20"/>
                <w:szCs w:val="20"/>
              </w:rPr>
            </w:pPr>
            <w:r w:rsidRPr="00770FCE">
              <w:rPr>
                <w:rFonts w:ascii="Arial" w:hAnsi="Arial" w:cs="Arial"/>
                <w:sz w:val="20"/>
                <w:szCs w:val="20"/>
              </w:rPr>
              <w:t>(1,762)</w:t>
            </w:r>
          </w:p>
        </w:tc>
      </w:tr>
      <w:tr w:rsidR="00732B04" w:rsidRPr="00770FCE" w14:paraId="3FF71290" w14:textId="77777777" w:rsidTr="00372D83">
        <w:trPr>
          <w:trHeight w:val="113"/>
        </w:trPr>
        <w:tc>
          <w:tcPr>
            <w:tcW w:w="2256" w:type="dxa"/>
          </w:tcPr>
          <w:p w14:paraId="64E2563F" w14:textId="77777777" w:rsidR="00732B04" w:rsidRPr="00770FCE" w:rsidRDefault="00732B04" w:rsidP="00732B04">
            <w:pPr>
              <w:tabs>
                <w:tab w:val="left" w:pos="360"/>
              </w:tabs>
              <w:suppressAutoHyphens/>
              <w:rPr>
                <w:rFonts w:ascii="Arial" w:hAnsi="Arial" w:cs="Arial"/>
                <w:sz w:val="20"/>
                <w:szCs w:val="20"/>
              </w:rPr>
            </w:pPr>
          </w:p>
        </w:tc>
        <w:tc>
          <w:tcPr>
            <w:tcW w:w="323" w:type="dxa"/>
          </w:tcPr>
          <w:p w14:paraId="17B88988" w14:textId="77777777" w:rsidR="00732B04" w:rsidRPr="00770FCE" w:rsidRDefault="00732B04" w:rsidP="009C7350">
            <w:pPr>
              <w:tabs>
                <w:tab w:val="left" w:pos="360"/>
              </w:tabs>
              <w:suppressAutoHyphens/>
              <w:jc w:val="right"/>
              <w:rPr>
                <w:rFonts w:ascii="Arial" w:hAnsi="Arial" w:cs="Arial"/>
                <w:b/>
                <w:sz w:val="20"/>
                <w:szCs w:val="20"/>
              </w:rPr>
            </w:pPr>
          </w:p>
        </w:tc>
        <w:tc>
          <w:tcPr>
            <w:tcW w:w="1688" w:type="dxa"/>
          </w:tcPr>
          <w:p w14:paraId="54E9C270" w14:textId="3D0C30CA" w:rsidR="00732B04" w:rsidRPr="00770FCE" w:rsidRDefault="00732B04" w:rsidP="009C7350">
            <w:pPr>
              <w:tabs>
                <w:tab w:val="left" w:pos="360"/>
              </w:tabs>
              <w:suppressAutoHyphens/>
              <w:jc w:val="right"/>
              <w:rPr>
                <w:rFonts w:ascii="Arial" w:hAnsi="Arial" w:cs="Arial"/>
                <w:b/>
                <w:sz w:val="20"/>
                <w:szCs w:val="20"/>
              </w:rPr>
            </w:pPr>
          </w:p>
        </w:tc>
        <w:tc>
          <w:tcPr>
            <w:tcW w:w="323" w:type="dxa"/>
          </w:tcPr>
          <w:p w14:paraId="3371A459" w14:textId="77777777" w:rsidR="00732B04" w:rsidRPr="00770FCE" w:rsidRDefault="00732B04" w:rsidP="009C7350">
            <w:pPr>
              <w:tabs>
                <w:tab w:val="left" w:pos="360"/>
              </w:tabs>
              <w:suppressAutoHyphens/>
              <w:jc w:val="right"/>
              <w:rPr>
                <w:rFonts w:ascii="Arial" w:hAnsi="Arial" w:cs="Arial"/>
                <w:sz w:val="20"/>
                <w:szCs w:val="20"/>
              </w:rPr>
            </w:pPr>
          </w:p>
        </w:tc>
        <w:tc>
          <w:tcPr>
            <w:tcW w:w="1056" w:type="dxa"/>
          </w:tcPr>
          <w:p w14:paraId="6C3D0BB9" w14:textId="5AA628A2" w:rsidR="00732B04" w:rsidRPr="00770FCE" w:rsidRDefault="00732B04" w:rsidP="009C7350">
            <w:pPr>
              <w:tabs>
                <w:tab w:val="left" w:pos="360"/>
              </w:tabs>
              <w:suppressAutoHyphens/>
              <w:jc w:val="right"/>
              <w:rPr>
                <w:rFonts w:ascii="Arial" w:hAnsi="Arial" w:cs="Arial"/>
                <w:sz w:val="20"/>
                <w:szCs w:val="20"/>
              </w:rPr>
            </w:pPr>
          </w:p>
        </w:tc>
        <w:tc>
          <w:tcPr>
            <w:tcW w:w="323" w:type="dxa"/>
          </w:tcPr>
          <w:p w14:paraId="5A139829" w14:textId="074B3BAD" w:rsidR="00732B04" w:rsidRPr="00770FCE" w:rsidRDefault="00732B04" w:rsidP="009C7350">
            <w:pPr>
              <w:tabs>
                <w:tab w:val="left" w:pos="360"/>
              </w:tabs>
              <w:suppressAutoHyphens/>
              <w:jc w:val="right"/>
              <w:rPr>
                <w:rFonts w:ascii="Arial" w:hAnsi="Arial" w:cs="Arial"/>
                <w:b/>
                <w:sz w:val="20"/>
                <w:szCs w:val="20"/>
              </w:rPr>
            </w:pPr>
          </w:p>
        </w:tc>
        <w:tc>
          <w:tcPr>
            <w:tcW w:w="1544" w:type="dxa"/>
          </w:tcPr>
          <w:p w14:paraId="3CC13E9A" w14:textId="77777777" w:rsidR="00732B04" w:rsidRPr="00770FCE" w:rsidRDefault="00732B04" w:rsidP="009C7350">
            <w:pPr>
              <w:tabs>
                <w:tab w:val="left" w:pos="360"/>
              </w:tabs>
              <w:suppressAutoHyphens/>
              <w:jc w:val="right"/>
              <w:rPr>
                <w:rFonts w:ascii="Arial" w:hAnsi="Arial" w:cs="Arial"/>
                <w:b/>
                <w:sz w:val="20"/>
                <w:szCs w:val="20"/>
              </w:rPr>
            </w:pPr>
          </w:p>
        </w:tc>
        <w:tc>
          <w:tcPr>
            <w:tcW w:w="284" w:type="dxa"/>
          </w:tcPr>
          <w:p w14:paraId="5C8B6E63" w14:textId="77777777" w:rsidR="00732B04" w:rsidRPr="00770FCE" w:rsidRDefault="00732B04" w:rsidP="009C7350">
            <w:pPr>
              <w:tabs>
                <w:tab w:val="left" w:pos="360"/>
              </w:tabs>
              <w:suppressAutoHyphens/>
              <w:jc w:val="right"/>
              <w:rPr>
                <w:rFonts w:ascii="Arial" w:hAnsi="Arial" w:cs="Arial"/>
                <w:sz w:val="20"/>
                <w:szCs w:val="20"/>
              </w:rPr>
            </w:pPr>
          </w:p>
        </w:tc>
        <w:tc>
          <w:tcPr>
            <w:tcW w:w="1587" w:type="dxa"/>
          </w:tcPr>
          <w:p w14:paraId="6C16C100" w14:textId="77777777" w:rsidR="00732B04" w:rsidRPr="00770FCE" w:rsidRDefault="00732B04">
            <w:pPr>
              <w:tabs>
                <w:tab w:val="left" w:pos="360"/>
              </w:tabs>
              <w:suppressAutoHyphens/>
              <w:jc w:val="right"/>
              <w:rPr>
                <w:rFonts w:ascii="Arial" w:hAnsi="Arial" w:cs="Arial"/>
                <w:sz w:val="20"/>
                <w:szCs w:val="20"/>
              </w:rPr>
            </w:pPr>
          </w:p>
        </w:tc>
      </w:tr>
      <w:tr w:rsidR="00770FCE" w:rsidRPr="00770FCE" w14:paraId="38585A5A" w14:textId="77777777" w:rsidTr="00372D83">
        <w:trPr>
          <w:trHeight w:val="113"/>
        </w:trPr>
        <w:tc>
          <w:tcPr>
            <w:tcW w:w="4267" w:type="dxa"/>
            <w:gridSpan w:val="3"/>
            <w:tcBorders>
              <w:bottom w:val="single" w:sz="4" w:space="0" w:color="auto"/>
            </w:tcBorders>
            <w:vAlign w:val="bottom"/>
          </w:tcPr>
          <w:p w14:paraId="12C154C6" w14:textId="5B0998F1" w:rsidR="00770FCE" w:rsidRPr="00770FCE" w:rsidRDefault="00770FCE" w:rsidP="00770FCE">
            <w:pPr>
              <w:tabs>
                <w:tab w:val="left" w:pos="360"/>
              </w:tabs>
              <w:suppressAutoHyphens/>
              <w:rPr>
                <w:rFonts w:ascii="Arial" w:hAnsi="Arial" w:cs="Arial"/>
                <w:b/>
                <w:sz w:val="20"/>
                <w:szCs w:val="20"/>
              </w:rPr>
            </w:pPr>
            <w:r w:rsidRPr="00770FCE">
              <w:rPr>
                <w:rFonts w:ascii="Arial" w:hAnsi="Arial" w:cs="Arial"/>
                <w:sz w:val="20"/>
                <w:szCs w:val="20"/>
              </w:rPr>
              <w:t>Net cash provided by financing activities</w:t>
            </w:r>
          </w:p>
        </w:tc>
        <w:tc>
          <w:tcPr>
            <w:tcW w:w="323" w:type="dxa"/>
            <w:tcBorders>
              <w:bottom w:val="single" w:sz="4" w:space="0" w:color="auto"/>
            </w:tcBorders>
          </w:tcPr>
          <w:p w14:paraId="7124AEB0" w14:textId="77777777" w:rsidR="00770FCE" w:rsidRPr="00770FCE" w:rsidRDefault="00770FCE" w:rsidP="009C7350">
            <w:pPr>
              <w:tabs>
                <w:tab w:val="left" w:pos="360"/>
              </w:tabs>
              <w:suppressAutoHyphens/>
              <w:jc w:val="right"/>
              <w:rPr>
                <w:rFonts w:ascii="Arial" w:hAnsi="Arial" w:cs="Arial"/>
                <w:sz w:val="20"/>
                <w:szCs w:val="20"/>
              </w:rPr>
            </w:pPr>
          </w:p>
        </w:tc>
        <w:tc>
          <w:tcPr>
            <w:tcW w:w="1056" w:type="dxa"/>
            <w:tcBorders>
              <w:bottom w:val="single" w:sz="4" w:space="0" w:color="auto"/>
            </w:tcBorders>
          </w:tcPr>
          <w:p w14:paraId="48148854" w14:textId="759ABF3A" w:rsidR="00770FCE" w:rsidRPr="00770FCE" w:rsidRDefault="00770FCE" w:rsidP="009C7350">
            <w:pPr>
              <w:tabs>
                <w:tab w:val="left" w:pos="360"/>
              </w:tabs>
              <w:suppressAutoHyphens/>
              <w:jc w:val="right"/>
              <w:rPr>
                <w:rFonts w:ascii="Arial" w:hAnsi="Arial" w:cs="Arial"/>
                <w:sz w:val="20"/>
                <w:szCs w:val="20"/>
              </w:rPr>
            </w:pPr>
          </w:p>
        </w:tc>
        <w:tc>
          <w:tcPr>
            <w:tcW w:w="323" w:type="dxa"/>
            <w:tcBorders>
              <w:bottom w:val="single" w:sz="4" w:space="0" w:color="auto"/>
            </w:tcBorders>
          </w:tcPr>
          <w:p w14:paraId="76E18049" w14:textId="0A390229" w:rsidR="00770FCE" w:rsidRPr="00770FCE" w:rsidRDefault="00770FCE" w:rsidP="009C7350">
            <w:pPr>
              <w:tabs>
                <w:tab w:val="left" w:pos="360"/>
              </w:tabs>
              <w:suppressAutoHyphens/>
              <w:jc w:val="right"/>
              <w:rPr>
                <w:rFonts w:ascii="Arial" w:hAnsi="Arial" w:cs="Arial"/>
                <w:b/>
                <w:sz w:val="20"/>
                <w:szCs w:val="20"/>
              </w:rPr>
            </w:pPr>
          </w:p>
        </w:tc>
        <w:tc>
          <w:tcPr>
            <w:tcW w:w="1544" w:type="dxa"/>
            <w:tcBorders>
              <w:bottom w:val="single" w:sz="4" w:space="0" w:color="auto"/>
            </w:tcBorders>
          </w:tcPr>
          <w:p w14:paraId="440364A9" w14:textId="12128A37" w:rsidR="00770FCE" w:rsidRPr="00770FCE" w:rsidRDefault="00770FCE" w:rsidP="009C7350">
            <w:pPr>
              <w:tabs>
                <w:tab w:val="left" w:pos="360"/>
              </w:tabs>
              <w:suppressAutoHyphens/>
              <w:jc w:val="right"/>
              <w:rPr>
                <w:rFonts w:ascii="Arial" w:hAnsi="Arial" w:cs="Arial"/>
                <w:b/>
                <w:sz w:val="20"/>
                <w:szCs w:val="20"/>
              </w:rPr>
            </w:pPr>
            <w:r w:rsidRPr="00770FCE">
              <w:rPr>
                <w:rFonts w:ascii="Arial" w:hAnsi="Arial" w:cs="Arial"/>
                <w:b/>
                <w:sz w:val="20"/>
                <w:szCs w:val="20"/>
              </w:rPr>
              <w:t>2,036,027</w:t>
            </w:r>
          </w:p>
        </w:tc>
        <w:tc>
          <w:tcPr>
            <w:tcW w:w="284" w:type="dxa"/>
            <w:tcBorders>
              <w:bottom w:val="single" w:sz="4" w:space="0" w:color="auto"/>
            </w:tcBorders>
          </w:tcPr>
          <w:p w14:paraId="51396FD9" w14:textId="4EBC5436" w:rsidR="00770FCE" w:rsidRPr="00770FCE" w:rsidRDefault="00770FCE" w:rsidP="009C7350">
            <w:pPr>
              <w:tabs>
                <w:tab w:val="left" w:pos="360"/>
              </w:tabs>
              <w:suppressAutoHyphens/>
              <w:jc w:val="right"/>
              <w:rPr>
                <w:rFonts w:ascii="Arial" w:hAnsi="Arial" w:cs="Arial"/>
                <w:sz w:val="20"/>
                <w:szCs w:val="20"/>
              </w:rPr>
            </w:pPr>
            <w:r w:rsidRPr="00770FCE">
              <w:rPr>
                <w:rFonts w:ascii="Arial" w:hAnsi="Arial" w:cs="Arial"/>
                <w:sz w:val="20"/>
                <w:szCs w:val="20"/>
              </w:rPr>
              <w:t> </w:t>
            </w:r>
          </w:p>
        </w:tc>
        <w:tc>
          <w:tcPr>
            <w:tcW w:w="1587" w:type="dxa"/>
            <w:tcBorders>
              <w:bottom w:val="single" w:sz="4" w:space="0" w:color="auto"/>
            </w:tcBorders>
          </w:tcPr>
          <w:p w14:paraId="2384CA79" w14:textId="569C0534" w:rsidR="00770FCE" w:rsidRPr="00770FCE" w:rsidRDefault="00770FCE">
            <w:pPr>
              <w:tabs>
                <w:tab w:val="left" w:pos="360"/>
              </w:tabs>
              <w:suppressAutoHyphens/>
              <w:jc w:val="right"/>
              <w:rPr>
                <w:rFonts w:ascii="Arial" w:hAnsi="Arial" w:cs="Arial"/>
                <w:sz w:val="20"/>
                <w:szCs w:val="20"/>
              </w:rPr>
            </w:pPr>
            <w:r w:rsidRPr="00770FCE">
              <w:rPr>
                <w:rFonts w:ascii="Arial" w:hAnsi="Arial" w:cs="Arial"/>
                <w:sz w:val="20"/>
                <w:szCs w:val="20"/>
              </w:rPr>
              <w:t>957,846</w:t>
            </w:r>
          </w:p>
        </w:tc>
      </w:tr>
      <w:tr w:rsidR="00732B04" w:rsidRPr="00770FCE" w14:paraId="3E055381" w14:textId="77777777" w:rsidTr="00372D83">
        <w:tc>
          <w:tcPr>
            <w:tcW w:w="2256" w:type="dxa"/>
            <w:tcBorders>
              <w:top w:val="single" w:sz="4" w:space="0" w:color="auto"/>
            </w:tcBorders>
          </w:tcPr>
          <w:p w14:paraId="14E3F73C" w14:textId="76AE7A45" w:rsidR="00732B04" w:rsidRPr="00770FCE" w:rsidRDefault="00732B04" w:rsidP="00732B04">
            <w:pPr>
              <w:tabs>
                <w:tab w:val="left" w:pos="360"/>
              </w:tabs>
              <w:suppressAutoHyphens/>
              <w:rPr>
                <w:rFonts w:ascii="Arial" w:hAnsi="Arial" w:cs="Arial"/>
                <w:sz w:val="20"/>
                <w:szCs w:val="20"/>
              </w:rPr>
            </w:pPr>
          </w:p>
        </w:tc>
        <w:tc>
          <w:tcPr>
            <w:tcW w:w="323" w:type="dxa"/>
            <w:tcBorders>
              <w:top w:val="single" w:sz="4" w:space="0" w:color="auto"/>
            </w:tcBorders>
          </w:tcPr>
          <w:p w14:paraId="1199E37C" w14:textId="77777777" w:rsidR="00732B04" w:rsidRPr="00770FCE" w:rsidRDefault="00732B04" w:rsidP="009C7350">
            <w:pPr>
              <w:tabs>
                <w:tab w:val="left" w:pos="360"/>
              </w:tabs>
              <w:suppressAutoHyphens/>
              <w:jc w:val="right"/>
              <w:rPr>
                <w:rFonts w:ascii="Arial" w:hAnsi="Arial" w:cs="Arial"/>
                <w:b/>
                <w:sz w:val="20"/>
                <w:szCs w:val="20"/>
              </w:rPr>
            </w:pPr>
          </w:p>
        </w:tc>
        <w:tc>
          <w:tcPr>
            <w:tcW w:w="1688" w:type="dxa"/>
            <w:tcBorders>
              <w:top w:val="single" w:sz="4" w:space="0" w:color="auto"/>
            </w:tcBorders>
          </w:tcPr>
          <w:p w14:paraId="67581CB2" w14:textId="06A5617E" w:rsidR="00732B04" w:rsidRPr="00770FCE" w:rsidRDefault="00732B04" w:rsidP="009C7350">
            <w:pPr>
              <w:tabs>
                <w:tab w:val="left" w:pos="360"/>
              </w:tabs>
              <w:suppressAutoHyphens/>
              <w:jc w:val="right"/>
              <w:rPr>
                <w:rFonts w:ascii="Arial" w:hAnsi="Arial" w:cs="Arial"/>
                <w:b/>
                <w:sz w:val="20"/>
                <w:szCs w:val="20"/>
              </w:rPr>
            </w:pPr>
          </w:p>
        </w:tc>
        <w:tc>
          <w:tcPr>
            <w:tcW w:w="323" w:type="dxa"/>
            <w:tcBorders>
              <w:top w:val="single" w:sz="4" w:space="0" w:color="auto"/>
            </w:tcBorders>
          </w:tcPr>
          <w:p w14:paraId="09FA3640" w14:textId="77777777" w:rsidR="00732B04" w:rsidRPr="00770FCE" w:rsidRDefault="00732B04" w:rsidP="009C7350">
            <w:pPr>
              <w:tabs>
                <w:tab w:val="left" w:pos="360"/>
              </w:tabs>
              <w:suppressAutoHyphens/>
              <w:jc w:val="right"/>
              <w:rPr>
                <w:rFonts w:ascii="Arial" w:hAnsi="Arial" w:cs="Arial"/>
                <w:sz w:val="20"/>
                <w:szCs w:val="20"/>
              </w:rPr>
            </w:pPr>
          </w:p>
        </w:tc>
        <w:tc>
          <w:tcPr>
            <w:tcW w:w="1056" w:type="dxa"/>
            <w:tcBorders>
              <w:top w:val="single" w:sz="4" w:space="0" w:color="auto"/>
            </w:tcBorders>
          </w:tcPr>
          <w:p w14:paraId="75112F1D" w14:textId="274E82BC" w:rsidR="00732B04" w:rsidRPr="00770FCE" w:rsidRDefault="00732B04" w:rsidP="009C7350">
            <w:pPr>
              <w:tabs>
                <w:tab w:val="left" w:pos="360"/>
              </w:tabs>
              <w:suppressAutoHyphens/>
              <w:jc w:val="right"/>
              <w:rPr>
                <w:rFonts w:ascii="Arial" w:hAnsi="Arial" w:cs="Arial"/>
                <w:sz w:val="20"/>
                <w:szCs w:val="20"/>
              </w:rPr>
            </w:pPr>
          </w:p>
        </w:tc>
        <w:tc>
          <w:tcPr>
            <w:tcW w:w="323" w:type="dxa"/>
            <w:tcBorders>
              <w:top w:val="single" w:sz="4" w:space="0" w:color="auto"/>
            </w:tcBorders>
          </w:tcPr>
          <w:p w14:paraId="089068C1" w14:textId="56BEE983" w:rsidR="00732B04" w:rsidRPr="00770FCE" w:rsidRDefault="00732B04" w:rsidP="009C7350">
            <w:pPr>
              <w:tabs>
                <w:tab w:val="left" w:pos="360"/>
              </w:tabs>
              <w:suppressAutoHyphens/>
              <w:jc w:val="right"/>
              <w:rPr>
                <w:rFonts w:ascii="Arial" w:hAnsi="Arial" w:cs="Arial"/>
                <w:b/>
                <w:sz w:val="20"/>
                <w:szCs w:val="20"/>
              </w:rPr>
            </w:pPr>
          </w:p>
        </w:tc>
        <w:tc>
          <w:tcPr>
            <w:tcW w:w="1544" w:type="dxa"/>
            <w:tcBorders>
              <w:top w:val="single" w:sz="4" w:space="0" w:color="auto"/>
            </w:tcBorders>
          </w:tcPr>
          <w:p w14:paraId="270F712F" w14:textId="5F8BF78A" w:rsidR="00732B04" w:rsidRPr="00770FCE" w:rsidRDefault="00732B04" w:rsidP="009C7350">
            <w:pPr>
              <w:tabs>
                <w:tab w:val="left" w:pos="360"/>
              </w:tabs>
              <w:suppressAutoHyphens/>
              <w:jc w:val="right"/>
              <w:rPr>
                <w:rFonts w:ascii="Arial" w:hAnsi="Arial" w:cs="Arial"/>
                <w:b/>
                <w:sz w:val="20"/>
                <w:szCs w:val="20"/>
              </w:rPr>
            </w:pPr>
          </w:p>
        </w:tc>
        <w:tc>
          <w:tcPr>
            <w:tcW w:w="284" w:type="dxa"/>
            <w:tcBorders>
              <w:top w:val="single" w:sz="4" w:space="0" w:color="auto"/>
            </w:tcBorders>
          </w:tcPr>
          <w:p w14:paraId="1675CCFA" w14:textId="77777777" w:rsidR="00732B04" w:rsidRPr="00770FCE" w:rsidRDefault="00732B04" w:rsidP="009C7350">
            <w:pPr>
              <w:tabs>
                <w:tab w:val="left" w:pos="360"/>
              </w:tabs>
              <w:suppressAutoHyphens/>
              <w:jc w:val="right"/>
              <w:rPr>
                <w:rFonts w:ascii="Arial" w:hAnsi="Arial" w:cs="Arial"/>
                <w:sz w:val="20"/>
                <w:szCs w:val="20"/>
              </w:rPr>
            </w:pPr>
          </w:p>
        </w:tc>
        <w:tc>
          <w:tcPr>
            <w:tcW w:w="1587" w:type="dxa"/>
            <w:tcBorders>
              <w:top w:val="single" w:sz="4" w:space="0" w:color="auto"/>
            </w:tcBorders>
          </w:tcPr>
          <w:p w14:paraId="40454F70" w14:textId="11F70EC5" w:rsidR="00732B04" w:rsidRPr="00770FCE" w:rsidRDefault="00732B04">
            <w:pPr>
              <w:tabs>
                <w:tab w:val="left" w:pos="360"/>
              </w:tabs>
              <w:suppressAutoHyphens/>
              <w:jc w:val="right"/>
              <w:rPr>
                <w:rFonts w:ascii="Arial" w:hAnsi="Arial" w:cs="Arial"/>
                <w:sz w:val="20"/>
                <w:szCs w:val="20"/>
              </w:rPr>
            </w:pPr>
          </w:p>
        </w:tc>
      </w:tr>
      <w:tr w:rsidR="00732B04" w:rsidRPr="00770FCE" w14:paraId="457EDC48" w14:textId="77777777" w:rsidTr="00731EA5">
        <w:tc>
          <w:tcPr>
            <w:tcW w:w="2256" w:type="dxa"/>
            <w:tcBorders>
              <w:bottom w:val="single" w:sz="18" w:space="0" w:color="auto"/>
            </w:tcBorders>
          </w:tcPr>
          <w:p w14:paraId="1ADF4C4C" w14:textId="6C5FF472" w:rsidR="00732B04" w:rsidRPr="00770FCE" w:rsidRDefault="00C112A5" w:rsidP="00732B04">
            <w:pPr>
              <w:tabs>
                <w:tab w:val="left" w:pos="360"/>
              </w:tabs>
              <w:rPr>
                <w:rFonts w:ascii="Arial" w:hAnsi="Arial" w:cs="Arial"/>
                <w:sz w:val="20"/>
                <w:szCs w:val="20"/>
              </w:rPr>
            </w:pPr>
            <w:r w:rsidRPr="00770FCE">
              <w:rPr>
                <w:rFonts w:ascii="Arial" w:hAnsi="Arial" w:cs="Arial"/>
                <w:sz w:val="20"/>
                <w:szCs w:val="20"/>
              </w:rPr>
              <w:t>Increase</w:t>
            </w:r>
            <w:r w:rsidR="00732B04" w:rsidRPr="00770FCE">
              <w:rPr>
                <w:rFonts w:ascii="Arial" w:hAnsi="Arial" w:cs="Arial"/>
                <w:sz w:val="20"/>
                <w:szCs w:val="20"/>
              </w:rPr>
              <w:t xml:space="preserve"> in cash</w:t>
            </w:r>
          </w:p>
        </w:tc>
        <w:tc>
          <w:tcPr>
            <w:tcW w:w="323" w:type="dxa"/>
            <w:tcBorders>
              <w:bottom w:val="single" w:sz="18" w:space="0" w:color="auto"/>
            </w:tcBorders>
          </w:tcPr>
          <w:p w14:paraId="68D703F9" w14:textId="2B9DF3D8" w:rsidR="00732B04" w:rsidRPr="00770FCE" w:rsidRDefault="00732B04" w:rsidP="00C90A0A">
            <w:pPr>
              <w:jc w:val="both"/>
              <w:rPr>
                <w:rFonts w:ascii="Arial" w:hAnsi="Arial" w:cs="Arial"/>
                <w:b/>
                <w:sz w:val="20"/>
                <w:szCs w:val="20"/>
              </w:rPr>
            </w:pPr>
          </w:p>
        </w:tc>
        <w:tc>
          <w:tcPr>
            <w:tcW w:w="1688" w:type="dxa"/>
            <w:tcBorders>
              <w:bottom w:val="single" w:sz="18" w:space="0" w:color="auto"/>
            </w:tcBorders>
          </w:tcPr>
          <w:p w14:paraId="70B1B18D" w14:textId="0B613795" w:rsidR="00732B04" w:rsidRPr="00770FCE" w:rsidRDefault="00732B04" w:rsidP="00C112A5">
            <w:pPr>
              <w:jc w:val="right"/>
              <w:rPr>
                <w:rFonts w:ascii="Arial" w:hAnsi="Arial" w:cs="Arial"/>
                <w:b/>
                <w:sz w:val="20"/>
                <w:szCs w:val="20"/>
              </w:rPr>
            </w:pPr>
          </w:p>
        </w:tc>
        <w:tc>
          <w:tcPr>
            <w:tcW w:w="323" w:type="dxa"/>
            <w:tcBorders>
              <w:bottom w:val="single" w:sz="18" w:space="0" w:color="auto"/>
            </w:tcBorders>
          </w:tcPr>
          <w:p w14:paraId="197925CA" w14:textId="695C0CBA" w:rsidR="00732B04" w:rsidRPr="00770FCE" w:rsidRDefault="00732B04" w:rsidP="00C90A0A">
            <w:pPr>
              <w:jc w:val="both"/>
              <w:rPr>
                <w:rFonts w:ascii="Arial" w:hAnsi="Arial" w:cs="Arial"/>
                <w:sz w:val="20"/>
                <w:szCs w:val="20"/>
              </w:rPr>
            </w:pPr>
          </w:p>
        </w:tc>
        <w:tc>
          <w:tcPr>
            <w:tcW w:w="1056" w:type="dxa"/>
            <w:tcBorders>
              <w:bottom w:val="single" w:sz="18" w:space="0" w:color="auto"/>
            </w:tcBorders>
          </w:tcPr>
          <w:p w14:paraId="2B334BF6" w14:textId="3ECD69AE" w:rsidR="00732B04" w:rsidRPr="00770FCE" w:rsidRDefault="00732B04" w:rsidP="00DA05F7">
            <w:pPr>
              <w:tabs>
                <w:tab w:val="left" w:pos="360"/>
              </w:tabs>
              <w:suppressAutoHyphens/>
              <w:jc w:val="right"/>
              <w:rPr>
                <w:rFonts w:ascii="Arial" w:hAnsi="Arial" w:cs="Arial"/>
                <w:sz w:val="20"/>
                <w:szCs w:val="20"/>
              </w:rPr>
            </w:pPr>
          </w:p>
        </w:tc>
        <w:tc>
          <w:tcPr>
            <w:tcW w:w="323" w:type="dxa"/>
            <w:tcBorders>
              <w:bottom w:val="single" w:sz="18" w:space="0" w:color="auto"/>
            </w:tcBorders>
          </w:tcPr>
          <w:p w14:paraId="037EBF9A" w14:textId="2F495449" w:rsidR="00732B04" w:rsidRPr="00770FCE" w:rsidRDefault="00732B04" w:rsidP="00DA05F7">
            <w:pPr>
              <w:tabs>
                <w:tab w:val="left" w:pos="360"/>
              </w:tabs>
              <w:suppressAutoHyphens/>
              <w:jc w:val="both"/>
              <w:rPr>
                <w:rFonts w:ascii="Arial" w:hAnsi="Arial" w:cs="Arial"/>
                <w:b/>
                <w:sz w:val="20"/>
                <w:szCs w:val="20"/>
              </w:rPr>
            </w:pPr>
            <w:r w:rsidRPr="00770FCE">
              <w:rPr>
                <w:rFonts w:ascii="Arial" w:hAnsi="Arial" w:cs="Arial"/>
                <w:b/>
                <w:sz w:val="20"/>
                <w:szCs w:val="20"/>
              </w:rPr>
              <w:t>$</w:t>
            </w:r>
          </w:p>
        </w:tc>
        <w:tc>
          <w:tcPr>
            <w:tcW w:w="1544" w:type="dxa"/>
            <w:tcBorders>
              <w:bottom w:val="single" w:sz="18" w:space="0" w:color="auto"/>
            </w:tcBorders>
          </w:tcPr>
          <w:p w14:paraId="30892F11" w14:textId="3CC533CC" w:rsidR="00732B04" w:rsidRPr="00770FCE" w:rsidRDefault="00EF2D2F" w:rsidP="00DA05F7">
            <w:pPr>
              <w:tabs>
                <w:tab w:val="left" w:pos="360"/>
              </w:tabs>
              <w:suppressAutoHyphens/>
              <w:jc w:val="right"/>
              <w:rPr>
                <w:rFonts w:ascii="Arial" w:hAnsi="Arial" w:cs="Arial"/>
                <w:b/>
                <w:sz w:val="20"/>
                <w:szCs w:val="20"/>
              </w:rPr>
            </w:pPr>
            <w:r w:rsidRPr="00770FCE">
              <w:rPr>
                <w:rFonts w:ascii="Arial" w:hAnsi="Arial" w:cs="Arial"/>
                <w:b/>
                <w:sz w:val="20"/>
                <w:szCs w:val="20"/>
              </w:rPr>
              <w:t>1,816,81</w:t>
            </w:r>
            <w:r w:rsidR="00DF5EEB">
              <w:rPr>
                <w:rFonts w:ascii="Arial" w:hAnsi="Arial" w:cs="Arial"/>
                <w:b/>
                <w:sz w:val="20"/>
                <w:szCs w:val="20"/>
              </w:rPr>
              <w:t>5</w:t>
            </w:r>
          </w:p>
        </w:tc>
        <w:tc>
          <w:tcPr>
            <w:tcW w:w="284" w:type="dxa"/>
            <w:tcBorders>
              <w:bottom w:val="single" w:sz="18" w:space="0" w:color="auto"/>
            </w:tcBorders>
          </w:tcPr>
          <w:p w14:paraId="19DF7AE4" w14:textId="77777777" w:rsidR="00732B04" w:rsidRPr="00770FCE" w:rsidRDefault="00732B04" w:rsidP="00DA05F7">
            <w:pPr>
              <w:tabs>
                <w:tab w:val="left" w:pos="360"/>
              </w:tabs>
              <w:suppressAutoHyphens/>
              <w:jc w:val="both"/>
              <w:rPr>
                <w:rFonts w:ascii="Arial" w:hAnsi="Arial" w:cs="Arial"/>
                <w:sz w:val="20"/>
                <w:szCs w:val="20"/>
              </w:rPr>
            </w:pPr>
            <w:r w:rsidRPr="00770FCE">
              <w:rPr>
                <w:rFonts w:ascii="Arial" w:hAnsi="Arial" w:cs="Arial"/>
                <w:sz w:val="20"/>
                <w:szCs w:val="20"/>
              </w:rPr>
              <w:t>$</w:t>
            </w:r>
          </w:p>
        </w:tc>
        <w:tc>
          <w:tcPr>
            <w:tcW w:w="1587" w:type="dxa"/>
            <w:tcBorders>
              <w:bottom w:val="single" w:sz="18" w:space="0" w:color="auto"/>
            </w:tcBorders>
          </w:tcPr>
          <w:p w14:paraId="2D7A3CE5" w14:textId="12829FFF" w:rsidR="00732B04" w:rsidRPr="00770FCE" w:rsidRDefault="00EF2D2F" w:rsidP="00DA05F7">
            <w:pPr>
              <w:tabs>
                <w:tab w:val="left" w:pos="360"/>
              </w:tabs>
              <w:suppressAutoHyphens/>
              <w:jc w:val="right"/>
              <w:rPr>
                <w:rFonts w:ascii="Arial" w:hAnsi="Arial" w:cs="Arial"/>
                <w:sz w:val="20"/>
                <w:szCs w:val="20"/>
              </w:rPr>
            </w:pPr>
            <w:r w:rsidRPr="00770FCE">
              <w:rPr>
                <w:rFonts w:ascii="Arial" w:hAnsi="Arial" w:cs="Arial"/>
                <w:sz w:val="20"/>
                <w:szCs w:val="20"/>
              </w:rPr>
              <w:t>753,372</w:t>
            </w:r>
          </w:p>
        </w:tc>
      </w:tr>
    </w:tbl>
    <w:p w14:paraId="4BD1BF4B" w14:textId="0C789236" w:rsidR="00FC3890" w:rsidRDefault="00FC3890" w:rsidP="00C90A0A">
      <w:pPr>
        <w:spacing w:after="0"/>
        <w:jc w:val="both"/>
        <w:rPr>
          <w:rFonts w:ascii="Arial" w:hAnsi="Arial" w:cs="Arial"/>
          <w:color w:val="000000"/>
          <w:sz w:val="20"/>
          <w:szCs w:val="20"/>
        </w:rPr>
      </w:pPr>
    </w:p>
    <w:p w14:paraId="5D370542" w14:textId="3AAFA59B" w:rsidR="00732B04" w:rsidRPr="00FE5B48" w:rsidRDefault="00732B04" w:rsidP="00417DE7">
      <w:pPr>
        <w:keepNext/>
        <w:tabs>
          <w:tab w:val="left" w:pos="540"/>
        </w:tabs>
        <w:suppressAutoHyphens/>
        <w:jc w:val="both"/>
        <w:rPr>
          <w:rFonts w:ascii="Arial" w:hAnsi="Arial" w:cs="Arial"/>
          <w:sz w:val="20"/>
          <w:szCs w:val="20"/>
          <w:u w:val="single"/>
        </w:rPr>
      </w:pPr>
      <w:r w:rsidRPr="00FE5B48">
        <w:rPr>
          <w:rFonts w:ascii="Arial" w:hAnsi="Arial" w:cs="Arial"/>
          <w:sz w:val="20"/>
          <w:szCs w:val="20"/>
          <w:u w:val="single"/>
        </w:rPr>
        <w:t>Review of cash flow Q</w:t>
      </w:r>
      <w:r w:rsidR="003C5740">
        <w:rPr>
          <w:rFonts w:ascii="Arial" w:hAnsi="Arial" w:cs="Arial"/>
          <w:sz w:val="20"/>
          <w:szCs w:val="20"/>
          <w:u w:val="single"/>
        </w:rPr>
        <w:t>1</w:t>
      </w:r>
      <w:r w:rsidRPr="00FE5B48">
        <w:rPr>
          <w:rFonts w:ascii="Arial" w:hAnsi="Arial" w:cs="Arial"/>
          <w:sz w:val="20"/>
          <w:szCs w:val="20"/>
          <w:u w:val="single"/>
        </w:rPr>
        <w:t xml:space="preserve"> 201</w:t>
      </w:r>
      <w:r w:rsidR="003C5740">
        <w:rPr>
          <w:rFonts w:ascii="Arial" w:hAnsi="Arial" w:cs="Arial"/>
          <w:sz w:val="20"/>
          <w:szCs w:val="20"/>
          <w:u w:val="single"/>
        </w:rPr>
        <w:t>9</w:t>
      </w:r>
      <w:r w:rsidRPr="00FE5B48">
        <w:rPr>
          <w:rFonts w:ascii="Arial" w:hAnsi="Arial" w:cs="Arial"/>
          <w:sz w:val="20"/>
          <w:szCs w:val="20"/>
          <w:u w:val="single"/>
        </w:rPr>
        <w:t xml:space="preserve"> compared to Q</w:t>
      </w:r>
      <w:r w:rsidR="003C5740">
        <w:rPr>
          <w:rFonts w:ascii="Arial" w:hAnsi="Arial" w:cs="Arial"/>
          <w:sz w:val="20"/>
          <w:szCs w:val="20"/>
          <w:u w:val="single"/>
        </w:rPr>
        <w:t>1</w:t>
      </w:r>
      <w:r w:rsidRPr="00FE5B48">
        <w:rPr>
          <w:rFonts w:ascii="Arial" w:hAnsi="Arial" w:cs="Arial"/>
          <w:sz w:val="20"/>
          <w:szCs w:val="20"/>
          <w:u w:val="single"/>
        </w:rPr>
        <w:t xml:space="preserve"> 201</w:t>
      </w:r>
      <w:r w:rsidR="003C5740">
        <w:rPr>
          <w:rFonts w:ascii="Arial" w:hAnsi="Arial" w:cs="Arial"/>
          <w:sz w:val="20"/>
          <w:szCs w:val="20"/>
          <w:u w:val="single"/>
        </w:rPr>
        <w:t>8</w:t>
      </w:r>
      <w:r w:rsidR="00987B43">
        <w:rPr>
          <w:rFonts w:ascii="Arial" w:hAnsi="Arial" w:cs="Arial"/>
          <w:sz w:val="20"/>
          <w:szCs w:val="20"/>
          <w:u w:val="single"/>
        </w:rPr>
        <w:t>:</w:t>
      </w:r>
    </w:p>
    <w:p w14:paraId="6882AC16" w14:textId="6C85F8A5" w:rsidR="00732B04"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 xml:space="preserve">Cash </w:t>
      </w:r>
      <w:r w:rsidR="00DE5B6D" w:rsidRPr="00FE5B48">
        <w:rPr>
          <w:rFonts w:ascii="Arial" w:hAnsi="Arial" w:cs="Arial"/>
          <w:color w:val="000000"/>
          <w:sz w:val="20"/>
          <w:szCs w:val="20"/>
        </w:rPr>
        <w:t xml:space="preserve">provided by </w:t>
      </w:r>
      <w:r w:rsidRPr="00FE5B48">
        <w:rPr>
          <w:rFonts w:ascii="Arial" w:hAnsi="Arial" w:cs="Arial"/>
          <w:color w:val="000000"/>
          <w:sz w:val="20"/>
          <w:szCs w:val="20"/>
        </w:rPr>
        <w:t>operating activities was $</w:t>
      </w:r>
      <w:r w:rsidR="00EF2D2F">
        <w:rPr>
          <w:rFonts w:ascii="Arial" w:hAnsi="Arial" w:cs="Arial"/>
          <w:color w:val="000000"/>
          <w:sz w:val="20"/>
          <w:szCs w:val="20"/>
        </w:rPr>
        <w:t>219,21</w:t>
      </w:r>
      <w:r w:rsidR="00DF5EEB">
        <w:rPr>
          <w:rFonts w:ascii="Arial" w:hAnsi="Arial" w:cs="Arial"/>
          <w:color w:val="000000"/>
          <w:sz w:val="20"/>
          <w:szCs w:val="20"/>
        </w:rPr>
        <w:t>2</w:t>
      </w:r>
      <w:r w:rsidRPr="00FE5B48">
        <w:rPr>
          <w:rFonts w:ascii="Arial" w:hAnsi="Arial" w:cs="Arial"/>
          <w:color w:val="000000"/>
          <w:sz w:val="20"/>
          <w:szCs w:val="20"/>
        </w:rPr>
        <w:t xml:space="preserve">, compared to </w:t>
      </w:r>
      <w:r w:rsidR="00FE5B48" w:rsidRPr="00FE5B48">
        <w:rPr>
          <w:rFonts w:ascii="Arial" w:hAnsi="Arial" w:cs="Arial"/>
          <w:color w:val="000000"/>
          <w:sz w:val="20"/>
          <w:szCs w:val="20"/>
        </w:rPr>
        <w:t xml:space="preserve">cash used </w:t>
      </w:r>
      <w:r w:rsidR="00B043B6">
        <w:rPr>
          <w:rFonts w:ascii="Arial" w:hAnsi="Arial" w:cs="Arial"/>
          <w:color w:val="000000"/>
          <w:sz w:val="20"/>
          <w:szCs w:val="20"/>
        </w:rPr>
        <w:t xml:space="preserve">in </w:t>
      </w:r>
      <w:r w:rsidR="00FE5B48" w:rsidRPr="00FE5B48">
        <w:rPr>
          <w:rFonts w:ascii="Arial" w:hAnsi="Arial" w:cs="Arial"/>
          <w:color w:val="000000"/>
          <w:sz w:val="20"/>
          <w:szCs w:val="20"/>
        </w:rPr>
        <w:t xml:space="preserve">operating activities of </w:t>
      </w:r>
      <w:r w:rsidRPr="00FE5B48">
        <w:rPr>
          <w:rFonts w:ascii="Arial" w:hAnsi="Arial" w:cs="Arial"/>
          <w:color w:val="000000"/>
          <w:sz w:val="20"/>
          <w:szCs w:val="20"/>
        </w:rPr>
        <w:t>$</w:t>
      </w:r>
      <w:r w:rsidR="00EF2D2F">
        <w:rPr>
          <w:rFonts w:ascii="Arial" w:hAnsi="Arial" w:cs="Arial"/>
          <w:color w:val="000000"/>
          <w:sz w:val="20"/>
          <w:szCs w:val="20"/>
        </w:rPr>
        <w:t>202,712</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E64A88">
        <w:rPr>
          <w:rFonts w:ascii="Arial" w:hAnsi="Arial" w:cs="Arial"/>
          <w:color w:val="000000"/>
          <w:sz w:val="20"/>
          <w:szCs w:val="20"/>
        </w:rPr>
        <w:t>:</w:t>
      </w:r>
    </w:p>
    <w:p w14:paraId="4666599C" w14:textId="77777777" w:rsidR="00F56B6B" w:rsidRPr="00FE5B48" w:rsidRDefault="00F56B6B" w:rsidP="008C06E4">
      <w:pPr>
        <w:spacing w:after="0"/>
        <w:jc w:val="both"/>
        <w:rPr>
          <w:rFonts w:ascii="Arial" w:hAnsi="Arial" w:cs="Arial"/>
          <w:color w:val="000000"/>
          <w:sz w:val="20"/>
          <w:szCs w:val="20"/>
        </w:rPr>
      </w:pPr>
    </w:p>
    <w:p w14:paraId="17B998C5" w14:textId="0FEDDE1E" w:rsidR="00732B04" w:rsidRPr="00FE5B48" w:rsidRDefault="00EF2D2F"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Loss</w:t>
      </w:r>
      <w:r w:rsidR="00FE5B48" w:rsidRPr="00FE5B48">
        <w:rPr>
          <w:rFonts w:ascii="Arial" w:hAnsi="Arial" w:cs="Arial"/>
          <w:color w:val="000000"/>
          <w:sz w:val="20"/>
          <w:szCs w:val="20"/>
        </w:rPr>
        <w:t xml:space="preserve"> before taxes was $</w:t>
      </w:r>
      <w:r w:rsidR="00DF5EEB">
        <w:rPr>
          <w:rFonts w:ascii="Arial" w:hAnsi="Arial" w:cs="Arial"/>
          <w:color w:val="000000"/>
          <w:sz w:val="20"/>
          <w:szCs w:val="20"/>
        </w:rPr>
        <w:t>3</w:t>
      </w:r>
      <w:r w:rsidR="00290443">
        <w:rPr>
          <w:rFonts w:ascii="Arial" w:hAnsi="Arial" w:cs="Arial"/>
          <w:color w:val="000000"/>
          <w:sz w:val="20"/>
          <w:szCs w:val="20"/>
        </w:rPr>
        <w:t>9</w:t>
      </w:r>
      <w:r w:rsidR="00BC0961">
        <w:rPr>
          <w:rFonts w:ascii="Arial" w:hAnsi="Arial" w:cs="Arial"/>
          <w:color w:val="000000"/>
          <w:sz w:val="20"/>
          <w:szCs w:val="20"/>
        </w:rPr>
        <w:t>8</w:t>
      </w:r>
      <w:r w:rsidR="00290443">
        <w:rPr>
          <w:rFonts w:ascii="Arial" w:hAnsi="Arial" w:cs="Arial"/>
          <w:color w:val="000000"/>
          <w:sz w:val="20"/>
          <w:szCs w:val="20"/>
        </w:rPr>
        <w:t>,</w:t>
      </w:r>
      <w:r w:rsidR="00BC0961">
        <w:rPr>
          <w:rFonts w:ascii="Arial" w:hAnsi="Arial" w:cs="Arial"/>
          <w:color w:val="000000"/>
          <w:sz w:val="20"/>
          <w:szCs w:val="20"/>
        </w:rPr>
        <w:t>541</w:t>
      </w:r>
      <w:r w:rsidR="00FE5B48" w:rsidRPr="00FE5B48">
        <w:rPr>
          <w:rFonts w:ascii="Arial" w:hAnsi="Arial" w:cs="Arial"/>
          <w:color w:val="000000"/>
          <w:sz w:val="20"/>
          <w:szCs w:val="20"/>
        </w:rPr>
        <w:t xml:space="preserve"> compared to a loss before taxes of $</w:t>
      </w:r>
      <w:r>
        <w:rPr>
          <w:rFonts w:ascii="Arial" w:hAnsi="Arial" w:cs="Arial"/>
          <w:color w:val="000000"/>
          <w:sz w:val="20"/>
          <w:szCs w:val="20"/>
        </w:rPr>
        <w:t>2,282,676</w:t>
      </w:r>
      <w:r w:rsidR="00FE5B48" w:rsidRPr="00FE5B48">
        <w:rPr>
          <w:rFonts w:ascii="Arial" w:hAnsi="Arial" w:cs="Arial"/>
          <w:color w:val="000000"/>
          <w:sz w:val="20"/>
          <w:szCs w:val="20"/>
        </w:rPr>
        <w:t>.</w:t>
      </w:r>
      <w:r w:rsidR="0079090E">
        <w:rPr>
          <w:rFonts w:ascii="Arial" w:hAnsi="Arial" w:cs="Arial"/>
          <w:color w:val="000000"/>
          <w:sz w:val="20"/>
          <w:szCs w:val="20"/>
        </w:rPr>
        <w:t xml:space="preserve"> Included in loss before taxes are non-cash items of $</w:t>
      </w:r>
      <w:r w:rsidR="00BC0961">
        <w:rPr>
          <w:rFonts w:ascii="Arial" w:hAnsi="Arial" w:cs="Arial"/>
          <w:color w:val="000000"/>
          <w:sz w:val="20"/>
          <w:szCs w:val="20"/>
        </w:rPr>
        <w:t>155,884</w:t>
      </w:r>
      <w:r w:rsidR="0079090E">
        <w:rPr>
          <w:rFonts w:ascii="Arial" w:hAnsi="Arial" w:cs="Arial"/>
          <w:color w:val="000000"/>
          <w:sz w:val="20"/>
          <w:szCs w:val="20"/>
        </w:rPr>
        <w:t xml:space="preserve"> for Q1 2019 as compared to $1,701,043 for Q1 2018.</w:t>
      </w:r>
    </w:p>
    <w:p w14:paraId="6D98A0FC" w14:textId="31A120C5" w:rsidR="00732B04"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Movements in accounts receivables </w:t>
      </w:r>
      <w:r w:rsidR="0079090E">
        <w:rPr>
          <w:rFonts w:ascii="Arial" w:hAnsi="Arial" w:cs="Arial"/>
          <w:color w:val="000000"/>
          <w:sz w:val="20"/>
          <w:szCs w:val="20"/>
        </w:rPr>
        <w:t>had no impact on cash in Q1 2019</w:t>
      </w:r>
      <w:r w:rsidRPr="00FE5B48">
        <w:rPr>
          <w:rFonts w:ascii="Arial" w:hAnsi="Arial" w:cs="Arial"/>
          <w:color w:val="000000"/>
          <w:sz w:val="20"/>
          <w:szCs w:val="20"/>
        </w:rPr>
        <w:t xml:space="preserve"> compared to </w:t>
      </w:r>
      <w:r w:rsidR="0079090E">
        <w:rPr>
          <w:rFonts w:ascii="Arial" w:hAnsi="Arial" w:cs="Arial"/>
          <w:color w:val="000000"/>
          <w:sz w:val="20"/>
          <w:szCs w:val="20"/>
        </w:rPr>
        <w:t>in</w:t>
      </w:r>
      <w:r w:rsidRPr="00FE5B48">
        <w:rPr>
          <w:rFonts w:ascii="Arial" w:hAnsi="Arial" w:cs="Arial"/>
          <w:color w:val="000000"/>
          <w:sz w:val="20"/>
          <w:szCs w:val="20"/>
        </w:rPr>
        <w:t>creasing cash by $</w:t>
      </w:r>
      <w:r w:rsidR="0079090E">
        <w:rPr>
          <w:rFonts w:ascii="Arial" w:hAnsi="Arial" w:cs="Arial"/>
          <w:color w:val="000000"/>
          <w:sz w:val="20"/>
          <w:szCs w:val="20"/>
        </w:rPr>
        <w:t>847</w:t>
      </w:r>
      <w:r w:rsidRPr="00FE5B48">
        <w:rPr>
          <w:rFonts w:ascii="Arial" w:hAnsi="Arial" w:cs="Arial"/>
          <w:color w:val="000000"/>
          <w:sz w:val="20"/>
          <w:szCs w:val="20"/>
        </w:rPr>
        <w:t xml:space="preserve"> during Q</w:t>
      </w:r>
      <w:r w:rsidR="003C5740">
        <w:rPr>
          <w:rFonts w:ascii="Arial" w:hAnsi="Arial" w:cs="Arial"/>
          <w:color w:val="000000"/>
          <w:sz w:val="20"/>
          <w:szCs w:val="20"/>
        </w:rPr>
        <w:t xml:space="preserve">1 </w:t>
      </w:r>
      <w:r w:rsidRPr="00FE5B48">
        <w:rPr>
          <w:rFonts w:ascii="Arial" w:hAnsi="Arial" w:cs="Arial"/>
          <w:color w:val="000000"/>
          <w:sz w:val="20"/>
          <w:szCs w:val="20"/>
        </w:rPr>
        <w:t>201</w:t>
      </w:r>
      <w:r w:rsidR="003C5740">
        <w:rPr>
          <w:rFonts w:ascii="Arial" w:hAnsi="Arial" w:cs="Arial"/>
          <w:color w:val="000000"/>
          <w:sz w:val="20"/>
          <w:szCs w:val="20"/>
        </w:rPr>
        <w:t>8</w:t>
      </w:r>
      <w:r w:rsidRPr="00FE5B48">
        <w:rPr>
          <w:rFonts w:ascii="Arial" w:hAnsi="Arial" w:cs="Arial"/>
          <w:color w:val="000000"/>
          <w:sz w:val="20"/>
          <w:szCs w:val="20"/>
        </w:rPr>
        <w:t>.</w:t>
      </w:r>
    </w:p>
    <w:p w14:paraId="5D049A24" w14:textId="72A37045" w:rsidR="00FE5B48"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Movements in prepaid expenses increased cash by $</w:t>
      </w:r>
      <w:r w:rsidR="0079090E">
        <w:rPr>
          <w:rFonts w:ascii="Arial" w:hAnsi="Arial" w:cs="Arial"/>
          <w:color w:val="000000"/>
          <w:sz w:val="20"/>
          <w:szCs w:val="20"/>
        </w:rPr>
        <w:t>11,875</w:t>
      </w:r>
      <w:r w:rsidRPr="00FE5B48">
        <w:rPr>
          <w:rFonts w:ascii="Arial" w:hAnsi="Arial" w:cs="Arial"/>
          <w:color w:val="000000"/>
          <w:sz w:val="20"/>
          <w:szCs w:val="20"/>
        </w:rPr>
        <w:t xml:space="preserve"> compared to </w:t>
      </w:r>
      <w:r w:rsidR="0079090E">
        <w:rPr>
          <w:rFonts w:ascii="Arial" w:hAnsi="Arial" w:cs="Arial"/>
          <w:color w:val="000000"/>
          <w:sz w:val="20"/>
          <w:szCs w:val="20"/>
        </w:rPr>
        <w:t xml:space="preserve">decreasing cash by </w:t>
      </w:r>
      <w:r w:rsidRPr="00FE5B48">
        <w:rPr>
          <w:rFonts w:ascii="Arial" w:hAnsi="Arial" w:cs="Arial"/>
          <w:color w:val="000000"/>
          <w:sz w:val="20"/>
          <w:szCs w:val="20"/>
        </w:rPr>
        <w:t>$</w:t>
      </w:r>
      <w:r w:rsidR="0079090E">
        <w:rPr>
          <w:rFonts w:ascii="Arial" w:hAnsi="Arial" w:cs="Arial"/>
          <w:color w:val="000000"/>
          <w:sz w:val="20"/>
          <w:szCs w:val="20"/>
        </w:rPr>
        <w:t>316</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14D0A1C7" w14:textId="08F4946D" w:rsidR="00FE5B48"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Movements in accounts payable and accrued liabilities </w:t>
      </w:r>
      <w:r w:rsidR="00290443">
        <w:rPr>
          <w:rFonts w:ascii="Arial" w:hAnsi="Arial" w:cs="Arial"/>
          <w:color w:val="000000"/>
          <w:sz w:val="20"/>
          <w:szCs w:val="20"/>
        </w:rPr>
        <w:t>in</w:t>
      </w:r>
      <w:r w:rsidRPr="00FE5B48">
        <w:rPr>
          <w:rFonts w:ascii="Arial" w:hAnsi="Arial" w:cs="Arial"/>
          <w:color w:val="000000"/>
          <w:sz w:val="20"/>
          <w:szCs w:val="20"/>
        </w:rPr>
        <w:t>creased cash by $</w:t>
      </w:r>
      <w:r w:rsidR="00290443">
        <w:rPr>
          <w:rFonts w:ascii="Arial" w:hAnsi="Arial" w:cs="Arial"/>
          <w:color w:val="000000"/>
          <w:sz w:val="20"/>
          <w:szCs w:val="20"/>
        </w:rPr>
        <w:t>11,570</w:t>
      </w:r>
      <w:r w:rsidRPr="00FE5B48">
        <w:rPr>
          <w:rFonts w:ascii="Arial" w:hAnsi="Arial" w:cs="Arial"/>
          <w:color w:val="000000"/>
          <w:sz w:val="20"/>
          <w:szCs w:val="20"/>
        </w:rPr>
        <w:t xml:space="preserve"> compared to increasing cash by $</w:t>
      </w:r>
      <w:r w:rsidR="0079090E">
        <w:rPr>
          <w:rFonts w:ascii="Arial" w:hAnsi="Arial" w:cs="Arial"/>
          <w:color w:val="000000"/>
          <w:sz w:val="20"/>
          <w:szCs w:val="20"/>
        </w:rPr>
        <w:t>378,390</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79FA5D0C" w14:textId="77777777" w:rsidR="00FE5B48" w:rsidRPr="00FE5B48" w:rsidRDefault="00FE5B48" w:rsidP="008C06E4">
      <w:pPr>
        <w:pStyle w:val="ListParagraph"/>
        <w:jc w:val="both"/>
        <w:rPr>
          <w:rFonts w:ascii="Arial" w:hAnsi="Arial" w:cs="Arial"/>
          <w:color w:val="000000"/>
          <w:sz w:val="20"/>
          <w:szCs w:val="20"/>
        </w:rPr>
      </w:pPr>
    </w:p>
    <w:p w14:paraId="491995B7" w14:textId="031BFB76" w:rsidR="00732B04" w:rsidRPr="00FE5B48"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Cash used in investing activities was $</w:t>
      </w:r>
      <w:r w:rsidR="00FE5B48" w:rsidRPr="00FE5B48">
        <w:rPr>
          <w:rFonts w:ascii="Arial" w:hAnsi="Arial" w:cs="Arial"/>
          <w:color w:val="000000"/>
          <w:sz w:val="20"/>
          <w:szCs w:val="20"/>
        </w:rPr>
        <w:t>nil</w:t>
      </w:r>
      <w:r w:rsidRPr="00FE5B48">
        <w:rPr>
          <w:rFonts w:ascii="Arial" w:hAnsi="Arial" w:cs="Arial"/>
          <w:color w:val="000000"/>
          <w:sz w:val="20"/>
          <w:szCs w:val="20"/>
        </w:rPr>
        <w:t>, compared to $</w:t>
      </w:r>
      <w:r w:rsidR="0079090E">
        <w:rPr>
          <w:rFonts w:ascii="Arial" w:hAnsi="Arial" w:cs="Arial"/>
          <w:color w:val="000000"/>
          <w:sz w:val="20"/>
          <w:szCs w:val="20"/>
        </w:rPr>
        <w:t>1,762</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770FCE">
        <w:rPr>
          <w:rFonts w:ascii="Arial" w:hAnsi="Arial" w:cs="Arial"/>
          <w:color w:val="000000"/>
          <w:sz w:val="20"/>
          <w:szCs w:val="20"/>
        </w:rPr>
        <w:t>, as a result of expenditures on equipment</w:t>
      </w:r>
      <w:r w:rsidR="00FE5B48" w:rsidRPr="00FE5B48">
        <w:rPr>
          <w:rFonts w:ascii="Arial" w:hAnsi="Arial" w:cs="Arial"/>
          <w:color w:val="000000"/>
          <w:sz w:val="20"/>
          <w:szCs w:val="20"/>
        </w:rPr>
        <w:t>.</w:t>
      </w:r>
    </w:p>
    <w:p w14:paraId="356CE6FF" w14:textId="77777777" w:rsidR="00FE5B48" w:rsidRPr="00FE5B48" w:rsidRDefault="00FE5B48" w:rsidP="008C06E4">
      <w:pPr>
        <w:spacing w:after="0"/>
        <w:jc w:val="both"/>
        <w:rPr>
          <w:rFonts w:ascii="Arial" w:hAnsi="Arial" w:cs="Arial"/>
          <w:color w:val="000000"/>
          <w:sz w:val="20"/>
          <w:szCs w:val="20"/>
        </w:rPr>
      </w:pPr>
    </w:p>
    <w:p w14:paraId="01A12789" w14:textId="5F889ECB" w:rsidR="00732B04"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 xml:space="preserve">Cash </w:t>
      </w:r>
      <w:r w:rsidR="003645BC" w:rsidRPr="00C94605">
        <w:rPr>
          <w:rFonts w:ascii="Arial" w:hAnsi="Arial" w:cs="Arial"/>
          <w:color w:val="000000"/>
          <w:sz w:val="20"/>
          <w:szCs w:val="20"/>
        </w:rPr>
        <w:t>used</w:t>
      </w:r>
      <w:r w:rsidR="003645BC">
        <w:rPr>
          <w:rFonts w:ascii="Arial" w:hAnsi="Arial" w:cs="Arial"/>
          <w:color w:val="000000"/>
          <w:sz w:val="20"/>
          <w:szCs w:val="20"/>
        </w:rPr>
        <w:t xml:space="preserve"> </w:t>
      </w:r>
      <w:r w:rsidRPr="00FE5B48">
        <w:rPr>
          <w:rFonts w:ascii="Arial" w:hAnsi="Arial" w:cs="Arial"/>
          <w:color w:val="000000"/>
          <w:sz w:val="20"/>
          <w:szCs w:val="20"/>
        </w:rPr>
        <w:t>by financing activities was $</w:t>
      </w:r>
      <w:r w:rsidR="0079090E">
        <w:rPr>
          <w:rFonts w:ascii="Arial" w:hAnsi="Arial" w:cs="Arial"/>
          <w:color w:val="000000"/>
          <w:sz w:val="20"/>
          <w:szCs w:val="20"/>
        </w:rPr>
        <w:t>2,036,027</w:t>
      </w:r>
      <w:r w:rsidRPr="00FE5B48">
        <w:rPr>
          <w:rFonts w:ascii="Arial" w:hAnsi="Arial" w:cs="Arial"/>
          <w:color w:val="000000"/>
          <w:sz w:val="20"/>
          <w:szCs w:val="20"/>
        </w:rPr>
        <w:t xml:space="preserve">, compared to </w:t>
      </w:r>
      <w:r w:rsidR="003645BC">
        <w:rPr>
          <w:rFonts w:ascii="Arial" w:hAnsi="Arial" w:cs="Arial"/>
          <w:color w:val="000000"/>
          <w:sz w:val="20"/>
          <w:szCs w:val="20"/>
        </w:rPr>
        <w:t xml:space="preserve">cash </w:t>
      </w:r>
      <w:r w:rsidR="00C94605" w:rsidRPr="00731EA5">
        <w:rPr>
          <w:rFonts w:ascii="Arial" w:hAnsi="Arial" w:cs="Arial"/>
          <w:color w:val="000000"/>
          <w:sz w:val="20"/>
          <w:szCs w:val="20"/>
        </w:rPr>
        <w:t>provided by financing activities of</w:t>
      </w:r>
      <w:r w:rsidR="003645BC">
        <w:rPr>
          <w:rFonts w:ascii="Arial" w:hAnsi="Arial" w:cs="Arial"/>
          <w:color w:val="000000"/>
          <w:sz w:val="20"/>
          <w:szCs w:val="20"/>
        </w:rPr>
        <w:t xml:space="preserve"> </w:t>
      </w:r>
      <w:r w:rsidRPr="00FE5B48">
        <w:rPr>
          <w:rFonts w:ascii="Arial" w:hAnsi="Arial" w:cs="Arial"/>
          <w:color w:val="000000"/>
          <w:sz w:val="20"/>
          <w:szCs w:val="20"/>
        </w:rPr>
        <w:t>$</w:t>
      </w:r>
      <w:r w:rsidR="0079090E">
        <w:rPr>
          <w:rFonts w:ascii="Arial" w:hAnsi="Arial" w:cs="Arial"/>
          <w:color w:val="000000"/>
          <w:sz w:val="20"/>
          <w:szCs w:val="20"/>
        </w:rPr>
        <w:t>957,846</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FE5B48" w:rsidRPr="00FE5B48">
        <w:rPr>
          <w:rFonts w:ascii="Arial" w:hAnsi="Arial" w:cs="Arial"/>
          <w:color w:val="000000"/>
          <w:sz w:val="20"/>
          <w:szCs w:val="20"/>
        </w:rPr>
        <w:t>:</w:t>
      </w:r>
    </w:p>
    <w:p w14:paraId="1740CBE2" w14:textId="77777777" w:rsidR="00F56B6B" w:rsidRPr="00FE5B48" w:rsidRDefault="00F56B6B" w:rsidP="008C06E4">
      <w:pPr>
        <w:spacing w:after="0"/>
        <w:jc w:val="both"/>
        <w:rPr>
          <w:rFonts w:ascii="Arial" w:hAnsi="Arial" w:cs="Arial"/>
          <w:color w:val="000000"/>
          <w:sz w:val="20"/>
          <w:szCs w:val="20"/>
        </w:rPr>
      </w:pPr>
    </w:p>
    <w:p w14:paraId="1E765A69" w14:textId="62A50A50" w:rsidR="00732B04"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Advances from notes payable </w:t>
      </w:r>
      <w:r w:rsidR="000078A4">
        <w:rPr>
          <w:rFonts w:ascii="Arial" w:hAnsi="Arial" w:cs="Arial"/>
          <w:color w:val="000000"/>
          <w:sz w:val="20"/>
          <w:szCs w:val="20"/>
        </w:rPr>
        <w:t>issuances</w:t>
      </w:r>
      <w:r w:rsidR="000078A4" w:rsidRPr="00FE5B48">
        <w:rPr>
          <w:rFonts w:ascii="Arial" w:hAnsi="Arial" w:cs="Arial"/>
          <w:color w:val="000000"/>
          <w:sz w:val="20"/>
          <w:szCs w:val="20"/>
        </w:rPr>
        <w:t xml:space="preserve"> </w:t>
      </w:r>
      <w:r w:rsidRPr="00FE5B48">
        <w:rPr>
          <w:rFonts w:ascii="Arial" w:hAnsi="Arial" w:cs="Arial"/>
          <w:color w:val="000000"/>
          <w:sz w:val="20"/>
          <w:szCs w:val="20"/>
        </w:rPr>
        <w:t>increased cash by $</w:t>
      </w:r>
      <w:r w:rsidR="0079090E">
        <w:rPr>
          <w:rFonts w:ascii="Arial" w:hAnsi="Arial" w:cs="Arial"/>
          <w:color w:val="000000"/>
          <w:sz w:val="20"/>
          <w:szCs w:val="20"/>
        </w:rPr>
        <w:t>33,842</w:t>
      </w:r>
      <w:r w:rsidRPr="00FE5B48">
        <w:rPr>
          <w:rFonts w:ascii="Arial" w:hAnsi="Arial" w:cs="Arial"/>
          <w:color w:val="000000"/>
          <w:sz w:val="20"/>
          <w:szCs w:val="20"/>
        </w:rPr>
        <w:t xml:space="preserve"> compared to $</w:t>
      </w:r>
      <w:r w:rsidR="0079090E">
        <w:rPr>
          <w:rFonts w:ascii="Arial" w:hAnsi="Arial" w:cs="Arial"/>
          <w:color w:val="000000"/>
          <w:sz w:val="20"/>
          <w:szCs w:val="20"/>
        </w:rPr>
        <w:t>205,000</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5C8F2E70" w14:textId="42ADB067" w:rsidR="00CC1970" w:rsidRPr="00FE5B48" w:rsidRDefault="00CC1970"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Share subscriptions increased cash by $</w:t>
      </w:r>
      <w:r w:rsidR="0079090E">
        <w:rPr>
          <w:rFonts w:ascii="Arial" w:hAnsi="Arial" w:cs="Arial"/>
          <w:color w:val="000000"/>
          <w:sz w:val="20"/>
          <w:szCs w:val="20"/>
        </w:rPr>
        <w:t>2,024,082</w:t>
      </w:r>
      <w:r>
        <w:rPr>
          <w:rFonts w:ascii="Arial" w:hAnsi="Arial" w:cs="Arial"/>
          <w:color w:val="000000"/>
          <w:sz w:val="20"/>
          <w:szCs w:val="20"/>
        </w:rPr>
        <w:t xml:space="preserve"> compared to $</w:t>
      </w:r>
      <w:r w:rsidR="0079090E">
        <w:rPr>
          <w:rFonts w:ascii="Arial" w:hAnsi="Arial" w:cs="Arial"/>
          <w:color w:val="000000"/>
          <w:sz w:val="20"/>
          <w:szCs w:val="20"/>
        </w:rPr>
        <w:t>763,729</w:t>
      </w:r>
      <w:r>
        <w:rPr>
          <w:rFonts w:ascii="Arial" w:hAnsi="Arial" w:cs="Arial"/>
          <w:color w:val="000000"/>
          <w:sz w:val="20"/>
          <w:szCs w:val="20"/>
        </w:rPr>
        <w:t xml:space="preserve"> during Q</w:t>
      </w:r>
      <w:r w:rsidR="003C5740">
        <w:rPr>
          <w:rFonts w:ascii="Arial" w:hAnsi="Arial" w:cs="Arial"/>
          <w:color w:val="000000"/>
          <w:sz w:val="20"/>
          <w:szCs w:val="20"/>
        </w:rPr>
        <w:t>1</w:t>
      </w:r>
      <w:r>
        <w:rPr>
          <w:rFonts w:ascii="Arial" w:hAnsi="Arial" w:cs="Arial"/>
          <w:color w:val="000000"/>
          <w:sz w:val="20"/>
          <w:szCs w:val="20"/>
        </w:rPr>
        <w:t xml:space="preserve"> 201</w:t>
      </w:r>
      <w:r w:rsidR="003C5740">
        <w:rPr>
          <w:rFonts w:ascii="Arial" w:hAnsi="Arial" w:cs="Arial"/>
          <w:color w:val="000000"/>
          <w:sz w:val="20"/>
          <w:szCs w:val="20"/>
        </w:rPr>
        <w:t>8</w:t>
      </w:r>
      <w:r>
        <w:rPr>
          <w:rFonts w:ascii="Arial" w:hAnsi="Arial" w:cs="Arial"/>
          <w:color w:val="000000"/>
          <w:sz w:val="20"/>
          <w:szCs w:val="20"/>
        </w:rPr>
        <w:t>.</w:t>
      </w:r>
    </w:p>
    <w:p w14:paraId="1ED3081E" w14:textId="166FE8C0" w:rsidR="00732B04" w:rsidRPr="00FE5B48" w:rsidRDefault="0079090E"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Payment of lease liability and associated interest decreased cash by $2</w:t>
      </w:r>
      <w:r w:rsidR="00DF5EEB">
        <w:rPr>
          <w:rFonts w:ascii="Arial" w:hAnsi="Arial" w:cs="Arial"/>
          <w:color w:val="000000"/>
          <w:sz w:val="20"/>
          <w:szCs w:val="20"/>
        </w:rPr>
        <w:t>5</w:t>
      </w:r>
      <w:r>
        <w:rPr>
          <w:rFonts w:ascii="Arial" w:hAnsi="Arial" w:cs="Arial"/>
          <w:color w:val="000000"/>
          <w:sz w:val="20"/>
          <w:szCs w:val="20"/>
        </w:rPr>
        <w:t>,</w:t>
      </w:r>
      <w:r w:rsidR="00DF5EEB">
        <w:rPr>
          <w:rFonts w:ascii="Arial" w:hAnsi="Arial" w:cs="Arial"/>
          <w:color w:val="000000"/>
          <w:sz w:val="20"/>
          <w:szCs w:val="20"/>
        </w:rPr>
        <w:t>313</w:t>
      </w:r>
      <w:r>
        <w:rPr>
          <w:rFonts w:ascii="Arial" w:hAnsi="Arial" w:cs="Arial"/>
          <w:color w:val="000000"/>
          <w:sz w:val="20"/>
          <w:szCs w:val="20"/>
        </w:rPr>
        <w:t xml:space="preserve"> and $</w:t>
      </w:r>
      <w:r w:rsidR="00DF5EEB">
        <w:rPr>
          <w:rFonts w:ascii="Arial" w:hAnsi="Arial" w:cs="Arial"/>
          <w:color w:val="000000"/>
          <w:sz w:val="20"/>
          <w:szCs w:val="20"/>
        </w:rPr>
        <w:t>2,056</w:t>
      </w:r>
      <w:r>
        <w:rPr>
          <w:rFonts w:ascii="Arial" w:hAnsi="Arial" w:cs="Arial"/>
          <w:color w:val="000000"/>
          <w:sz w:val="20"/>
          <w:szCs w:val="20"/>
        </w:rPr>
        <w:t xml:space="preserve"> resulting from the adoption of IFRS 16.</w:t>
      </w:r>
    </w:p>
    <w:p w14:paraId="4EDFDAEE" w14:textId="77777777" w:rsidR="00770FCE" w:rsidRDefault="00770FCE" w:rsidP="008C06E4">
      <w:pPr>
        <w:jc w:val="both"/>
        <w:rPr>
          <w:rFonts w:ascii="Arial" w:hAnsi="Arial" w:cs="Arial"/>
          <w:b/>
          <w:bCs/>
          <w:i/>
          <w:color w:val="000000"/>
          <w:sz w:val="20"/>
          <w:szCs w:val="20"/>
          <w:u w:val="single"/>
        </w:rPr>
      </w:pPr>
      <w:r>
        <w:rPr>
          <w:rFonts w:ascii="Arial" w:hAnsi="Arial" w:cs="Arial"/>
          <w:b/>
          <w:bCs/>
          <w:i/>
          <w:color w:val="000000"/>
          <w:sz w:val="20"/>
          <w:szCs w:val="20"/>
          <w:u w:val="single"/>
        </w:rPr>
        <w:br w:type="page"/>
      </w:r>
    </w:p>
    <w:p w14:paraId="045AA5E1" w14:textId="740A6C0B" w:rsidR="00FA6D64" w:rsidRPr="00DA05F7" w:rsidRDefault="00CC1970" w:rsidP="00DA05F7">
      <w:pPr>
        <w:rPr>
          <w:rFonts w:ascii="Arial" w:eastAsia="Times New Roman" w:hAnsi="Arial" w:cs="Arial"/>
          <w:b/>
          <w:bCs/>
          <w:i/>
          <w:color w:val="000000"/>
          <w:sz w:val="20"/>
          <w:szCs w:val="20"/>
          <w:u w:val="single"/>
        </w:rPr>
      </w:pPr>
      <w:r>
        <w:rPr>
          <w:rFonts w:ascii="Arial" w:hAnsi="Arial" w:cs="Arial"/>
          <w:b/>
          <w:bCs/>
          <w:i/>
          <w:color w:val="000000"/>
          <w:sz w:val="20"/>
          <w:szCs w:val="20"/>
          <w:u w:val="single"/>
        </w:rPr>
        <w:lastRenderedPageBreak/>
        <w:br/>
      </w:r>
      <w:r w:rsidR="0079090E">
        <w:rPr>
          <w:rFonts w:ascii="Arial" w:hAnsi="Arial" w:cs="Arial"/>
          <w:b/>
          <w:bCs/>
          <w:i/>
          <w:color w:val="000000"/>
          <w:sz w:val="20"/>
          <w:szCs w:val="20"/>
          <w:u w:val="single"/>
        </w:rPr>
        <w:t>C</w:t>
      </w:r>
      <w:r w:rsidR="00FA6D64" w:rsidRPr="00732B04">
        <w:rPr>
          <w:rFonts w:ascii="Arial" w:hAnsi="Arial" w:cs="Arial"/>
          <w:b/>
          <w:bCs/>
          <w:i/>
          <w:color w:val="000000"/>
          <w:sz w:val="20"/>
          <w:szCs w:val="20"/>
          <w:u w:val="single"/>
        </w:rPr>
        <w:t xml:space="preserve">apital Resources </w:t>
      </w:r>
    </w:p>
    <w:p w14:paraId="7AF7ED04" w14:textId="77777777" w:rsidR="00DA05F7" w:rsidRDefault="00A353D2" w:rsidP="00A353D2">
      <w:pPr>
        <w:tabs>
          <w:tab w:val="left" w:pos="360"/>
        </w:tabs>
        <w:suppressAutoHyphens/>
        <w:spacing w:after="0"/>
        <w:rPr>
          <w:rFonts w:ascii="Arial" w:hAnsi="Arial" w:cs="Arial"/>
          <w:color w:val="000000"/>
          <w:sz w:val="20"/>
          <w:szCs w:val="20"/>
        </w:rPr>
      </w:pPr>
      <w:r>
        <w:rPr>
          <w:rFonts w:ascii="Arial" w:hAnsi="Arial" w:cs="Arial"/>
          <w:color w:val="000000"/>
          <w:sz w:val="20"/>
          <w:szCs w:val="20"/>
        </w:rPr>
        <w:t xml:space="preserve">The capital of the Company consists of </w:t>
      </w:r>
      <w:r w:rsidR="00A5565C">
        <w:rPr>
          <w:rFonts w:ascii="Arial" w:hAnsi="Arial" w:cs="Arial"/>
          <w:color w:val="000000"/>
          <w:sz w:val="20"/>
          <w:szCs w:val="20"/>
        </w:rPr>
        <w:t>consolidated equity</w:t>
      </w:r>
      <w:r>
        <w:rPr>
          <w:rFonts w:ascii="Arial" w:hAnsi="Arial" w:cs="Arial"/>
          <w:color w:val="000000"/>
          <w:sz w:val="20"/>
          <w:szCs w:val="20"/>
        </w:rPr>
        <w:t xml:space="preserve">, </w:t>
      </w:r>
      <w:r w:rsidR="00A5565C">
        <w:rPr>
          <w:rFonts w:ascii="Arial" w:hAnsi="Arial" w:cs="Arial"/>
          <w:color w:val="000000"/>
          <w:sz w:val="20"/>
          <w:szCs w:val="20"/>
        </w:rPr>
        <w:t>notes payable, convertible debentures</w:t>
      </w:r>
      <w:r>
        <w:rPr>
          <w:rFonts w:ascii="Arial" w:hAnsi="Arial" w:cs="Arial"/>
          <w:color w:val="000000"/>
          <w:sz w:val="20"/>
          <w:szCs w:val="20"/>
        </w:rPr>
        <w:t xml:space="preserve"> and </w:t>
      </w:r>
      <w:r w:rsidR="00A5565C">
        <w:rPr>
          <w:rFonts w:ascii="Arial" w:hAnsi="Arial" w:cs="Arial"/>
          <w:color w:val="000000"/>
          <w:sz w:val="20"/>
          <w:szCs w:val="20"/>
        </w:rPr>
        <w:t>secured loan payable</w:t>
      </w:r>
      <w:r>
        <w:rPr>
          <w:rFonts w:ascii="Arial" w:hAnsi="Arial" w:cs="Arial"/>
          <w:color w:val="000000"/>
          <w:sz w:val="20"/>
          <w:szCs w:val="20"/>
        </w:rPr>
        <w:t>, net of cash.</w:t>
      </w:r>
    </w:p>
    <w:p w14:paraId="2441C34B" w14:textId="77777777" w:rsidR="00DA05F7" w:rsidRDefault="00DA05F7" w:rsidP="00A353D2">
      <w:pPr>
        <w:tabs>
          <w:tab w:val="left" w:pos="360"/>
        </w:tabs>
        <w:suppressAutoHyphens/>
        <w:spacing w:after="0"/>
        <w:rPr>
          <w:rFonts w:ascii="Arial" w:hAnsi="Arial" w:cs="Arial"/>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328"/>
        <w:gridCol w:w="2385"/>
        <w:gridCol w:w="328"/>
        <w:gridCol w:w="2129"/>
      </w:tblGrid>
      <w:tr w:rsidR="00A353D2" w:rsidRPr="00FC3890" w14:paraId="3151672E" w14:textId="77777777" w:rsidTr="00770FCE">
        <w:tc>
          <w:tcPr>
            <w:tcW w:w="4190" w:type="dxa"/>
            <w:tcBorders>
              <w:top w:val="single" w:sz="4" w:space="0" w:color="auto"/>
              <w:bottom w:val="single" w:sz="12" w:space="0" w:color="auto"/>
            </w:tcBorders>
            <w:shd w:val="clear" w:color="auto" w:fill="auto"/>
          </w:tcPr>
          <w:p w14:paraId="54BDB6F5" w14:textId="7CDEBCE4" w:rsidR="00A353D2" w:rsidRPr="00C90A0A" w:rsidRDefault="00A353D2" w:rsidP="0043211F">
            <w:pPr>
              <w:jc w:val="both"/>
              <w:rPr>
                <w:rFonts w:ascii="Arial" w:hAnsi="Arial" w:cs="Arial"/>
                <w:sz w:val="20"/>
                <w:szCs w:val="20"/>
                <w:highlight w:val="yellow"/>
              </w:rPr>
            </w:pPr>
            <w:r w:rsidRPr="00C90A0A">
              <w:rPr>
                <w:rFonts w:ascii="Arial" w:hAnsi="Arial" w:cs="Arial"/>
                <w:i/>
                <w:sz w:val="20"/>
                <w:szCs w:val="20"/>
              </w:rPr>
              <w:t xml:space="preserve">As at </w:t>
            </w:r>
          </w:p>
        </w:tc>
        <w:tc>
          <w:tcPr>
            <w:tcW w:w="2713" w:type="dxa"/>
            <w:gridSpan w:val="2"/>
            <w:tcBorders>
              <w:top w:val="single" w:sz="4" w:space="0" w:color="auto"/>
              <w:bottom w:val="single" w:sz="12" w:space="0" w:color="auto"/>
            </w:tcBorders>
            <w:shd w:val="clear" w:color="auto" w:fill="auto"/>
          </w:tcPr>
          <w:p w14:paraId="0D20BECE" w14:textId="5BCD9387" w:rsidR="00A353D2" w:rsidRPr="00DA05F7" w:rsidRDefault="003C5740" w:rsidP="0043211F">
            <w:pPr>
              <w:jc w:val="right"/>
              <w:rPr>
                <w:rFonts w:ascii="Arial" w:hAnsi="Arial" w:cs="Arial"/>
                <w:b/>
                <w:sz w:val="20"/>
                <w:szCs w:val="20"/>
                <w:highlight w:val="yellow"/>
              </w:rPr>
            </w:pPr>
            <w:r>
              <w:rPr>
                <w:rFonts w:ascii="Arial" w:hAnsi="Arial" w:cs="Arial"/>
                <w:b/>
                <w:sz w:val="20"/>
                <w:szCs w:val="20"/>
              </w:rPr>
              <w:t xml:space="preserve">March 31, </w:t>
            </w:r>
            <w:r w:rsidR="00A353D2" w:rsidRPr="00546001">
              <w:rPr>
                <w:rFonts w:ascii="Arial" w:hAnsi="Arial" w:cs="Arial"/>
                <w:b/>
                <w:sz w:val="20"/>
                <w:szCs w:val="20"/>
              </w:rPr>
              <w:t>201</w:t>
            </w:r>
            <w:r>
              <w:rPr>
                <w:rFonts w:ascii="Arial" w:hAnsi="Arial" w:cs="Arial"/>
                <w:b/>
                <w:sz w:val="20"/>
                <w:szCs w:val="20"/>
              </w:rPr>
              <w:t>9</w:t>
            </w:r>
          </w:p>
        </w:tc>
        <w:tc>
          <w:tcPr>
            <w:tcW w:w="2457" w:type="dxa"/>
            <w:gridSpan w:val="2"/>
            <w:tcBorders>
              <w:top w:val="single" w:sz="4" w:space="0" w:color="auto"/>
              <w:bottom w:val="single" w:sz="12" w:space="0" w:color="auto"/>
            </w:tcBorders>
            <w:shd w:val="clear" w:color="auto" w:fill="auto"/>
          </w:tcPr>
          <w:p w14:paraId="3C44AA98" w14:textId="1276223B" w:rsidR="00A353D2" w:rsidRPr="003C5740" w:rsidRDefault="003C5740" w:rsidP="0043211F">
            <w:pPr>
              <w:jc w:val="right"/>
              <w:rPr>
                <w:rFonts w:ascii="Arial" w:hAnsi="Arial" w:cs="Arial"/>
                <w:sz w:val="20"/>
                <w:szCs w:val="20"/>
                <w:highlight w:val="yellow"/>
              </w:rPr>
            </w:pPr>
            <w:r w:rsidRPr="003C5740">
              <w:rPr>
                <w:rFonts w:ascii="Arial" w:hAnsi="Arial" w:cs="Arial"/>
                <w:sz w:val="20"/>
                <w:szCs w:val="20"/>
              </w:rPr>
              <w:t>December 31, 2018</w:t>
            </w:r>
          </w:p>
        </w:tc>
      </w:tr>
      <w:tr w:rsidR="00A353D2" w:rsidRPr="00FC3890" w14:paraId="1CE5CCCB" w14:textId="77777777" w:rsidTr="00770FCE">
        <w:tc>
          <w:tcPr>
            <w:tcW w:w="4190" w:type="dxa"/>
            <w:tcBorders>
              <w:top w:val="single" w:sz="12" w:space="0" w:color="auto"/>
              <w:bottom w:val="nil"/>
            </w:tcBorders>
          </w:tcPr>
          <w:p w14:paraId="6E99E956" w14:textId="622D0C07" w:rsidR="00A353D2" w:rsidRPr="00C90A0A" w:rsidRDefault="00A353D2" w:rsidP="0043211F">
            <w:pPr>
              <w:jc w:val="both"/>
              <w:rPr>
                <w:rFonts w:ascii="Arial" w:hAnsi="Arial" w:cs="Arial"/>
                <w:sz w:val="20"/>
                <w:szCs w:val="20"/>
              </w:rPr>
            </w:pPr>
          </w:p>
        </w:tc>
        <w:tc>
          <w:tcPr>
            <w:tcW w:w="328" w:type="dxa"/>
            <w:tcBorders>
              <w:top w:val="single" w:sz="12" w:space="0" w:color="auto"/>
              <w:bottom w:val="nil"/>
            </w:tcBorders>
          </w:tcPr>
          <w:p w14:paraId="219977F6" w14:textId="2D7AFC47" w:rsidR="00A353D2" w:rsidRPr="00DA05F7" w:rsidRDefault="00A353D2" w:rsidP="0043211F">
            <w:pPr>
              <w:jc w:val="both"/>
              <w:rPr>
                <w:rFonts w:ascii="Arial" w:hAnsi="Arial" w:cs="Arial"/>
                <w:b/>
                <w:sz w:val="20"/>
                <w:szCs w:val="20"/>
              </w:rPr>
            </w:pPr>
          </w:p>
        </w:tc>
        <w:tc>
          <w:tcPr>
            <w:tcW w:w="2385" w:type="dxa"/>
            <w:tcBorders>
              <w:top w:val="single" w:sz="12" w:space="0" w:color="auto"/>
              <w:bottom w:val="nil"/>
            </w:tcBorders>
          </w:tcPr>
          <w:p w14:paraId="179BEB9E" w14:textId="29AB58D0" w:rsidR="00A353D2" w:rsidRPr="00DA05F7" w:rsidRDefault="00A353D2" w:rsidP="00A5565C">
            <w:pPr>
              <w:jc w:val="right"/>
              <w:rPr>
                <w:rFonts w:ascii="Arial" w:hAnsi="Arial" w:cs="Arial"/>
                <w:b/>
                <w:sz w:val="20"/>
                <w:szCs w:val="20"/>
              </w:rPr>
            </w:pPr>
          </w:p>
        </w:tc>
        <w:tc>
          <w:tcPr>
            <w:tcW w:w="328" w:type="dxa"/>
            <w:tcBorders>
              <w:top w:val="single" w:sz="12" w:space="0" w:color="auto"/>
              <w:bottom w:val="nil"/>
            </w:tcBorders>
          </w:tcPr>
          <w:p w14:paraId="53AAB84E" w14:textId="0E8BF10E" w:rsidR="00A353D2" w:rsidRPr="00C90A0A" w:rsidRDefault="00A353D2" w:rsidP="0043211F">
            <w:pPr>
              <w:jc w:val="both"/>
              <w:rPr>
                <w:rFonts w:ascii="Arial" w:hAnsi="Arial" w:cs="Arial"/>
                <w:sz w:val="20"/>
                <w:szCs w:val="20"/>
              </w:rPr>
            </w:pPr>
          </w:p>
        </w:tc>
        <w:tc>
          <w:tcPr>
            <w:tcW w:w="2129" w:type="dxa"/>
            <w:tcBorders>
              <w:top w:val="single" w:sz="12" w:space="0" w:color="auto"/>
              <w:bottom w:val="nil"/>
            </w:tcBorders>
          </w:tcPr>
          <w:p w14:paraId="576D731C" w14:textId="41590119" w:rsidR="00A353D2" w:rsidRPr="00C90A0A" w:rsidRDefault="00A353D2" w:rsidP="00A5565C">
            <w:pPr>
              <w:jc w:val="right"/>
              <w:rPr>
                <w:rFonts w:ascii="Arial" w:hAnsi="Arial" w:cs="Arial"/>
                <w:sz w:val="20"/>
                <w:szCs w:val="20"/>
              </w:rPr>
            </w:pPr>
          </w:p>
        </w:tc>
      </w:tr>
      <w:tr w:rsidR="003F5DC9" w:rsidRPr="00FC3890" w14:paraId="56FCF53D" w14:textId="77777777" w:rsidTr="00E27B44">
        <w:tc>
          <w:tcPr>
            <w:tcW w:w="4190" w:type="dxa"/>
            <w:tcBorders>
              <w:top w:val="nil"/>
              <w:bottom w:val="nil"/>
            </w:tcBorders>
          </w:tcPr>
          <w:p w14:paraId="3D52408E" w14:textId="77777777" w:rsidR="003F5DC9" w:rsidRPr="00C90A0A" w:rsidRDefault="003F5DC9" w:rsidP="003F5DC9">
            <w:pPr>
              <w:jc w:val="both"/>
              <w:rPr>
                <w:rFonts w:ascii="Arial" w:hAnsi="Arial" w:cs="Arial"/>
                <w:sz w:val="20"/>
                <w:szCs w:val="20"/>
              </w:rPr>
            </w:pPr>
            <w:r>
              <w:rPr>
                <w:rFonts w:ascii="Arial" w:hAnsi="Arial" w:cs="Arial"/>
                <w:sz w:val="20"/>
                <w:szCs w:val="20"/>
              </w:rPr>
              <w:t>Equity</w:t>
            </w:r>
          </w:p>
        </w:tc>
        <w:tc>
          <w:tcPr>
            <w:tcW w:w="328" w:type="dxa"/>
            <w:tcBorders>
              <w:top w:val="nil"/>
              <w:bottom w:val="nil"/>
            </w:tcBorders>
          </w:tcPr>
          <w:p w14:paraId="17836BB1" w14:textId="77777777" w:rsidR="003F5DC9" w:rsidRPr="00DA05F7" w:rsidRDefault="003F5DC9" w:rsidP="003F5DC9">
            <w:pPr>
              <w:jc w:val="both"/>
              <w:rPr>
                <w:rFonts w:ascii="Arial" w:hAnsi="Arial" w:cs="Arial"/>
                <w:b/>
                <w:sz w:val="20"/>
                <w:szCs w:val="20"/>
              </w:rPr>
            </w:pPr>
            <w:r w:rsidRPr="00DA05F7">
              <w:rPr>
                <w:rFonts w:ascii="Arial" w:hAnsi="Arial" w:cs="Arial"/>
                <w:b/>
                <w:sz w:val="20"/>
                <w:szCs w:val="20"/>
              </w:rPr>
              <w:t>$</w:t>
            </w:r>
          </w:p>
        </w:tc>
        <w:tc>
          <w:tcPr>
            <w:tcW w:w="2385" w:type="dxa"/>
            <w:tcBorders>
              <w:top w:val="nil"/>
              <w:bottom w:val="nil"/>
            </w:tcBorders>
            <w:vAlign w:val="bottom"/>
          </w:tcPr>
          <w:p w14:paraId="27C7328E" w14:textId="0021628D" w:rsidR="003F5DC9" w:rsidRPr="00B51B41" w:rsidRDefault="003F5DC9" w:rsidP="003F5DC9">
            <w:pPr>
              <w:ind w:right="-66"/>
              <w:jc w:val="right"/>
              <w:rPr>
                <w:rFonts w:ascii="Arial" w:hAnsi="Arial" w:cs="Arial"/>
                <w:b/>
                <w:sz w:val="20"/>
                <w:szCs w:val="20"/>
              </w:rPr>
            </w:pPr>
            <w:r>
              <w:rPr>
                <w:rFonts w:ascii="Arial" w:hAnsi="Arial" w:cs="Arial"/>
                <w:b/>
                <w:sz w:val="20"/>
                <w:szCs w:val="20"/>
              </w:rPr>
              <w:t>(</w:t>
            </w:r>
            <w:r w:rsidR="00A53CDA">
              <w:rPr>
                <w:rFonts w:ascii="Arial" w:hAnsi="Arial" w:cs="Arial"/>
                <w:b/>
                <w:sz w:val="20"/>
                <w:szCs w:val="20"/>
              </w:rPr>
              <w:t>3,047,724</w:t>
            </w:r>
            <w:r>
              <w:rPr>
                <w:rFonts w:ascii="Arial" w:hAnsi="Arial" w:cs="Arial"/>
                <w:b/>
                <w:sz w:val="20"/>
                <w:szCs w:val="20"/>
              </w:rPr>
              <w:t>)</w:t>
            </w:r>
          </w:p>
        </w:tc>
        <w:tc>
          <w:tcPr>
            <w:tcW w:w="328" w:type="dxa"/>
            <w:tcBorders>
              <w:top w:val="nil"/>
              <w:bottom w:val="nil"/>
            </w:tcBorders>
          </w:tcPr>
          <w:p w14:paraId="1FEB2F7B" w14:textId="77777777" w:rsidR="003F5DC9" w:rsidRPr="00C90A0A" w:rsidRDefault="003F5DC9" w:rsidP="003F5DC9">
            <w:pPr>
              <w:jc w:val="both"/>
              <w:rPr>
                <w:rFonts w:ascii="Arial" w:hAnsi="Arial" w:cs="Arial"/>
                <w:sz w:val="20"/>
                <w:szCs w:val="20"/>
              </w:rPr>
            </w:pPr>
            <w:r>
              <w:rPr>
                <w:rFonts w:ascii="Arial" w:hAnsi="Arial" w:cs="Arial"/>
                <w:sz w:val="20"/>
                <w:szCs w:val="20"/>
              </w:rPr>
              <w:t>$</w:t>
            </w:r>
          </w:p>
        </w:tc>
        <w:tc>
          <w:tcPr>
            <w:tcW w:w="2129" w:type="dxa"/>
            <w:tcBorders>
              <w:top w:val="nil"/>
              <w:bottom w:val="nil"/>
            </w:tcBorders>
            <w:vAlign w:val="bottom"/>
          </w:tcPr>
          <w:p w14:paraId="1C893683" w14:textId="25724DCE" w:rsidR="003F5DC9" w:rsidRPr="003F5DC9" w:rsidRDefault="003F5DC9" w:rsidP="003F5DC9">
            <w:pPr>
              <w:ind w:right="-50"/>
              <w:jc w:val="right"/>
              <w:rPr>
                <w:rFonts w:ascii="Arial" w:hAnsi="Arial" w:cs="Arial"/>
                <w:bCs/>
                <w:sz w:val="20"/>
                <w:szCs w:val="20"/>
              </w:rPr>
            </w:pPr>
            <w:r w:rsidRPr="003F5DC9">
              <w:rPr>
                <w:rFonts w:ascii="Arial" w:hAnsi="Arial" w:cs="Arial"/>
                <w:bCs/>
                <w:sz w:val="20"/>
                <w:szCs w:val="20"/>
              </w:rPr>
              <w:t>(2,996,220)</w:t>
            </w:r>
          </w:p>
        </w:tc>
      </w:tr>
      <w:tr w:rsidR="003F5DC9" w:rsidRPr="00FC3890" w14:paraId="1F24C2FF" w14:textId="77777777" w:rsidTr="00E27B44">
        <w:tc>
          <w:tcPr>
            <w:tcW w:w="4190" w:type="dxa"/>
            <w:tcBorders>
              <w:top w:val="nil"/>
              <w:bottom w:val="nil"/>
            </w:tcBorders>
          </w:tcPr>
          <w:p w14:paraId="79B7A898" w14:textId="44D90053" w:rsidR="003F5DC9" w:rsidRDefault="003F5DC9" w:rsidP="003F5DC9">
            <w:pPr>
              <w:jc w:val="both"/>
              <w:rPr>
                <w:rFonts w:ascii="Arial" w:hAnsi="Arial" w:cs="Arial"/>
                <w:sz w:val="20"/>
                <w:szCs w:val="20"/>
              </w:rPr>
            </w:pPr>
            <w:r>
              <w:rPr>
                <w:rFonts w:ascii="Arial" w:hAnsi="Arial" w:cs="Arial"/>
                <w:sz w:val="20"/>
                <w:szCs w:val="20"/>
              </w:rPr>
              <w:t>Notes payable</w:t>
            </w:r>
          </w:p>
        </w:tc>
        <w:tc>
          <w:tcPr>
            <w:tcW w:w="328" w:type="dxa"/>
            <w:tcBorders>
              <w:top w:val="nil"/>
              <w:bottom w:val="nil"/>
            </w:tcBorders>
          </w:tcPr>
          <w:p w14:paraId="15CBDABD" w14:textId="77777777" w:rsidR="003F5DC9" w:rsidRPr="00DA05F7" w:rsidRDefault="003F5DC9" w:rsidP="003F5DC9">
            <w:pPr>
              <w:jc w:val="both"/>
              <w:rPr>
                <w:rFonts w:ascii="Arial" w:hAnsi="Arial" w:cs="Arial"/>
                <w:b/>
                <w:sz w:val="20"/>
                <w:szCs w:val="20"/>
              </w:rPr>
            </w:pPr>
          </w:p>
        </w:tc>
        <w:tc>
          <w:tcPr>
            <w:tcW w:w="2385" w:type="dxa"/>
            <w:tcBorders>
              <w:top w:val="nil"/>
              <w:bottom w:val="nil"/>
            </w:tcBorders>
            <w:vAlign w:val="bottom"/>
          </w:tcPr>
          <w:p w14:paraId="48934087" w14:textId="419BD29A" w:rsidR="003F5DC9" w:rsidRPr="00B51B41" w:rsidRDefault="00A53CDA" w:rsidP="003F5DC9">
            <w:pPr>
              <w:jc w:val="right"/>
              <w:rPr>
                <w:rFonts w:ascii="Arial" w:hAnsi="Arial" w:cs="Arial"/>
                <w:b/>
                <w:sz w:val="20"/>
                <w:szCs w:val="20"/>
              </w:rPr>
            </w:pPr>
            <w:r>
              <w:rPr>
                <w:rFonts w:ascii="Arial" w:hAnsi="Arial" w:cs="Arial"/>
                <w:b/>
                <w:sz w:val="20"/>
                <w:szCs w:val="20"/>
              </w:rPr>
              <w:t>804,724</w:t>
            </w:r>
          </w:p>
        </w:tc>
        <w:tc>
          <w:tcPr>
            <w:tcW w:w="328" w:type="dxa"/>
            <w:tcBorders>
              <w:top w:val="nil"/>
              <w:bottom w:val="nil"/>
            </w:tcBorders>
          </w:tcPr>
          <w:p w14:paraId="541F59E7" w14:textId="77777777" w:rsidR="003F5DC9" w:rsidRPr="00FC3890" w:rsidRDefault="003F5DC9" w:rsidP="003F5DC9">
            <w:pPr>
              <w:jc w:val="both"/>
              <w:rPr>
                <w:rFonts w:ascii="Arial" w:hAnsi="Arial" w:cs="Arial"/>
                <w:sz w:val="20"/>
                <w:szCs w:val="20"/>
              </w:rPr>
            </w:pPr>
          </w:p>
        </w:tc>
        <w:tc>
          <w:tcPr>
            <w:tcW w:w="2129" w:type="dxa"/>
            <w:tcBorders>
              <w:top w:val="nil"/>
              <w:bottom w:val="nil"/>
            </w:tcBorders>
            <w:vAlign w:val="bottom"/>
          </w:tcPr>
          <w:p w14:paraId="51C8CB1C" w14:textId="3049D58D" w:rsidR="003F5DC9" w:rsidRPr="003F5DC9" w:rsidRDefault="003F5DC9" w:rsidP="003F5DC9">
            <w:pPr>
              <w:jc w:val="right"/>
              <w:rPr>
                <w:rFonts w:ascii="Arial" w:hAnsi="Arial" w:cs="Arial"/>
                <w:bCs/>
                <w:sz w:val="20"/>
                <w:szCs w:val="20"/>
              </w:rPr>
            </w:pPr>
            <w:r w:rsidRPr="003F5DC9">
              <w:rPr>
                <w:rFonts w:ascii="Arial" w:hAnsi="Arial" w:cs="Arial"/>
                <w:bCs/>
                <w:sz w:val="20"/>
                <w:szCs w:val="20"/>
              </w:rPr>
              <w:t>760,715</w:t>
            </w:r>
          </w:p>
        </w:tc>
      </w:tr>
      <w:tr w:rsidR="003F5DC9" w:rsidRPr="00FC3890" w14:paraId="44D5107B" w14:textId="77777777" w:rsidTr="00E27B44">
        <w:tc>
          <w:tcPr>
            <w:tcW w:w="4190" w:type="dxa"/>
            <w:tcBorders>
              <w:top w:val="nil"/>
              <w:bottom w:val="nil"/>
            </w:tcBorders>
          </w:tcPr>
          <w:p w14:paraId="36EE567F" w14:textId="771CAD08" w:rsidR="003F5DC9" w:rsidRPr="00FC3890" w:rsidRDefault="003F5DC9" w:rsidP="003F5DC9">
            <w:pPr>
              <w:jc w:val="both"/>
              <w:rPr>
                <w:rFonts w:ascii="Arial" w:hAnsi="Arial" w:cs="Arial"/>
                <w:sz w:val="20"/>
                <w:szCs w:val="20"/>
              </w:rPr>
            </w:pPr>
            <w:r>
              <w:rPr>
                <w:rFonts w:ascii="Arial" w:hAnsi="Arial" w:cs="Arial"/>
                <w:sz w:val="20"/>
                <w:szCs w:val="20"/>
              </w:rPr>
              <w:t>Convertible debentures</w:t>
            </w:r>
          </w:p>
        </w:tc>
        <w:tc>
          <w:tcPr>
            <w:tcW w:w="328" w:type="dxa"/>
            <w:tcBorders>
              <w:top w:val="nil"/>
              <w:bottom w:val="nil"/>
            </w:tcBorders>
          </w:tcPr>
          <w:p w14:paraId="70791C4D" w14:textId="77777777" w:rsidR="003F5DC9" w:rsidRPr="00DA05F7" w:rsidRDefault="003F5DC9" w:rsidP="003F5DC9">
            <w:pPr>
              <w:jc w:val="both"/>
              <w:rPr>
                <w:rFonts w:ascii="Arial" w:hAnsi="Arial" w:cs="Arial"/>
                <w:b/>
                <w:sz w:val="20"/>
                <w:szCs w:val="20"/>
              </w:rPr>
            </w:pPr>
          </w:p>
        </w:tc>
        <w:tc>
          <w:tcPr>
            <w:tcW w:w="2385" w:type="dxa"/>
            <w:tcBorders>
              <w:top w:val="nil"/>
              <w:bottom w:val="nil"/>
            </w:tcBorders>
            <w:vAlign w:val="bottom"/>
          </w:tcPr>
          <w:p w14:paraId="713FB1D4" w14:textId="25322912" w:rsidR="003F5DC9" w:rsidRPr="00B51B41" w:rsidRDefault="003F5DC9" w:rsidP="003F5DC9">
            <w:pPr>
              <w:jc w:val="right"/>
              <w:rPr>
                <w:rFonts w:ascii="Arial" w:hAnsi="Arial" w:cs="Arial"/>
                <w:b/>
                <w:sz w:val="20"/>
                <w:szCs w:val="20"/>
              </w:rPr>
            </w:pPr>
            <w:r>
              <w:rPr>
                <w:rFonts w:ascii="Arial" w:hAnsi="Arial" w:cs="Arial"/>
                <w:b/>
                <w:sz w:val="20"/>
                <w:szCs w:val="20"/>
              </w:rPr>
              <w:t>302,924</w:t>
            </w:r>
          </w:p>
        </w:tc>
        <w:tc>
          <w:tcPr>
            <w:tcW w:w="328" w:type="dxa"/>
            <w:tcBorders>
              <w:top w:val="nil"/>
              <w:bottom w:val="nil"/>
            </w:tcBorders>
          </w:tcPr>
          <w:p w14:paraId="3395F599" w14:textId="77777777" w:rsidR="003F5DC9" w:rsidRPr="00FC3890" w:rsidRDefault="003F5DC9" w:rsidP="003F5DC9">
            <w:pPr>
              <w:jc w:val="both"/>
              <w:rPr>
                <w:rFonts w:ascii="Arial" w:hAnsi="Arial" w:cs="Arial"/>
                <w:sz w:val="20"/>
                <w:szCs w:val="20"/>
              </w:rPr>
            </w:pPr>
          </w:p>
        </w:tc>
        <w:tc>
          <w:tcPr>
            <w:tcW w:w="2129" w:type="dxa"/>
            <w:tcBorders>
              <w:top w:val="nil"/>
              <w:bottom w:val="nil"/>
            </w:tcBorders>
            <w:vAlign w:val="bottom"/>
          </w:tcPr>
          <w:p w14:paraId="1AFBB17F" w14:textId="58500A14" w:rsidR="003F5DC9" w:rsidRPr="003F5DC9" w:rsidRDefault="003F5DC9" w:rsidP="003F5DC9">
            <w:pPr>
              <w:jc w:val="right"/>
              <w:rPr>
                <w:rFonts w:ascii="Arial" w:hAnsi="Arial" w:cs="Arial"/>
                <w:bCs/>
                <w:sz w:val="20"/>
                <w:szCs w:val="20"/>
              </w:rPr>
            </w:pPr>
            <w:r w:rsidRPr="003F5DC9">
              <w:rPr>
                <w:rFonts w:ascii="Arial" w:hAnsi="Arial" w:cs="Arial"/>
                <w:bCs/>
                <w:sz w:val="20"/>
                <w:szCs w:val="20"/>
              </w:rPr>
              <w:t>274,466</w:t>
            </w:r>
          </w:p>
        </w:tc>
      </w:tr>
      <w:tr w:rsidR="003F5DC9" w:rsidRPr="00FC3890" w14:paraId="0CB43FCD" w14:textId="77777777" w:rsidTr="005435FC">
        <w:tc>
          <w:tcPr>
            <w:tcW w:w="4190" w:type="dxa"/>
            <w:tcBorders>
              <w:top w:val="nil"/>
              <w:bottom w:val="single" w:sz="4" w:space="0" w:color="auto"/>
            </w:tcBorders>
          </w:tcPr>
          <w:p w14:paraId="3CE61321" w14:textId="78CB5E59" w:rsidR="003F5DC9" w:rsidRPr="00FC3890" w:rsidRDefault="003F5DC9" w:rsidP="003F5DC9">
            <w:pPr>
              <w:jc w:val="both"/>
              <w:rPr>
                <w:rFonts w:ascii="Arial" w:hAnsi="Arial" w:cs="Arial"/>
                <w:sz w:val="20"/>
                <w:szCs w:val="20"/>
              </w:rPr>
            </w:pPr>
            <w:r>
              <w:rPr>
                <w:rFonts w:ascii="Arial" w:hAnsi="Arial" w:cs="Arial"/>
                <w:sz w:val="20"/>
                <w:szCs w:val="20"/>
              </w:rPr>
              <w:t>Secured loan payable</w:t>
            </w:r>
          </w:p>
        </w:tc>
        <w:tc>
          <w:tcPr>
            <w:tcW w:w="328" w:type="dxa"/>
            <w:tcBorders>
              <w:top w:val="nil"/>
              <w:bottom w:val="single" w:sz="4" w:space="0" w:color="auto"/>
            </w:tcBorders>
          </w:tcPr>
          <w:p w14:paraId="6178A7A9" w14:textId="77777777" w:rsidR="003F5DC9" w:rsidRPr="00DA05F7" w:rsidRDefault="003F5DC9" w:rsidP="003F5DC9">
            <w:pPr>
              <w:jc w:val="both"/>
              <w:rPr>
                <w:rFonts w:ascii="Arial" w:hAnsi="Arial" w:cs="Arial"/>
                <w:b/>
                <w:sz w:val="20"/>
                <w:szCs w:val="20"/>
              </w:rPr>
            </w:pPr>
          </w:p>
        </w:tc>
        <w:tc>
          <w:tcPr>
            <w:tcW w:w="2385" w:type="dxa"/>
            <w:tcBorders>
              <w:top w:val="nil"/>
              <w:bottom w:val="single" w:sz="4" w:space="0" w:color="auto"/>
            </w:tcBorders>
            <w:vAlign w:val="bottom"/>
          </w:tcPr>
          <w:p w14:paraId="6CC4F3F4" w14:textId="2EC88ABF" w:rsidR="003F5DC9" w:rsidRPr="00B51B41" w:rsidRDefault="003F5DC9" w:rsidP="003F5DC9">
            <w:pPr>
              <w:jc w:val="right"/>
              <w:rPr>
                <w:rFonts w:ascii="Arial" w:hAnsi="Arial" w:cs="Arial"/>
                <w:b/>
                <w:sz w:val="20"/>
                <w:szCs w:val="20"/>
              </w:rPr>
            </w:pPr>
            <w:r>
              <w:rPr>
                <w:rFonts w:ascii="Arial" w:hAnsi="Arial" w:cs="Arial"/>
                <w:b/>
                <w:sz w:val="20"/>
                <w:szCs w:val="20"/>
              </w:rPr>
              <w:t>728,127</w:t>
            </w:r>
          </w:p>
        </w:tc>
        <w:tc>
          <w:tcPr>
            <w:tcW w:w="328" w:type="dxa"/>
            <w:tcBorders>
              <w:top w:val="nil"/>
              <w:bottom w:val="single" w:sz="4" w:space="0" w:color="auto"/>
            </w:tcBorders>
          </w:tcPr>
          <w:p w14:paraId="5ACFD79E" w14:textId="77777777" w:rsidR="003F5DC9" w:rsidRPr="00FC3890" w:rsidRDefault="003F5DC9" w:rsidP="003F5DC9">
            <w:pPr>
              <w:jc w:val="both"/>
              <w:rPr>
                <w:rFonts w:ascii="Arial" w:hAnsi="Arial" w:cs="Arial"/>
                <w:sz w:val="20"/>
                <w:szCs w:val="20"/>
              </w:rPr>
            </w:pPr>
          </w:p>
        </w:tc>
        <w:tc>
          <w:tcPr>
            <w:tcW w:w="2129" w:type="dxa"/>
            <w:tcBorders>
              <w:top w:val="nil"/>
              <w:bottom w:val="single" w:sz="4" w:space="0" w:color="auto"/>
            </w:tcBorders>
            <w:vAlign w:val="bottom"/>
          </w:tcPr>
          <w:p w14:paraId="728FAB87" w14:textId="30F18D93" w:rsidR="003F5DC9" w:rsidRPr="003F5DC9" w:rsidRDefault="003F5DC9" w:rsidP="003F5DC9">
            <w:pPr>
              <w:jc w:val="right"/>
              <w:rPr>
                <w:rFonts w:ascii="Arial" w:hAnsi="Arial" w:cs="Arial"/>
                <w:bCs/>
                <w:sz w:val="20"/>
                <w:szCs w:val="20"/>
              </w:rPr>
            </w:pPr>
            <w:r w:rsidRPr="003F5DC9">
              <w:rPr>
                <w:rFonts w:ascii="Arial" w:hAnsi="Arial" w:cs="Arial"/>
                <w:bCs/>
                <w:sz w:val="20"/>
                <w:szCs w:val="20"/>
              </w:rPr>
              <w:t>717,460</w:t>
            </w:r>
          </w:p>
        </w:tc>
      </w:tr>
      <w:tr w:rsidR="003F5DC9" w:rsidRPr="00FC3890" w14:paraId="578CA1FC" w14:textId="77777777" w:rsidTr="00A5074B">
        <w:tc>
          <w:tcPr>
            <w:tcW w:w="4190" w:type="dxa"/>
            <w:tcBorders>
              <w:top w:val="single" w:sz="4" w:space="0" w:color="auto"/>
              <w:bottom w:val="nil"/>
            </w:tcBorders>
          </w:tcPr>
          <w:p w14:paraId="7A00425B" w14:textId="0E0C3C8A" w:rsidR="003F5DC9" w:rsidRPr="00C90A0A" w:rsidRDefault="003F5DC9" w:rsidP="003F5DC9">
            <w:pPr>
              <w:jc w:val="both"/>
              <w:rPr>
                <w:rFonts w:ascii="Arial" w:hAnsi="Arial" w:cs="Arial"/>
                <w:sz w:val="20"/>
                <w:szCs w:val="20"/>
              </w:rPr>
            </w:pPr>
          </w:p>
        </w:tc>
        <w:tc>
          <w:tcPr>
            <w:tcW w:w="328" w:type="dxa"/>
            <w:tcBorders>
              <w:top w:val="single" w:sz="4" w:space="0" w:color="auto"/>
              <w:bottom w:val="nil"/>
            </w:tcBorders>
          </w:tcPr>
          <w:p w14:paraId="76FEA7AC" w14:textId="77777777" w:rsidR="003F5DC9" w:rsidRPr="00DA05F7" w:rsidRDefault="003F5DC9" w:rsidP="003F5DC9">
            <w:pPr>
              <w:jc w:val="both"/>
              <w:rPr>
                <w:rFonts w:ascii="Arial" w:hAnsi="Arial" w:cs="Arial"/>
                <w:b/>
                <w:sz w:val="20"/>
                <w:szCs w:val="20"/>
              </w:rPr>
            </w:pPr>
          </w:p>
        </w:tc>
        <w:tc>
          <w:tcPr>
            <w:tcW w:w="2385" w:type="dxa"/>
            <w:tcBorders>
              <w:top w:val="single" w:sz="4" w:space="0" w:color="auto"/>
              <w:bottom w:val="nil"/>
            </w:tcBorders>
            <w:vAlign w:val="bottom"/>
          </w:tcPr>
          <w:p w14:paraId="22737330" w14:textId="4DE6EC57" w:rsidR="003F5DC9" w:rsidRPr="00B51B41" w:rsidRDefault="003F5DC9" w:rsidP="003F5DC9">
            <w:pPr>
              <w:ind w:right="-66"/>
              <w:jc w:val="right"/>
              <w:rPr>
                <w:rFonts w:ascii="Arial" w:hAnsi="Arial" w:cs="Arial"/>
                <w:b/>
                <w:sz w:val="20"/>
                <w:szCs w:val="20"/>
              </w:rPr>
            </w:pPr>
            <w:r>
              <w:rPr>
                <w:rFonts w:ascii="Arial" w:hAnsi="Arial" w:cs="Arial"/>
                <w:b/>
                <w:sz w:val="20"/>
                <w:szCs w:val="20"/>
              </w:rPr>
              <w:t>(1,</w:t>
            </w:r>
            <w:r w:rsidR="006D3813">
              <w:rPr>
                <w:rFonts w:ascii="Arial" w:hAnsi="Arial" w:cs="Arial"/>
                <w:b/>
                <w:sz w:val="20"/>
                <w:szCs w:val="20"/>
              </w:rPr>
              <w:t>211,949</w:t>
            </w:r>
            <w:r>
              <w:rPr>
                <w:rFonts w:ascii="Arial" w:hAnsi="Arial" w:cs="Arial"/>
                <w:b/>
                <w:sz w:val="20"/>
                <w:szCs w:val="20"/>
              </w:rPr>
              <w:t>)</w:t>
            </w:r>
          </w:p>
        </w:tc>
        <w:tc>
          <w:tcPr>
            <w:tcW w:w="328" w:type="dxa"/>
            <w:tcBorders>
              <w:top w:val="single" w:sz="4" w:space="0" w:color="auto"/>
              <w:bottom w:val="nil"/>
            </w:tcBorders>
            <w:vAlign w:val="bottom"/>
          </w:tcPr>
          <w:p w14:paraId="4216BC19" w14:textId="77777777" w:rsidR="003F5DC9" w:rsidRPr="00731EA5" w:rsidRDefault="003F5DC9" w:rsidP="003F5DC9">
            <w:pPr>
              <w:jc w:val="both"/>
              <w:rPr>
                <w:rFonts w:ascii="Arial" w:hAnsi="Arial" w:cs="Arial"/>
                <w:b/>
                <w:sz w:val="20"/>
                <w:szCs w:val="20"/>
              </w:rPr>
            </w:pPr>
          </w:p>
        </w:tc>
        <w:tc>
          <w:tcPr>
            <w:tcW w:w="2129" w:type="dxa"/>
            <w:tcBorders>
              <w:top w:val="single" w:sz="4" w:space="0" w:color="auto"/>
              <w:bottom w:val="nil"/>
            </w:tcBorders>
            <w:vAlign w:val="bottom"/>
          </w:tcPr>
          <w:p w14:paraId="7D3AE5BE" w14:textId="1515E51A" w:rsidR="003F5DC9" w:rsidRPr="003F5DC9" w:rsidRDefault="003F5DC9" w:rsidP="003F5DC9">
            <w:pPr>
              <w:ind w:right="-59"/>
              <w:jc w:val="right"/>
              <w:rPr>
                <w:rFonts w:ascii="Arial" w:hAnsi="Arial" w:cs="Arial"/>
                <w:bCs/>
                <w:sz w:val="20"/>
                <w:szCs w:val="20"/>
              </w:rPr>
            </w:pPr>
            <w:r w:rsidRPr="003F5DC9">
              <w:rPr>
                <w:rFonts w:ascii="Arial" w:hAnsi="Arial" w:cs="Arial"/>
                <w:bCs/>
                <w:sz w:val="20"/>
                <w:szCs w:val="20"/>
              </w:rPr>
              <w:t>(1,243,579)</w:t>
            </w:r>
          </w:p>
        </w:tc>
      </w:tr>
      <w:tr w:rsidR="00A5074B" w:rsidRPr="00FC3890" w14:paraId="3D630C4E" w14:textId="77777777" w:rsidTr="00372D83">
        <w:tc>
          <w:tcPr>
            <w:tcW w:w="4190" w:type="dxa"/>
            <w:tcBorders>
              <w:top w:val="nil"/>
              <w:bottom w:val="nil"/>
            </w:tcBorders>
          </w:tcPr>
          <w:p w14:paraId="48FDC166" w14:textId="77777777" w:rsidR="00A5074B" w:rsidRPr="00C90A0A" w:rsidRDefault="00A5074B" w:rsidP="003F5DC9">
            <w:pPr>
              <w:jc w:val="both"/>
              <w:rPr>
                <w:rFonts w:ascii="Arial" w:hAnsi="Arial" w:cs="Arial"/>
                <w:sz w:val="20"/>
                <w:szCs w:val="20"/>
              </w:rPr>
            </w:pPr>
          </w:p>
        </w:tc>
        <w:tc>
          <w:tcPr>
            <w:tcW w:w="328" w:type="dxa"/>
            <w:tcBorders>
              <w:top w:val="nil"/>
              <w:bottom w:val="nil"/>
            </w:tcBorders>
          </w:tcPr>
          <w:p w14:paraId="49F1381A" w14:textId="77777777" w:rsidR="00A5074B" w:rsidRPr="00DA05F7" w:rsidRDefault="00A5074B" w:rsidP="003F5DC9">
            <w:pPr>
              <w:jc w:val="both"/>
              <w:rPr>
                <w:rFonts w:ascii="Arial" w:hAnsi="Arial" w:cs="Arial"/>
                <w:b/>
                <w:sz w:val="20"/>
                <w:szCs w:val="20"/>
              </w:rPr>
            </w:pPr>
          </w:p>
        </w:tc>
        <w:tc>
          <w:tcPr>
            <w:tcW w:w="2385" w:type="dxa"/>
            <w:tcBorders>
              <w:top w:val="nil"/>
              <w:bottom w:val="nil"/>
            </w:tcBorders>
            <w:vAlign w:val="bottom"/>
          </w:tcPr>
          <w:p w14:paraId="46021EC7" w14:textId="77777777" w:rsidR="00A5074B" w:rsidRDefault="00A5074B" w:rsidP="003F5DC9">
            <w:pPr>
              <w:ind w:right="-66"/>
              <w:jc w:val="right"/>
              <w:rPr>
                <w:rFonts w:ascii="Arial" w:hAnsi="Arial" w:cs="Arial"/>
                <w:b/>
                <w:sz w:val="20"/>
                <w:szCs w:val="20"/>
              </w:rPr>
            </w:pPr>
          </w:p>
        </w:tc>
        <w:tc>
          <w:tcPr>
            <w:tcW w:w="328" w:type="dxa"/>
            <w:tcBorders>
              <w:top w:val="nil"/>
              <w:bottom w:val="nil"/>
            </w:tcBorders>
            <w:vAlign w:val="bottom"/>
          </w:tcPr>
          <w:p w14:paraId="5A639042" w14:textId="77777777" w:rsidR="00A5074B" w:rsidRPr="00731EA5" w:rsidRDefault="00A5074B" w:rsidP="003F5DC9">
            <w:pPr>
              <w:jc w:val="both"/>
              <w:rPr>
                <w:rFonts w:ascii="Arial" w:hAnsi="Arial" w:cs="Arial"/>
                <w:b/>
                <w:sz w:val="20"/>
                <w:szCs w:val="20"/>
              </w:rPr>
            </w:pPr>
          </w:p>
        </w:tc>
        <w:tc>
          <w:tcPr>
            <w:tcW w:w="2129" w:type="dxa"/>
            <w:tcBorders>
              <w:top w:val="nil"/>
              <w:bottom w:val="nil"/>
            </w:tcBorders>
            <w:vAlign w:val="bottom"/>
          </w:tcPr>
          <w:p w14:paraId="38A21742" w14:textId="77777777" w:rsidR="00A5074B" w:rsidRPr="003F5DC9" w:rsidRDefault="00A5074B" w:rsidP="003F5DC9">
            <w:pPr>
              <w:ind w:right="-59"/>
              <w:jc w:val="right"/>
              <w:rPr>
                <w:rFonts w:ascii="Arial" w:hAnsi="Arial" w:cs="Arial"/>
                <w:bCs/>
                <w:sz w:val="20"/>
                <w:szCs w:val="20"/>
              </w:rPr>
            </w:pPr>
          </w:p>
        </w:tc>
      </w:tr>
      <w:tr w:rsidR="003F5DC9" w:rsidRPr="00FC3890" w14:paraId="084BCB83" w14:textId="77777777" w:rsidTr="00372D83">
        <w:tc>
          <w:tcPr>
            <w:tcW w:w="4190" w:type="dxa"/>
            <w:tcBorders>
              <w:top w:val="nil"/>
              <w:bottom w:val="single" w:sz="4" w:space="0" w:color="auto"/>
            </w:tcBorders>
          </w:tcPr>
          <w:p w14:paraId="22E6CE98" w14:textId="09EDE087" w:rsidR="003F5DC9" w:rsidRPr="00FC3890" w:rsidRDefault="003F5DC9" w:rsidP="003F5DC9">
            <w:pPr>
              <w:jc w:val="both"/>
              <w:rPr>
                <w:rFonts w:ascii="Arial" w:hAnsi="Arial" w:cs="Arial"/>
                <w:sz w:val="20"/>
                <w:szCs w:val="20"/>
              </w:rPr>
            </w:pPr>
            <w:r>
              <w:rPr>
                <w:rFonts w:ascii="Arial" w:hAnsi="Arial" w:cs="Arial"/>
                <w:sz w:val="20"/>
                <w:szCs w:val="20"/>
              </w:rPr>
              <w:t xml:space="preserve">Less: cash </w:t>
            </w:r>
          </w:p>
        </w:tc>
        <w:tc>
          <w:tcPr>
            <w:tcW w:w="328" w:type="dxa"/>
            <w:tcBorders>
              <w:top w:val="nil"/>
              <w:bottom w:val="single" w:sz="4" w:space="0" w:color="auto"/>
            </w:tcBorders>
          </w:tcPr>
          <w:p w14:paraId="0B906E72" w14:textId="77777777" w:rsidR="003F5DC9" w:rsidRPr="00DA05F7" w:rsidRDefault="003F5DC9" w:rsidP="003F5DC9">
            <w:pPr>
              <w:jc w:val="both"/>
              <w:rPr>
                <w:rFonts w:ascii="Arial" w:hAnsi="Arial" w:cs="Arial"/>
                <w:b/>
                <w:sz w:val="20"/>
                <w:szCs w:val="20"/>
              </w:rPr>
            </w:pPr>
          </w:p>
        </w:tc>
        <w:tc>
          <w:tcPr>
            <w:tcW w:w="2385" w:type="dxa"/>
            <w:tcBorders>
              <w:top w:val="nil"/>
              <w:bottom w:val="single" w:sz="4" w:space="0" w:color="auto"/>
            </w:tcBorders>
            <w:vAlign w:val="bottom"/>
          </w:tcPr>
          <w:p w14:paraId="3EE9BAFE" w14:textId="6C78E12F" w:rsidR="003F5DC9" w:rsidRPr="00B51B41" w:rsidRDefault="003F5DC9" w:rsidP="003F5DC9">
            <w:pPr>
              <w:ind w:right="-66"/>
              <w:jc w:val="right"/>
              <w:rPr>
                <w:rFonts w:ascii="Arial" w:hAnsi="Arial" w:cs="Arial"/>
                <w:b/>
                <w:sz w:val="20"/>
                <w:szCs w:val="20"/>
              </w:rPr>
            </w:pPr>
            <w:r>
              <w:rPr>
                <w:rFonts w:ascii="Arial" w:hAnsi="Arial" w:cs="Arial"/>
                <w:b/>
                <w:sz w:val="20"/>
                <w:szCs w:val="20"/>
              </w:rPr>
              <w:t>(1,974,483)</w:t>
            </w:r>
          </w:p>
        </w:tc>
        <w:tc>
          <w:tcPr>
            <w:tcW w:w="328" w:type="dxa"/>
            <w:tcBorders>
              <w:top w:val="nil"/>
              <w:bottom w:val="single" w:sz="4" w:space="0" w:color="auto"/>
            </w:tcBorders>
          </w:tcPr>
          <w:p w14:paraId="27B7893A" w14:textId="77777777" w:rsidR="003F5DC9" w:rsidRPr="00FC3890" w:rsidRDefault="003F5DC9" w:rsidP="003F5DC9">
            <w:pPr>
              <w:jc w:val="both"/>
              <w:rPr>
                <w:rFonts w:ascii="Arial" w:hAnsi="Arial" w:cs="Arial"/>
                <w:sz w:val="20"/>
                <w:szCs w:val="20"/>
              </w:rPr>
            </w:pPr>
          </w:p>
        </w:tc>
        <w:tc>
          <w:tcPr>
            <w:tcW w:w="2129" w:type="dxa"/>
            <w:tcBorders>
              <w:top w:val="nil"/>
              <w:bottom w:val="single" w:sz="4" w:space="0" w:color="auto"/>
            </w:tcBorders>
            <w:vAlign w:val="bottom"/>
          </w:tcPr>
          <w:p w14:paraId="47183F93" w14:textId="7CDAB3F1" w:rsidR="003F5DC9" w:rsidRPr="003F5DC9" w:rsidRDefault="003F5DC9" w:rsidP="003F5DC9">
            <w:pPr>
              <w:ind w:right="-59"/>
              <w:jc w:val="right"/>
              <w:rPr>
                <w:rFonts w:ascii="Arial" w:hAnsi="Arial" w:cs="Arial"/>
                <w:bCs/>
                <w:sz w:val="20"/>
                <w:szCs w:val="20"/>
              </w:rPr>
            </w:pPr>
            <w:r w:rsidRPr="003F5DC9">
              <w:rPr>
                <w:rFonts w:ascii="Arial" w:hAnsi="Arial" w:cs="Arial"/>
                <w:bCs/>
                <w:sz w:val="20"/>
                <w:szCs w:val="20"/>
              </w:rPr>
              <w:t>(157,668)</w:t>
            </w:r>
          </w:p>
        </w:tc>
      </w:tr>
      <w:tr w:rsidR="003F5DC9" w:rsidRPr="00FC3890" w14:paraId="41E8FECD" w14:textId="77777777" w:rsidTr="00372D83">
        <w:tc>
          <w:tcPr>
            <w:tcW w:w="4190" w:type="dxa"/>
            <w:tcBorders>
              <w:top w:val="single" w:sz="4" w:space="0" w:color="auto"/>
              <w:bottom w:val="nil"/>
            </w:tcBorders>
          </w:tcPr>
          <w:p w14:paraId="67A6EE08" w14:textId="77777777" w:rsidR="003F5DC9" w:rsidRPr="00C90A0A" w:rsidRDefault="003F5DC9" w:rsidP="003F5DC9">
            <w:pPr>
              <w:jc w:val="both"/>
              <w:rPr>
                <w:rFonts w:ascii="Arial" w:hAnsi="Arial" w:cs="Arial"/>
                <w:sz w:val="20"/>
                <w:szCs w:val="20"/>
              </w:rPr>
            </w:pPr>
          </w:p>
        </w:tc>
        <w:tc>
          <w:tcPr>
            <w:tcW w:w="328" w:type="dxa"/>
            <w:tcBorders>
              <w:top w:val="single" w:sz="4" w:space="0" w:color="auto"/>
              <w:bottom w:val="nil"/>
            </w:tcBorders>
          </w:tcPr>
          <w:p w14:paraId="0A0691CF" w14:textId="77777777" w:rsidR="003F5DC9" w:rsidRPr="00DA05F7" w:rsidRDefault="003F5DC9" w:rsidP="003F5DC9">
            <w:pPr>
              <w:jc w:val="both"/>
              <w:rPr>
                <w:rFonts w:ascii="Arial" w:hAnsi="Arial" w:cs="Arial"/>
                <w:b/>
                <w:sz w:val="20"/>
                <w:szCs w:val="20"/>
              </w:rPr>
            </w:pPr>
          </w:p>
        </w:tc>
        <w:tc>
          <w:tcPr>
            <w:tcW w:w="2385" w:type="dxa"/>
            <w:tcBorders>
              <w:top w:val="single" w:sz="4" w:space="0" w:color="auto"/>
              <w:bottom w:val="nil"/>
            </w:tcBorders>
            <w:vAlign w:val="bottom"/>
          </w:tcPr>
          <w:p w14:paraId="39147111" w14:textId="4ACE037E" w:rsidR="003F5DC9" w:rsidRPr="00B51B41" w:rsidRDefault="003F5DC9" w:rsidP="003F5DC9">
            <w:pPr>
              <w:ind w:right="-66"/>
              <w:jc w:val="right"/>
              <w:rPr>
                <w:rFonts w:ascii="Arial" w:hAnsi="Arial" w:cs="Arial"/>
                <w:b/>
                <w:sz w:val="20"/>
                <w:szCs w:val="20"/>
              </w:rPr>
            </w:pPr>
          </w:p>
        </w:tc>
        <w:tc>
          <w:tcPr>
            <w:tcW w:w="328" w:type="dxa"/>
            <w:tcBorders>
              <w:top w:val="single" w:sz="4" w:space="0" w:color="auto"/>
              <w:bottom w:val="nil"/>
            </w:tcBorders>
          </w:tcPr>
          <w:p w14:paraId="60425BDC" w14:textId="77777777" w:rsidR="003F5DC9" w:rsidRPr="00C90A0A" w:rsidRDefault="003F5DC9" w:rsidP="003F5DC9">
            <w:pPr>
              <w:jc w:val="both"/>
              <w:rPr>
                <w:rFonts w:ascii="Arial" w:hAnsi="Arial" w:cs="Arial"/>
                <w:sz w:val="20"/>
                <w:szCs w:val="20"/>
              </w:rPr>
            </w:pPr>
          </w:p>
        </w:tc>
        <w:tc>
          <w:tcPr>
            <w:tcW w:w="2129" w:type="dxa"/>
            <w:tcBorders>
              <w:top w:val="single" w:sz="4" w:space="0" w:color="auto"/>
              <w:bottom w:val="nil"/>
            </w:tcBorders>
            <w:vAlign w:val="bottom"/>
          </w:tcPr>
          <w:p w14:paraId="6CCAFA16" w14:textId="6D3625BA" w:rsidR="003F5DC9" w:rsidRPr="003F5DC9" w:rsidRDefault="003F5DC9" w:rsidP="003F5DC9">
            <w:pPr>
              <w:ind w:right="-59"/>
              <w:jc w:val="right"/>
              <w:rPr>
                <w:rFonts w:ascii="Arial" w:hAnsi="Arial" w:cs="Arial"/>
                <w:bCs/>
                <w:sz w:val="20"/>
                <w:szCs w:val="20"/>
              </w:rPr>
            </w:pPr>
          </w:p>
        </w:tc>
      </w:tr>
      <w:tr w:rsidR="003F5DC9" w:rsidRPr="00FC3890" w14:paraId="19231A7D" w14:textId="77777777" w:rsidTr="00372D83">
        <w:tc>
          <w:tcPr>
            <w:tcW w:w="4190" w:type="dxa"/>
            <w:tcBorders>
              <w:top w:val="nil"/>
              <w:bottom w:val="single" w:sz="18" w:space="0" w:color="auto"/>
            </w:tcBorders>
          </w:tcPr>
          <w:p w14:paraId="2283CC07" w14:textId="22F94095" w:rsidR="003F5DC9" w:rsidRPr="00C90A0A" w:rsidRDefault="003F5DC9" w:rsidP="003F5DC9">
            <w:pPr>
              <w:jc w:val="both"/>
              <w:rPr>
                <w:rFonts w:ascii="Arial" w:hAnsi="Arial" w:cs="Arial"/>
                <w:sz w:val="20"/>
                <w:szCs w:val="20"/>
              </w:rPr>
            </w:pPr>
          </w:p>
        </w:tc>
        <w:tc>
          <w:tcPr>
            <w:tcW w:w="328" w:type="dxa"/>
            <w:tcBorders>
              <w:top w:val="nil"/>
              <w:bottom w:val="single" w:sz="18" w:space="0" w:color="auto"/>
            </w:tcBorders>
          </w:tcPr>
          <w:p w14:paraId="3536DBF2" w14:textId="77777777" w:rsidR="003F5DC9" w:rsidRPr="00DA05F7" w:rsidRDefault="003F5DC9" w:rsidP="003F5DC9">
            <w:pPr>
              <w:jc w:val="both"/>
              <w:rPr>
                <w:rFonts w:ascii="Arial" w:hAnsi="Arial" w:cs="Arial"/>
                <w:b/>
                <w:sz w:val="20"/>
                <w:szCs w:val="20"/>
              </w:rPr>
            </w:pPr>
            <w:r w:rsidRPr="00DA05F7">
              <w:rPr>
                <w:rFonts w:ascii="Arial" w:hAnsi="Arial" w:cs="Arial"/>
                <w:b/>
                <w:sz w:val="20"/>
                <w:szCs w:val="20"/>
              </w:rPr>
              <w:t>$</w:t>
            </w:r>
          </w:p>
        </w:tc>
        <w:tc>
          <w:tcPr>
            <w:tcW w:w="2385" w:type="dxa"/>
            <w:tcBorders>
              <w:top w:val="nil"/>
              <w:bottom w:val="single" w:sz="18" w:space="0" w:color="auto"/>
            </w:tcBorders>
            <w:vAlign w:val="bottom"/>
          </w:tcPr>
          <w:p w14:paraId="14A09D9F" w14:textId="4F114D8E" w:rsidR="003F5DC9" w:rsidRPr="00B51B41" w:rsidRDefault="003F5DC9" w:rsidP="003F5DC9">
            <w:pPr>
              <w:ind w:right="-66"/>
              <w:jc w:val="right"/>
              <w:rPr>
                <w:rFonts w:ascii="Arial" w:hAnsi="Arial" w:cs="Arial"/>
                <w:b/>
                <w:sz w:val="20"/>
                <w:szCs w:val="20"/>
              </w:rPr>
            </w:pPr>
            <w:r>
              <w:rPr>
                <w:rFonts w:ascii="Arial" w:hAnsi="Arial" w:cs="Arial"/>
                <w:b/>
                <w:sz w:val="20"/>
                <w:szCs w:val="20"/>
              </w:rPr>
              <w:t>(</w:t>
            </w:r>
            <w:r w:rsidR="00A53CDA">
              <w:rPr>
                <w:rFonts w:ascii="Arial" w:hAnsi="Arial" w:cs="Arial"/>
                <w:b/>
                <w:sz w:val="20"/>
                <w:szCs w:val="20"/>
              </w:rPr>
              <w:t>3,</w:t>
            </w:r>
            <w:r w:rsidR="006D3813">
              <w:rPr>
                <w:rFonts w:ascii="Arial" w:hAnsi="Arial" w:cs="Arial"/>
                <w:b/>
                <w:sz w:val="20"/>
                <w:szCs w:val="20"/>
              </w:rPr>
              <w:t>186,432</w:t>
            </w:r>
            <w:r>
              <w:rPr>
                <w:rFonts w:ascii="Arial" w:hAnsi="Arial" w:cs="Arial"/>
                <w:b/>
                <w:sz w:val="20"/>
                <w:szCs w:val="20"/>
              </w:rPr>
              <w:t>)</w:t>
            </w:r>
          </w:p>
        </w:tc>
        <w:tc>
          <w:tcPr>
            <w:tcW w:w="328" w:type="dxa"/>
            <w:tcBorders>
              <w:top w:val="nil"/>
              <w:bottom w:val="single" w:sz="18" w:space="0" w:color="auto"/>
            </w:tcBorders>
          </w:tcPr>
          <w:p w14:paraId="70CB93E8" w14:textId="77777777" w:rsidR="003F5DC9" w:rsidRPr="00C90A0A" w:rsidRDefault="003F5DC9" w:rsidP="003F5DC9">
            <w:pPr>
              <w:jc w:val="both"/>
              <w:rPr>
                <w:rFonts w:ascii="Arial" w:hAnsi="Arial" w:cs="Arial"/>
                <w:sz w:val="20"/>
                <w:szCs w:val="20"/>
              </w:rPr>
            </w:pPr>
            <w:r w:rsidRPr="00C90A0A">
              <w:rPr>
                <w:rFonts w:ascii="Arial" w:hAnsi="Arial" w:cs="Arial"/>
                <w:sz w:val="20"/>
                <w:szCs w:val="20"/>
              </w:rPr>
              <w:t>$</w:t>
            </w:r>
          </w:p>
        </w:tc>
        <w:tc>
          <w:tcPr>
            <w:tcW w:w="2129" w:type="dxa"/>
            <w:tcBorders>
              <w:top w:val="nil"/>
              <w:bottom w:val="single" w:sz="18" w:space="0" w:color="auto"/>
            </w:tcBorders>
            <w:vAlign w:val="bottom"/>
          </w:tcPr>
          <w:p w14:paraId="4CF61F7F" w14:textId="40A33440" w:rsidR="003F5DC9" w:rsidRPr="003F5DC9" w:rsidRDefault="003F5DC9" w:rsidP="003F5DC9">
            <w:pPr>
              <w:ind w:right="-59"/>
              <w:jc w:val="right"/>
              <w:rPr>
                <w:rFonts w:ascii="Arial" w:hAnsi="Arial" w:cs="Arial"/>
                <w:bCs/>
                <w:sz w:val="20"/>
                <w:szCs w:val="20"/>
              </w:rPr>
            </w:pPr>
            <w:r>
              <w:rPr>
                <w:rFonts w:ascii="Arial" w:hAnsi="Arial" w:cs="Arial"/>
                <w:bCs/>
                <w:sz w:val="20"/>
                <w:szCs w:val="20"/>
              </w:rPr>
              <w:t>(1,401,247)</w:t>
            </w:r>
          </w:p>
        </w:tc>
      </w:tr>
    </w:tbl>
    <w:p w14:paraId="3145904D" w14:textId="77777777" w:rsidR="00A353D2" w:rsidRDefault="00A353D2" w:rsidP="00A353D2">
      <w:pPr>
        <w:tabs>
          <w:tab w:val="left" w:pos="360"/>
        </w:tabs>
        <w:suppressAutoHyphens/>
        <w:spacing w:after="0"/>
        <w:rPr>
          <w:rFonts w:ascii="Arial" w:hAnsi="Arial" w:cs="Arial"/>
          <w:sz w:val="20"/>
          <w:szCs w:val="20"/>
        </w:rPr>
      </w:pPr>
    </w:p>
    <w:p w14:paraId="023797DC" w14:textId="28CEDA34" w:rsidR="001A7E6B" w:rsidRDefault="001A7E6B" w:rsidP="00B2083A">
      <w:pPr>
        <w:tabs>
          <w:tab w:val="left" w:pos="360"/>
        </w:tabs>
        <w:suppressAutoHyphens/>
        <w:spacing w:after="0"/>
        <w:jc w:val="both"/>
        <w:rPr>
          <w:rFonts w:ascii="Arial" w:hAnsi="Arial" w:cs="Arial"/>
          <w:sz w:val="20"/>
          <w:szCs w:val="20"/>
        </w:rPr>
      </w:pPr>
      <w:r w:rsidRPr="0061123D">
        <w:rPr>
          <w:rFonts w:ascii="Arial" w:hAnsi="Arial" w:cs="Arial"/>
          <w:sz w:val="20"/>
          <w:szCs w:val="20"/>
        </w:rPr>
        <w:t>The board of directors of the Company has overall responsibility for the establishment and oversight of the Company’s risk management policies on an annual basis. The Company’s board of directors identifies and evaluates the Company’s financial risks and is charged with the responsibility of establishing controls and procedures to</w:t>
      </w:r>
      <w:r w:rsidR="00B2083A">
        <w:rPr>
          <w:rFonts w:ascii="Arial" w:hAnsi="Arial" w:cs="Arial"/>
          <w:sz w:val="20"/>
          <w:szCs w:val="20"/>
        </w:rPr>
        <w:t xml:space="preserve"> </w:t>
      </w:r>
      <w:r w:rsidRPr="0061123D">
        <w:rPr>
          <w:rFonts w:ascii="Arial" w:hAnsi="Arial" w:cs="Arial"/>
          <w:sz w:val="20"/>
          <w:szCs w:val="20"/>
        </w:rPr>
        <w:t>ensure financial risks are mitigated.</w:t>
      </w:r>
    </w:p>
    <w:p w14:paraId="4B87275A" w14:textId="77777777" w:rsidR="00B2083A" w:rsidRPr="00007ADF" w:rsidRDefault="00B2083A" w:rsidP="00C90A0A">
      <w:pPr>
        <w:tabs>
          <w:tab w:val="left" w:pos="360"/>
        </w:tabs>
        <w:suppressAutoHyphens/>
        <w:spacing w:after="0"/>
        <w:jc w:val="both"/>
        <w:rPr>
          <w:rFonts w:ascii="Arial" w:hAnsi="Arial" w:cs="Arial"/>
          <w:sz w:val="20"/>
          <w:szCs w:val="20"/>
        </w:rPr>
      </w:pPr>
    </w:p>
    <w:p w14:paraId="3515D322" w14:textId="1AFD8EB9" w:rsidR="001A7E6B" w:rsidRDefault="001A7E6B" w:rsidP="00B2083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objectives when managing capital are to pursue and complete the identification and evaluation of assets, properties or businesses with a view to acquisition. The Company does not have any externally imposed capital requirements to which it is subject.</w:t>
      </w:r>
    </w:p>
    <w:p w14:paraId="0C591FAF" w14:textId="77777777" w:rsidR="00B2083A" w:rsidRPr="00007ADF" w:rsidRDefault="00B2083A" w:rsidP="00C90A0A">
      <w:pPr>
        <w:autoSpaceDE w:val="0"/>
        <w:autoSpaceDN w:val="0"/>
        <w:adjustRightInd w:val="0"/>
        <w:spacing w:after="0"/>
        <w:jc w:val="both"/>
        <w:rPr>
          <w:rFonts w:ascii="Arial" w:hAnsi="Arial" w:cs="Arial"/>
          <w:sz w:val="20"/>
          <w:szCs w:val="20"/>
        </w:rPr>
      </w:pPr>
    </w:p>
    <w:p w14:paraId="423E54E2" w14:textId="66F582A9" w:rsidR="001A7E6B" w:rsidRPr="00007ADF" w:rsidRDefault="001A7E6B" w:rsidP="00C90A0A">
      <w:pPr>
        <w:autoSpaceDE w:val="0"/>
        <w:autoSpaceDN w:val="0"/>
        <w:adjustRightInd w:val="0"/>
        <w:spacing w:after="0"/>
        <w:jc w:val="both"/>
        <w:rPr>
          <w:rFonts w:ascii="Arial" w:hAnsi="Arial" w:cs="Arial"/>
          <w:sz w:val="20"/>
          <w:szCs w:val="20"/>
        </w:rPr>
      </w:pPr>
      <w:r w:rsidRPr="0061123D">
        <w:rPr>
          <w:rFonts w:ascii="Arial" w:hAnsi="Arial" w:cs="Arial"/>
          <w:sz w:val="20"/>
          <w:szCs w:val="20"/>
        </w:rPr>
        <w:t xml:space="preserve">The Company manages the capital structure and makes adjustments to it in light of changes in economic conditions and the risk characteristics of the underlying assets. To maintain or adjust the capital structure, the Company may </w:t>
      </w:r>
      <w:r w:rsidRPr="00007ADF">
        <w:rPr>
          <w:rFonts w:ascii="Arial" w:hAnsi="Arial" w:cs="Arial"/>
          <w:sz w:val="20"/>
          <w:szCs w:val="20"/>
        </w:rPr>
        <w:t>attempt to issue new</w:t>
      </w:r>
      <w:r w:rsidR="00546001">
        <w:rPr>
          <w:rFonts w:ascii="Arial" w:hAnsi="Arial" w:cs="Arial"/>
          <w:sz w:val="20"/>
          <w:szCs w:val="20"/>
        </w:rPr>
        <w:t xml:space="preserve"> common</w:t>
      </w:r>
      <w:r w:rsidRPr="00007ADF">
        <w:rPr>
          <w:rFonts w:ascii="Arial" w:hAnsi="Arial" w:cs="Arial"/>
          <w:sz w:val="20"/>
          <w:szCs w:val="20"/>
        </w:rPr>
        <w:t xml:space="preserve"> shares or adjust the amount of cash.</w:t>
      </w:r>
    </w:p>
    <w:p w14:paraId="6C4B4C59" w14:textId="77777777" w:rsidR="001A7E6B" w:rsidRPr="00007ADF" w:rsidRDefault="001A7E6B" w:rsidP="00C90A0A">
      <w:pPr>
        <w:autoSpaceDE w:val="0"/>
        <w:autoSpaceDN w:val="0"/>
        <w:adjustRightInd w:val="0"/>
        <w:spacing w:after="0"/>
        <w:jc w:val="both"/>
        <w:rPr>
          <w:rFonts w:ascii="Arial" w:hAnsi="Arial" w:cs="Arial"/>
          <w:sz w:val="20"/>
          <w:szCs w:val="20"/>
        </w:rPr>
      </w:pPr>
    </w:p>
    <w:p w14:paraId="1FBCE1E7" w14:textId="697DE844" w:rsidR="001A7E6B" w:rsidRDefault="001A7E6B" w:rsidP="00B2083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investment policy is to invest excess cash in investment instruments at high credit, quality financial institutions with terms to maturity selected with regards to the expected time of expenditures from continuing operations.</w:t>
      </w:r>
    </w:p>
    <w:p w14:paraId="1E4467D3" w14:textId="77777777" w:rsidR="00BE1DF8" w:rsidRDefault="00BE1DF8" w:rsidP="00B2083A">
      <w:pPr>
        <w:autoSpaceDE w:val="0"/>
        <w:autoSpaceDN w:val="0"/>
        <w:adjustRightInd w:val="0"/>
        <w:spacing w:after="0"/>
        <w:jc w:val="both"/>
        <w:rPr>
          <w:rFonts w:ascii="Arial" w:hAnsi="Arial" w:cs="Arial"/>
          <w:sz w:val="20"/>
          <w:szCs w:val="20"/>
        </w:rPr>
      </w:pPr>
    </w:p>
    <w:p w14:paraId="61D3F2F3" w14:textId="6904AE5B" w:rsidR="001A7E6B" w:rsidRPr="00BE1DF8" w:rsidRDefault="00A353D2"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OFF-BALANCE SHEET ARRANGEMENTS</w:t>
      </w:r>
    </w:p>
    <w:p w14:paraId="695C6736" w14:textId="77777777" w:rsidR="00BE1DF8" w:rsidRDefault="00BE1DF8" w:rsidP="00B2083A">
      <w:pPr>
        <w:tabs>
          <w:tab w:val="left" w:pos="360"/>
        </w:tabs>
        <w:suppressAutoHyphens/>
        <w:spacing w:after="0"/>
        <w:jc w:val="both"/>
        <w:rPr>
          <w:rFonts w:ascii="Arial" w:hAnsi="Arial" w:cs="Arial"/>
          <w:sz w:val="20"/>
          <w:szCs w:val="20"/>
        </w:rPr>
      </w:pPr>
    </w:p>
    <w:p w14:paraId="01FB3B70" w14:textId="4B67D4D2" w:rsidR="00B96480" w:rsidRDefault="001A7E6B" w:rsidP="00B2083A">
      <w:pPr>
        <w:tabs>
          <w:tab w:val="left" w:pos="360"/>
        </w:tabs>
        <w:suppressAutoHyphens/>
        <w:spacing w:after="0"/>
        <w:jc w:val="both"/>
        <w:rPr>
          <w:rFonts w:ascii="Arial" w:hAnsi="Arial" w:cs="Arial"/>
          <w:sz w:val="20"/>
          <w:szCs w:val="20"/>
        </w:rPr>
      </w:pPr>
      <w:r w:rsidRPr="00007ADF">
        <w:rPr>
          <w:rFonts w:ascii="Arial" w:hAnsi="Arial" w:cs="Arial"/>
          <w:sz w:val="20"/>
          <w:szCs w:val="20"/>
        </w:rPr>
        <w:t>The Company has not entered into any material off-balance sheet arrangements such as guarantee contracts, contingent interests in assets transferred to unconsolidated entities, derivative financial obligations or arrangements with respect to any obligations under a variable interest equity arrangement.</w:t>
      </w:r>
    </w:p>
    <w:p w14:paraId="0EA6EF8C" w14:textId="77777777" w:rsidR="00546001" w:rsidRDefault="00546001" w:rsidP="00A353D2">
      <w:pPr>
        <w:pStyle w:val="NormalWeb"/>
        <w:pBdr>
          <w:bottom w:val="single" w:sz="12" w:space="1" w:color="auto"/>
        </w:pBdr>
        <w:spacing w:before="0" w:beforeAutospacing="0" w:after="0" w:afterAutospacing="0"/>
        <w:rPr>
          <w:rFonts w:ascii="Arial" w:hAnsi="Arial" w:cs="Arial"/>
          <w:b/>
          <w:bCs/>
          <w:color w:val="000000"/>
          <w:sz w:val="20"/>
          <w:szCs w:val="20"/>
        </w:rPr>
      </w:pPr>
    </w:p>
    <w:p w14:paraId="579F9A97" w14:textId="62BC86FA" w:rsidR="00FA6D64" w:rsidRDefault="00A353D2" w:rsidP="00A353D2">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RELATED PARTY TRANSACTIONS</w:t>
      </w:r>
    </w:p>
    <w:p w14:paraId="36B22273" w14:textId="77777777" w:rsidR="00B96480" w:rsidRPr="00B96480" w:rsidRDefault="00B96480" w:rsidP="00C90A0A">
      <w:pPr>
        <w:pStyle w:val="NormalWeb"/>
        <w:spacing w:before="0" w:beforeAutospacing="0" w:after="0" w:afterAutospacing="0"/>
        <w:jc w:val="both"/>
        <w:rPr>
          <w:rFonts w:ascii="Arial" w:hAnsi="Arial" w:cs="Arial"/>
          <w:color w:val="000000"/>
          <w:sz w:val="20"/>
          <w:szCs w:val="20"/>
        </w:rPr>
      </w:pPr>
    </w:p>
    <w:p w14:paraId="20FA7BAF" w14:textId="616339ED" w:rsidR="00FA6D64" w:rsidRPr="00C90A0A" w:rsidRDefault="00FA6D64" w:rsidP="00C90A0A">
      <w:pPr>
        <w:spacing w:after="0"/>
        <w:jc w:val="both"/>
        <w:rPr>
          <w:rFonts w:ascii="Arial" w:hAnsi="Arial" w:cs="Arial"/>
          <w:sz w:val="20"/>
          <w:szCs w:val="20"/>
        </w:rPr>
      </w:pPr>
      <w:r w:rsidRPr="00C90A0A">
        <w:rPr>
          <w:rFonts w:ascii="Arial" w:hAnsi="Arial" w:cs="Arial"/>
          <w:sz w:val="20"/>
          <w:szCs w:val="20"/>
        </w:rPr>
        <w:t xml:space="preserve">The aggregate value of transactions and outstanding balances relating to key management personnel were as follows: </w:t>
      </w:r>
    </w:p>
    <w:p w14:paraId="330E29D9" w14:textId="52BDAC63" w:rsidR="00A353D2" w:rsidRPr="007F7BF4" w:rsidRDefault="00A353D2" w:rsidP="007F7BF4">
      <w:pPr>
        <w:spacing w:after="0"/>
        <w:jc w:val="both"/>
        <w:rPr>
          <w:rFonts w:ascii="Arial" w:hAnsi="Arial" w:cs="Arial"/>
          <w:sz w:val="20"/>
          <w:szCs w:val="20"/>
        </w:rPr>
      </w:pPr>
    </w:p>
    <w:p w14:paraId="28A138BD" w14:textId="6A1751EC"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 xml:space="preserve">The Company’s related parties include key management personnel and any transactions with such parties for goods and/or services that are made on regular commercial terms. During the </w:t>
      </w:r>
      <w:r w:rsidR="003C5740">
        <w:rPr>
          <w:rFonts w:ascii="Arial" w:hAnsi="Arial" w:cs="Arial"/>
          <w:sz w:val="20"/>
          <w:szCs w:val="20"/>
        </w:rPr>
        <w:t>quarters</w:t>
      </w:r>
      <w:r w:rsidRPr="007F7BF4">
        <w:rPr>
          <w:rFonts w:ascii="Arial" w:hAnsi="Arial" w:cs="Arial"/>
          <w:sz w:val="20"/>
          <w:szCs w:val="20"/>
        </w:rPr>
        <w:t xml:space="preserve"> ended </w:t>
      </w:r>
      <w:r w:rsidR="003C5740">
        <w:rPr>
          <w:rFonts w:ascii="Arial" w:hAnsi="Arial" w:cs="Arial"/>
          <w:sz w:val="20"/>
          <w:szCs w:val="20"/>
        </w:rPr>
        <w:t xml:space="preserve">March 31, </w:t>
      </w:r>
      <w:r w:rsidRPr="007F7BF4">
        <w:rPr>
          <w:rFonts w:ascii="Arial" w:hAnsi="Arial" w:cs="Arial"/>
          <w:sz w:val="20"/>
          <w:szCs w:val="20"/>
        </w:rPr>
        <w:t>201</w:t>
      </w:r>
      <w:r w:rsidR="003C5740">
        <w:rPr>
          <w:rFonts w:ascii="Arial" w:hAnsi="Arial" w:cs="Arial"/>
          <w:sz w:val="20"/>
          <w:szCs w:val="20"/>
        </w:rPr>
        <w:t>9</w:t>
      </w:r>
      <w:r w:rsidRPr="007F7BF4">
        <w:rPr>
          <w:rFonts w:ascii="Arial" w:hAnsi="Arial" w:cs="Arial"/>
          <w:sz w:val="20"/>
          <w:szCs w:val="20"/>
        </w:rPr>
        <w:t xml:space="preserve"> and 2018, the Company did not enter into any transactions with related parties outside of compensation to key management personnel as disclosed below.</w:t>
      </w:r>
    </w:p>
    <w:p w14:paraId="4C0A8061" w14:textId="77777777" w:rsidR="007F7BF4" w:rsidRPr="007F7BF4" w:rsidRDefault="007F7BF4" w:rsidP="007F7BF4">
      <w:pPr>
        <w:spacing w:after="0"/>
        <w:jc w:val="both"/>
        <w:rPr>
          <w:rFonts w:ascii="Arial" w:hAnsi="Arial" w:cs="Arial"/>
          <w:sz w:val="20"/>
          <w:szCs w:val="20"/>
        </w:rPr>
      </w:pPr>
    </w:p>
    <w:p w14:paraId="49EBDB49" w14:textId="44AB44B0"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Key management are those personnel having the authority and responsibility for planning, directing, and controlling the Company. Salaries and benefits, bonuses, and termination benefits are included in operating expenses and share-based payments are recorded as share-based payment expense or share capital.</w:t>
      </w:r>
    </w:p>
    <w:p w14:paraId="78485562" w14:textId="77777777" w:rsidR="007F7BF4" w:rsidRPr="007F7BF4" w:rsidRDefault="007F7BF4" w:rsidP="007F7BF4">
      <w:pPr>
        <w:spacing w:after="0"/>
        <w:jc w:val="both"/>
        <w:rPr>
          <w:rFonts w:ascii="Arial" w:hAnsi="Arial" w:cs="Arial"/>
          <w:sz w:val="20"/>
          <w:szCs w:val="20"/>
        </w:rPr>
      </w:pPr>
    </w:p>
    <w:p w14:paraId="518B3E03" w14:textId="0A0096F4"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Key management compensation includes:</w:t>
      </w:r>
    </w:p>
    <w:p w14:paraId="572FFEAC" w14:textId="6749DF5A" w:rsidR="007F7BF4" w:rsidRDefault="007F7BF4" w:rsidP="00FA6D64">
      <w:pPr>
        <w:pStyle w:val="NormalWeb"/>
        <w:spacing w:before="0" w:beforeAutospacing="0" w:after="0" w:afterAutospacing="0"/>
        <w:rPr>
          <w:rFonts w:ascii="Arial" w:hAnsi="Arial" w:cs="Arial"/>
          <w:b/>
          <w:bCs/>
          <w:color w:val="000000"/>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28"/>
        <w:gridCol w:w="1832"/>
        <w:gridCol w:w="328"/>
        <w:gridCol w:w="1767"/>
      </w:tblGrid>
      <w:tr w:rsidR="007F7BF4" w:rsidRPr="00FC3890" w14:paraId="05C2728B" w14:textId="77777777" w:rsidTr="00561ECE">
        <w:tc>
          <w:tcPr>
            <w:tcW w:w="5093" w:type="dxa"/>
            <w:tcBorders>
              <w:top w:val="single" w:sz="4" w:space="0" w:color="auto"/>
              <w:bottom w:val="single" w:sz="12" w:space="0" w:color="auto"/>
            </w:tcBorders>
            <w:shd w:val="clear" w:color="auto" w:fill="auto"/>
          </w:tcPr>
          <w:p w14:paraId="62850125" w14:textId="09CF98DE" w:rsidR="007F7BF4" w:rsidRPr="00C90A0A" w:rsidRDefault="007F7BF4" w:rsidP="006C3ADA">
            <w:pPr>
              <w:jc w:val="both"/>
              <w:rPr>
                <w:rFonts w:ascii="Arial" w:hAnsi="Arial" w:cs="Arial"/>
                <w:sz w:val="20"/>
                <w:szCs w:val="20"/>
                <w:highlight w:val="yellow"/>
              </w:rPr>
            </w:pPr>
          </w:p>
        </w:tc>
        <w:tc>
          <w:tcPr>
            <w:tcW w:w="2160" w:type="dxa"/>
            <w:gridSpan w:val="2"/>
            <w:tcBorders>
              <w:top w:val="single" w:sz="4" w:space="0" w:color="auto"/>
              <w:bottom w:val="single" w:sz="12" w:space="0" w:color="auto"/>
            </w:tcBorders>
            <w:shd w:val="clear" w:color="auto" w:fill="auto"/>
          </w:tcPr>
          <w:p w14:paraId="2389D610" w14:textId="2625E4C7" w:rsidR="007F7BF4" w:rsidRPr="00DA05F7" w:rsidRDefault="003C5740" w:rsidP="006C3ADA">
            <w:pPr>
              <w:jc w:val="right"/>
              <w:rPr>
                <w:rFonts w:ascii="Arial" w:hAnsi="Arial" w:cs="Arial"/>
                <w:b/>
                <w:sz w:val="20"/>
                <w:szCs w:val="20"/>
              </w:rPr>
            </w:pPr>
            <w:r>
              <w:rPr>
                <w:rFonts w:ascii="Arial" w:hAnsi="Arial" w:cs="Arial"/>
                <w:b/>
                <w:sz w:val="20"/>
                <w:szCs w:val="20"/>
              </w:rPr>
              <w:t xml:space="preserve">Q1 </w:t>
            </w:r>
            <w:r w:rsidR="007F7BF4" w:rsidRPr="00546001">
              <w:rPr>
                <w:rFonts w:ascii="Arial" w:hAnsi="Arial" w:cs="Arial"/>
                <w:b/>
                <w:sz w:val="20"/>
                <w:szCs w:val="20"/>
              </w:rPr>
              <w:t>201</w:t>
            </w:r>
            <w:r>
              <w:rPr>
                <w:rFonts w:ascii="Arial" w:hAnsi="Arial" w:cs="Arial"/>
                <w:b/>
                <w:sz w:val="20"/>
                <w:szCs w:val="20"/>
              </w:rPr>
              <w:t>9</w:t>
            </w:r>
          </w:p>
        </w:tc>
        <w:tc>
          <w:tcPr>
            <w:tcW w:w="2095" w:type="dxa"/>
            <w:gridSpan w:val="2"/>
            <w:tcBorders>
              <w:top w:val="single" w:sz="4" w:space="0" w:color="auto"/>
              <w:bottom w:val="single" w:sz="12" w:space="0" w:color="auto"/>
            </w:tcBorders>
            <w:shd w:val="clear" w:color="auto" w:fill="auto"/>
          </w:tcPr>
          <w:p w14:paraId="79E5F3AF" w14:textId="254A14F4" w:rsidR="007F7BF4" w:rsidRPr="00546001" w:rsidRDefault="003C5740" w:rsidP="006C3ADA">
            <w:pPr>
              <w:jc w:val="right"/>
              <w:rPr>
                <w:rFonts w:ascii="Arial" w:hAnsi="Arial" w:cs="Arial"/>
                <w:sz w:val="20"/>
                <w:szCs w:val="20"/>
              </w:rPr>
            </w:pPr>
            <w:r>
              <w:rPr>
                <w:rFonts w:ascii="Arial" w:hAnsi="Arial" w:cs="Arial"/>
                <w:sz w:val="20"/>
                <w:szCs w:val="20"/>
              </w:rPr>
              <w:t>Q1 2018</w:t>
            </w:r>
          </w:p>
        </w:tc>
      </w:tr>
      <w:tr w:rsidR="007F7BF4" w:rsidRPr="00FC3890" w14:paraId="2ED5F13D" w14:textId="77777777" w:rsidTr="00561ECE">
        <w:tc>
          <w:tcPr>
            <w:tcW w:w="5093" w:type="dxa"/>
            <w:tcBorders>
              <w:top w:val="single" w:sz="12" w:space="0" w:color="auto"/>
              <w:bottom w:val="nil"/>
            </w:tcBorders>
          </w:tcPr>
          <w:p w14:paraId="0FB0FC9D" w14:textId="1BE75825" w:rsidR="007F7BF4" w:rsidRPr="00C90A0A" w:rsidRDefault="007F7BF4" w:rsidP="006C3ADA">
            <w:pPr>
              <w:jc w:val="both"/>
              <w:rPr>
                <w:rFonts w:ascii="Arial" w:hAnsi="Arial" w:cs="Arial"/>
                <w:sz w:val="20"/>
                <w:szCs w:val="20"/>
              </w:rPr>
            </w:pPr>
          </w:p>
        </w:tc>
        <w:tc>
          <w:tcPr>
            <w:tcW w:w="328" w:type="dxa"/>
            <w:tcBorders>
              <w:top w:val="single" w:sz="12" w:space="0" w:color="auto"/>
              <w:bottom w:val="nil"/>
            </w:tcBorders>
          </w:tcPr>
          <w:p w14:paraId="13D7DCC5" w14:textId="32EF283C" w:rsidR="007F7BF4" w:rsidRPr="00514A11" w:rsidRDefault="007F7BF4" w:rsidP="006C3ADA">
            <w:pPr>
              <w:jc w:val="both"/>
              <w:rPr>
                <w:rFonts w:ascii="Arial" w:hAnsi="Arial" w:cs="Arial"/>
                <w:sz w:val="20"/>
                <w:szCs w:val="20"/>
              </w:rPr>
            </w:pPr>
          </w:p>
        </w:tc>
        <w:tc>
          <w:tcPr>
            <w:tcW w:w="1832" w:type="dxa"/>
            <w:tcBorders>
              <w:top w:val="single" w:sz="12" w:space="0" w:color="auto"/>
              <w:bottom w:val="nil"/>
            </w:tcBorders>
          </w:tcPr>
          <w:p w14:paraId="5B3D1ADA" w14:textId="1B80B010" w:rsidR="007F7BF4" w:rsidRPr="00DA05F7" w:rsidRDefault="007F7BF4" w:rsidP="006C3ADA">
            <w:pPr>
              <w:jc w:val="right"/>
              <w:rPr>
                <w:rFonts w:ascii="Arial" w:hAnsi="Arial" w:cs="Arial"/>
                <w:b/>
                <w:sz w:val="20"/>
                <w:szCs w:val="20"/>
              </w:rPr>
            </w:pPr>
          </w:p>
        </w:tc>
        <w:tc>
          <w:tcPr>
            <w:tcW w:w="328" w:type="dxa"/>
            <w:tcBorders>
              <w:top w:val="single" w:sz="12" w:space="0" w:color="auto"/>
              <w:bottom w:val="nil"/>
            </w:tcBorders>
          </w:tcPr>
          <w:p w14:paraId="523BFA41" w14:textId="1187A2E4" w:rsidR="007F7BF4" w:rsidRPr="00514A11" w:rsidRDefault="007F7BF4" w:rsidP="006C3ADA">
            <w:pPr>
              <w:jc w:val="both"/>
              <w:rPr>
                <w:rFonts w:ascii="Arial" w:hAnsi="Arial" w:cs="Arial"/>
                <w:sz w:val="20"/>
                <w:szCs w:val="20"/>
              </w:rPr>
            </w:pPr>
          </w:p>
        </w:tc>
        <w:tc>
          <w:tcPr>
            <w:tcW w:w="1767" w:type="dxa"/>
            <w:tcBorders>
              <w:top w:val="single" w:sz="12" w:space="0" w:color="auto"/>
              <w:bottom w:val="nil"/>
            </w:tcBorders>
          </w:tcPr>
          <w:p w14:paraId="61FC8061" w14:textId="5773D38D" w:rsidR="007F7BF4" w:rsidRPr="00514A11" w:rsidRDefault="007F7BF4" w:rsidP="006C3ADA">
            <w:pPr>
              <w:jc w:val="right"/>
              <w:rPr>
                <w:rFonts w:ascii="Arial" w:hAnsi="Arial" w:cs="Arial"/>
                <w:sz w:val="20"/>
                <w:szCs w:val="20"/>
              </w:rPr>
            </w:pPr>
          </w:p>
        </w:tc>
      </w:tr>
      <w:tr w:rsidR="00B51B41" w:rsidRPr="00FC3890" w14:paraId="2ABE0934" w14:textId="77777777" w:rsidTr="00372D83">
        <w:tc>
          <w:tcPr>
            <w:tcW w:w="5093" w:type="dxa"/>
            <w:tcBorders>
              <w:top w:val="nil"/>
              <w:bottom w:val="single" w:sz="4" w:space="0" w:color="auto"/>
            </w:tcBorders>
          </w:tcPr>
          <w:p w14:paraId="15A3241F" w14:textId="77777777" w:rsidR="00B51B41" w:rsidRPr="00C90A0A" w:rsidRDefault="00B51B41" w:rsidP="00B51B41">
            <w:pPr>
              <w:jc w:val="both"/>
              <w:rPr>
                <w:rFonts w:ascii="Arial" w:hAnsi="Arial" w:cs="Arial"/>
                <w:sz w:val="20"/>
                <w:szCs w:val="20"/>
              </w:rPr>
            </w:pPr>
            <w:r w:rsidRPr="001A7752">
              <w:rPr>
                <w:rFonts w:ascii="Arial" w:hAnsi="Arial" w:cs="Arial"/>
                <w:sz w:val="20"/>
                <w:szCs w:val="20"/>
              </w:rPr>
              <w:t>Salaries and benefits</w:t>
            </w:r>
          </w:p>
        </w:tc>
        <w:tc>
          <w:tcPr>
            <w:tcW w:w="328" w:type="dxa"/>
            <w:tcBorders>
              <w:top w:val="nil"/>
              <w:bottom w:val="single" w:sz="4" w:space="0" w:color="auto"/>
            </w:tcBorders>
          </w:tcPr>
          <w:p w14:paraId="2EAD882A" w14:textId="77777777" w:rsidR="00B51B41" w:rsidRPr="00DA05F7" w:rsidRDefault="00B51B41" w:rsidP="00B51B41">
            <w:pPr>
              <w:jc w:val="both"/>
              <w:rPr>
                <w:rFonts w:ascii="Arial" w:hAnsi="Arial" w:cs="Arial"/>
                <w:b/>
                <w:sz w:val="20"/>
                <w:szCs w:val="20"/>
              </w:rPr>
            </w:pPr>
            <w:r w:rsidRPr="00DA05F7">
              <w:rPr>
                <w:rFonts w:ascii="Arial" w:hAnsi="Arial" w:cs="Arial"/>
                <w:b/>
                <w:sz w:val="20"/>
                <w:szCs w:val="20"/>
              </w:rPr>
              <w:t>$</w:t>
            </w:r>
          </w:p>
        </w:tc>
        <w:tc>
          <w:tcPr>
            <w:tcW w:w="1832" w:type="dxa"/>
            <w:tcBorders>
              <w:top w:val="nil"/>
              <w:bottom w:val="single" w:sz="4" w:space="0" w:color="auto"/>
            </w:tcBorders>
            <w:vAlign w:val="bottom"/>
          </w:tcPr>
          <w:p w14:paraId="524D70FF" w14:textId="2D2E50B9" w:rsidR="00B51B41" w:rsidRPr="00DA05F7" w:rsidRDefault="000F5B3C" w:rsidP="00B51B41">
            <w:pPr>
              <w:jc w:val="right"/>
              <w:rPr>
                <w:rFonts w:ascii="Arial" w:hAnsi="Arial" w:cs="Arial"/>
                <w:b/>
                <w:sz w:val="20"/>
                <w:szCs w:val="20"/>
              </w:rPr>
            </w:pPr>
            <w:r>
              <w:rPr>
                <w:rFonts w:ascii="Arial" w:hAnsi="Arial" w:cs="Arial"/>
                <w:b/>
                <w:sz w:val="20"/>
                <w:szCs w:val="20"/>
              </w:rPr>
              <w:t>66,250</w:t>
            </w:r>
          </w:p>
        </w:tc>
        <w:tc>
          <w:tcPr>
            <w:tcW w:w="328" w:type="dxa"/>
            <w:tcBorders>
              <w:top w:val="nil"/>
              <w:bottom w:val="single" w:sz="4" w:space="0" w:color="auto"/>
            </w:tcBorders>
            <w:vAlign w:val="bottom"/>
          </w:tcPr>
          <w:p w14:paraId="7FF4DA3F" w14:textId="1FE2ABBE" w:rsidR="00B51B41" w:rsidRPr="00770FCE" w:rsidRDefault="00B51B41" w:rsidP="00B51B41">
            <w:pPr>
              <w:jc w:val="both"/>
              <w:rPr>
                <w:rFonts w:ascii="Arial" w:hAnsi="Arial" w:cs="Arial"/>
                <w:sz w:val="20"/>
                <w:szCs w:val="20"/>
              </w:rPr>
            </w:pPr>
            <w:r w:rsidRPr="00770FCE">
              <w:rPr>
                <w:rFonts w:ascii="Arial" w:hAnsi="Arial" w:cs="Arial"/>
                <w:sz w:val="20"/>
                <w:szCs w:val="20"/>
              </w:rPr>
              <w:t>$</w:t>
            </w:r>
          </w:p>
        </w:tc>
        <w:tc>
          <w:tcPr>
            <w:tcW w:w="1767" w:type="dxa"/>
            <w:tcBorders>
              <w:top w:val="nil"/>
              <w:bottom w:val="single" w:sz="4" w:space="0" w:color="auto"/>
            </w:tcBorders>
            <w:vAlign w:val="bottom"/>
          </w:tcPr>
          <w:p w14:paraId="6F65AD80" w14:textId="064F8C51" w:rsidR="00B51B41" w:rsidRPr="00B51B41" w:rsidRDefault="00F56B6B" w:rsidP="00B51B41">
            <w:pPr>
              <w:jc w:val="right"/>
              <w:rPr>
                <w:rFonts w:ascii="Arial" w:hAnsi="Arial" w:cs="Arial"/>
                <w:sz w:val="20"/>
                <w:szCs w:val="20"/>
              </w:rPr>
            </w:pPr>
            <w:r>
              <w:rPr>
                <w:rFonts w:ascii="Arial" w:hAnsi="Arial" w:cs="Arial"/>
                <w:sz w:val="20"/>
                <w:szCs w:val="20"/>
              </w:rPr>
              <w:t>30,000</w:t>
            </w:r>
          </w:p>
        </w:tc>
      </w:tr>
      <w:tr w:rsidR="00372D83" w:rsidRPr="00FC3890" w14:paraId="2E6406D0" w14:textId="77777777" w:rsidTr="00372D83">
        <w:tc>
          <w:tcPr>
            <w:tcW w:w="5093" w:type="dxa"/>
            <w:tcBorders>
              <w:top w:val="single" w:sz="4" w:space="0" w:color="auto"/>
              <w:bottom w:val="nil"/>
            </w:tcBorders>
          </w:tcPr>
          <w:p w14:paraId="55564B22" w14:textId="77777777" w:rsidR="00372D83" w:rsidRPr="00C90A0A" w:rsidRDefault="00372D83" w:rsidP="00B51B41">
            <w:pPr>
              <w:jc w:val="both"/>
              <w:rPr>
                <w:rFonts w:ascii="Arial" w:hAnsi="Arial" w:cs="Arial"/>
                <w:sz w:val="20"/>
                <w:szCs w:val="20"/>
              </w:rPr>
            </w:pPr>
          </w:p>
        </w:tc>
        <w:tc>
          <w:tcPr>
            <w:tcW w:w="328" w:type="dxa"/>
            <w:tcBorders>
              <w:top w:val="single" w:sz="4" w:space="0" w:color="auto"/>
              <w:bottom w:val="nil"/>
            </w:tcBorders>
          </w:tcPr>
          <w:p w14:paraId="6A8D3F6D" w14:textId="77777777" w:rsidR="00372D83" w:rsidRPr="00DA05F7" w:rsidRDefault="00372D83" w:rsidP="00B51B41">
            <w:pPr>
              <w:jc w:val="both"/>
              <w:rPr>
                <w:rFonts w:ascii="Arial" w:hAnsi="Arial" w:cs="Arial"/>
                <w:b/>
                <w:sz w:val="20"/>
                <w:szCs w:val="20"/>
              </w:rPr>
            </w:pPr>
          </w:p>
        </w:tc>
        <w:tc>
          <w:tcPr>
            <w:tcW w:w="1832" w:type="dxa"/>
            <w:tcBorders>
              <w:top w:val="single" w:sz="4" w:space="0" w:color="auto"/>
              <w:bottom w:val="nil"/>
            </w:tcBorders>
            <w:vAlign w:val="bottom"/>
          </w:tcPr>
          <w:p w14:paraId="47C71DE7" w14:textId="77777777" w:rsidR="00372D83" w:rsidRDefault="00372D83" w:rsidP="00B51B41">
            <w:pPr>
              <w:jc w:val="right"/>
              <w:rPr>
                <w:rFonts w:ascii="Arial" w:hAnsi="Arial" w:cs="Arial"/>
                <w:b/>
                <w:sz w:val="20"/>
                <w:szCs w:val="20"/>
              </w:rPr>
            </w:pPr>
          </w:p>
        </w:tc>
        <w:tc>
          <w:tcPr>
            <w:tcW w:w="328" w:type="dxa"/>
            <w:tcBorders>
              <w:top w:val="single" w:sz="4" w:space="0" w:color="auto"/>
              <w:bottom w:val="nil"/>
            </w:tcBorders>
            <w:vAlign w:val="bottom"/>
          </w:tcPr>
          <w:p w14:paraId="3CD2F093" w14:textId="77777777" w:rsidR="00372D83" w:rsidRPr="00770FCE" w:rsidRDefault="00372D83" w:rsidP="00B51B41">
            <w:pPr>
              <w:jc w:val="both"/>
              <w:rPr>
                <w:rFonts w:ascii="Arial" w:hAnsi="Arial" w:cs="Arial"/>
                <w:sz w:val="20"/>
                <w:szCs w:val="20"/>
              </w:rPr>
            </w:pPr>
          </w:p>
        </w:tc>
        <w:tc>
          <w:tcPr>
            <w:tcW w:w="1767" w:type="dxa"/>
            <w:tcBorders>
              <w:top w:val="single" w:sz="4" w:space="0" w:color="auto"/>
              <w:bottom w:val="nil"/>
            </w:tcBorders>
            <w:vAlign w:val="bottom"/>
          </w:tcPr>
          <w:p w14:paraId="03640016" w14:textId="77777777" w:rsidR="00372D83" w:rsidRDefault="00372D83" w:rsidP="00B51B41">
            <w:pPr>
              <w:jc w:val="right"/>
              <w:rPr>
                <w:rFonts w:ascii="Arial" w:hAnsi="Arial" w:cs="Arial"/>
                <w:sz w:val="20"/>
                <w:szCs w:val="20"/>
              </w:rPr>
            </w:pPr>
          </w:p>
        </w:tc>
      </w:tr>
      <w:tr w:rsidR="00B51B41" w:rsidRPr="00FC3890" w14:paraId="66B8870A" w14:textId="77777777" w:rsidTr="00372D83">
        <w:tc>
          <w:tcPr>
            <w:tcW w:w="5093" w:type="dxa"/>
            <w:tcBorders>
              <w:top w:val="nil"/>
            </w:tcBorders>
          </w:tcPr>
          <w:p w14:paraId="4BB16354" w14:textId="77777777" w:rsidR="00B51B41" w:rsidRPr="00C90A0A" w:rsidRDefault="00B51B41" w:rsidP="00B51B41">
            <w:pPr>
              <w:jc w:val="both"/>
              <w:rPr>
                <w:rFonts w:ascii="Arial" w:hAnsi="Arial" w:cs="Arial"/>
                <w:sz w:val="20"/>
                <w:szCs w:val="20"/>
              </w:rPr>
            </w:pPr>
          </w:p>
        </w:tc>
        <w:tc>
          <w:tcPr>
            <w:tcW w:w="328" w:type="dxa"/>
            <w:tcBorders>
              <w:top w:val="nil"/>
            </w:tcBorders>
          </w:tcPr>
          <w:p w14:paraId="6F3C71C4" w14:textId="77777777" w:rsidR="00B51B41" w:rsidRPr="00DA05F7" w:rsidRDefault="00B51B41" w:rsidP="00B51B41">
            <w:pPr>
              <w:jc w:val="both"/>
              <w:rPr>
                <w:rFonts w:ascii="Arial" w:hAnsi="Arial" w:cs="Arial"/>
                <w:b/>
                <w:sz w:val="20"/>
                <w:szCs w:val="20"/>
              </w:rPr>
            </w:pPr>
            <w:r w:rsidRPr="00DA05F7">
              <w:rPr>
                <w:rFonts w:ascii="Arial" w:hAnsi="Arial" w:cs="Arial"/>
                <w:b/>
                <w:sz w:val="20"/>
                <w:szCs w:val="20"/>
              </w:rPr>
              <w:t>$</w:t>
            </w:r>
          </w:p>
        </w:tc>
        <w:tc>
          <w:tcPr>
            <w:tcW w:w="1832" w:type="dxa"/>
            <w:tcBorders>
              <w:top w:val="nil"/>
            </w:tcBorders>
            <w:vAlign w:val="bottom"/>
          </w:tcPr>
          <w:p w14:paraId="7CE56DC0" w14:textId="3C327F38" w:rsidR="00B51B41" w:rsidRPr="00DA05F7" w:rsidRDefault="000F5B3C" w:rsidP="00B51B41">
            <w:pPr>
              <w:jc w:val="right"/>
              <w:rPr>
                <w:rFonts w:ascii="Arial" w:hAnsi="Arial" w:cs="Arial"/>
                <w:b/>
                <w:sz w:val="20"/>
                <w:szCs w:val="20"/>
              </w:rPr>
            </w:pPr>
            <w:r>
              <w:rPr>
                <w:rFonts w:ascii="Arial" w:hAnsi="Arial" w:cs="Arial"/>
                <w:b/>
                <w:sz w:val="20"/>
                <w:szCs w:val="20"/>
              </w:rPr>
              <w:t>66,250</w:t>
            </w:r>
          </w:p>
        </w:tc>
        <w:tc>
          <w:tcPr>
            <w:tcW w:w="328" w:type="dxa"/>
            <w:tcBorders>
              <w:top w:val="nil"/>
            </w:tcBorders>
            <w:vAlign w:val="bottom"/>
          </w:tcPr>
          <w:p w14:paraId="08B06134" w14:textId="2E520283" w:rsidR="00B51B41" w:rsidRPr="00770FCE" w:rsidRDefault="00B51B41" w:rsidP="00B51B41">
            <w:pPr>
              <w:jc w:val="both"/>
              <w:rPr>
                <w:rFonts w:ascii="Arial" w:hAnsi="Arial" w:cs="Arial"/>
                <w:sz w:val="20"/>
                <w:szCs w:val="20"/>
              </w:rPr>
            </w:pPr>
            <w:r w:rsidRPr="00770FCE">
              <w:rPr>
                <w:rFonts w:ascii="Arial" w:hAnsi="Arial" w:cs="Arial"/>
                <w:sz w:val="20"/>
                <w:szCs w:val="20"/>
              </w:rPr>
              <w:t>$</w:t>
            </w:r>
          </w:p>
        </w:tc>
        <w:tc>
          <w:tcPr>
            <w:tcW w:w="1767" w:type="dxa"/>
            <w:tcBorders>
              <w:top w:val="nil"/>
            </w:tcBorders>
            <w:vAlign w:val="bottom"/>
          </w:tcPr>
          <w:p w14:paraId="718DC481" w14:textId="00C2A058" w:rsidR="00B51B41" w:rsidRPr="00B51B41" w:rsidRDefault="00F56B6B" w:rsidP="00B51B41">
            <w:pPr>
              <w:jc w:val="right"/>
              <w:rPr>
                <w:rFonts w:ascii="Arial" w:hAnsi="Arial" w:cs="Arial"/>
                <w:sz w:val="20"/>
                <w:szCs w:val="20"/>
              </w:rPr>
            </w:pPr>
            <w:r>
              <w:rPr>
                <w:rFonts w:ascii="Arial" w:hAnsi="Arial" w:cs="Arial"/>
                <w:sz w:val="20"/>
                <w:szCs w:val="20"/>
              </w:rPr>
              <w:t>30,000</w:t>
            </w:r>
          </w:p>
        </w:tc>
      </w:tr>
    </w:tbl>
    <w:p w14:paraId="180A7BDB" w14:textId="653E3335" w:rsidR="007F7BF4" w:rsidRDefault="007F7BF4" w:rsidP="00FA6D64">
      <w:pPr>
        <w:pStyle w:val="NormalWeb"/>
        <w:spacing w:before="0" w:beforeAutospacing="0" w:after="0" w:afterAutospacing="0"/>
        <w:rPr>
          <w:rFonts w:ascii="Arial" w:hAnsi="Arial" w:cs="Arial"/>
          <w:b/>
          <w:bCs/>
          <w:color w:val="000000"/>
          <w:sz w:val="20"/>
          <w:szCs w:val="20"/>
        </w:rPr>
      </w:pPr>
    </w:p>
    <w:p w14:paraId="632B07C0" w14:textId="75FB9E77" w:rsidR="007F7BF4" w:rsidRPr="007F7BF4" w:rsidRDefault="007F7BF4" w:rsidP="00DA05F7">
      <w:pPr>
        <w:autoSpaceDE w:val="0"/>
        <w:autoSpaceDN w:val="0"/>
        <w:adjustRightInd w:val="0"/>
        <w:spacing w:after="0"/>
        <w:jc w:val="both"/>
        <w:rPr>
          <w:rFonts w:ascii="Arial" w:hAnsi="Arial" w:cs="Arial"/>
          <w:sz w:val="20"/>
          <w:szCs w:val="20"/>
        </w:rPr>
      </w:pPr>
      <w:r w:rsidRPr="007F7BF4">
        <w:rPr>
          <w:rFonts w:ascii="Arial" w:hAnsi="Arial" w:cs="Arial"/>
          <w:sz w:val="20"/>
          <w:szCs w:val="20"/>
        </w:rPr>
        <w:t xml:space="preserve">As at </w:t>
      </w:r>
      <w:r w:rsidR="003C5740">
        <w:rPr>
          <w:rFonts w:ascii="Arial" w:hAnsi="Arial" w:cs="Arial"/>
          <w:sz w:val="20"/>
          <w:szCs w:val="20"/>
        </w:rPr>
        <w:t>March 31, 2019</w:t>
      </w:r>
      <w:r w:rsidRPr="007F7BF4">
        <w:rPr>
          <w:rFonts w:ascii="Arial" w:hAnsi="Arial" w:cs="Arial"/>
          <w:sz w:val="20"/>
          <w:szCs w:val="20"/>
        </w:rPr>
        <w:t>, $</w:t>
      </w:r>
      <w:r w:rsidR="00F56B6B">
        <w:rPr>
          <w:rFonts w:ascii="Arial" w:hAnsi="Arial" w:cs="Arial"/>
          <w:sz w:val="20"/>
          <w:szCs w:val="20"/>
        </w:rPr>
        <w:t>12,574</w:t>
      </w:r>
      <w:r w:rsidRPr="007F7BF4">
        <w:rPr>
          <w:rFonts w:ascii="Arial" w:hAnsi="Arial" w:cs="Arial"/>
          <w:sz w:val="20"/>
          <w:szCs w:val="20"/>
        </w:rPr>
        <w:t xml:space="preserve"> (</w:t>
      </w:r>
      <w:r w:rsidR="00F56B6B">
        <w:rPr>
          <w:rFonts w:ascii="Arial" w:hAnsi="Arial" w:cs="Arial"/>
          <w:sz w:val="20"/>
          <w:szCs w:val="20"/>
        </w:rPr>
        <w:t xml:space="preserve">December </w:t>
      </w:r>
      <w:r w:rsidR="003C5740">
        <w:rPr>
          <w:rFonts w:ascii="Arial" w:hAnsi="Arial" w:cs="Arial"/>
          <w:sz w:val="20"/>
          <w:szCs w:val="20"/>
        </w:rPr>
        <w:t xml:space="preserve">31, </w:t>
      </w:r>
      <w:r w:rsidRPr="007F7BF4">
        <w:rPr>
          <w:rFonts w:ascii="Arial" w:hAnsi="Arial" w:cs="Arial"/>
          <w:sz w:val="20"/>
          <w:szCs w:val="20"/>
        </w:rPr>
        <w:t>201</w:t>
      </w:r>
      <w:r w:rsidR="00F56B6B">
        <w:rPr>
          <w:rFonts w:ascii="Arial" w:hAnsi="Arial" w:cs="Arial"/>
          <w:sz w:val="20"/>
          <w:szCs w:val="20"/>
        </w:rPr>
        <w:t>9</w:t>
      </w:r>
      <w:r w:rsidRPr="007F7BF4">
        <w:rPr>
          <w:rFonts w:ascii="Arial" w:hAnsi="Arial" w:cs="Arial"/>
          <w:sz w:val="20"/>
          <w:szCs w:val="20"/>
        </w:rPr>
        <w:t xml:space="preserve"> - $</w:t>
      </w:r>
      <w:r w:rsidR="00F56B6B">
        <w:rPr>
          <w:rFonts w:ascii="Arial" w:hAnsi="Arial" w:cs="Arial"/>
          <w:sz w:val="20"/>
          <w:szCs w:val="20"/>
        </w:rPr>
        <w:t>12,574</w:t>
      </w:r>
      <w:r w:rsidRPr="007F7BF4">
        <w:rPr>
          <w:rFonts w:ascii="Arial" w:hAnsi="Arial" w:cs="Arial"/>
          <w:sz w:val="20"/>
          <w:szCs w:val="20"/>
        </w:rPr>
        <w:t xml:space="preserve">) is due to related parties for final settlement of the purchase of Presto operations. The outstanding balance is non-interest bearing, unsecured and due on demand. </w:t>
      </w:r>
    </w:p>
    <w:p w14:paraId="3CB3A495" w14:textId="77777777" w:rsidR="007F7BF4" w:rsidRDefault="007F7BF4" w:rsidP="00FA6D64">
      <w:pPr>
        <w:pStyle w:val="NormalWeb"/>
        <w:spacing w:before="0" w:beforeAutospacing="0" w:after="0" w:afterAutospacing="0"/>
        <w:rPr>
          <w:rFonts w:ascii="Arial" w:hAnsi="Arial" w:cs="Arial"/>
          <w:b/>
          <w:bCs/>
          <w:color w:val="000000"/>
          <w:sz w:val="20"/>
          <w:szCs w:val="20"/>
        </w:rPr>
      </w:pPr>
    </w:p>
    <w:p w14:paraId="544739B4" w14:textId="12C18739" w:rsidR="00A353D2" w:rsidRDefault="00A353D2" w:rsidP="00FA6D64">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INTERNATIONAL FINANCIAL REPORTING STANDARDS</w:t>
      </w:r>
    </w:p>
    <w:p w14:paraId="4495A7B9" w14:textId="3C504E4E" w:rsidR="00A353D2" w:rsidRDefault="00A353D2" w:rsidP="00FA6D64">
      <w:pPr>
        <w:pStyle w:val="NormalWeb"/>
        <w:spacing w:before="0" w:beforeAutospacing="0" w:after="0" w:afterAutospacing="0"/>
        <w:rPr>
          <w:rFonts w:ascii="Arial" w:hAnsi="Arial" w:cs="Arial"/>
          <w:b/>
          <w:bCs/>
          <w:color w:val="000000"/>
          <w:sz w:val="20"/>
          <w:szCs w:val="20"/>
        </w:rPr>
      </w:pPr>
    </w:p>
    <w:p w14:paraId="6FD8E7F7" w14:textId="4362EE21" w:rsidR="00A353D2" w:rsidRPr="00A353D2" w:rsidRDefault="00A353D2" w:rsidP="00A353D2">
      <w:pPr>
        <w:spacing w:after="0"/>
        <w:jc w:val="both"/>
        <w:rPr>
          <w:rFonts w:ascii="Arial" w:hAnsi="Arial" w:cs="Arial"/>
          <w:sz w:val="20"/>
          <w:szCs w:val="20"/>
        </w:rPr>
      </w:pPr>
      <w:r w:rsidRPr="00A353D2">
        <w:rPr>
          <w:rFonts w:ascii="Arial" w:hAnsi="Arial" w:cs="Arial"/>
          <w:sz w:val="20"/>
          <w:szCs w:val="20"/>
        </w:rPr>
        <w:t xml:space="preserve">The consolidated financial statements have been prepared in accordance with IFRS as issued by the IASB, effective as of </w:t>
      </w:r>
      <w:r w:rsidR="003C5740">
        <w:rPr>
          <w:rFonts w:ascii="Arial" w:hAnsi="Arial" w:cs="Arial"/>
          <w:sz w:val="20"/>
          <w:szCs w:val="20"/>
        </w:rPr>
        <w:t>March 31, 2019</w:t>
      </w:r>
      <w:r w:rsidRPr="00A353D2">
        <w:rPr>
          <w:rFonts w:ascii="Arial" w:hAnsi="Arial" w:cs="Arial"/>
          <w:sz w:val="20"/>
          <w:szCs w:val="20"/>
        </w:rPr>
        <w:t xml:space="preserve">. The Company’s significant accounting policies are described in note </w:t>
      </w:r>
      <w:r w:rsidR="00DC37FE">
        <w:rPr>
          <w:rFonts w:ascii="Arial" w:hAnsi="Arial" w:cs="Arial"/>
          <w:sz w:val="20"/>
          <w:szCs w:val="20"/>
        </w:rPr>
        <w:t>3</w:t>
      </w:r>
      <w:r w:rsidRPr="00A353D2">
        <w:rPr>
          <w:rFonts w:ascii="Arial" w:hAnsi="Arial" w:cs="Arial"/>
          <w:sz w:val="20"/>
          <w:szCs w:val="20"/>
        </w:rPr>
        <w:t xml:space="preserve"> of the Company’s consolidated financial statements for the years ended December 31, 201</w:t>
      </w:r>
      <w:r>
        <w:rPr>
          <w:rFonts w:ascii="Arial" w:hAnsi="Arial" w:cs="Arial"/>
          <w:sz w:val="20"/>
          <w:szCs w:val="20"/>
        </w:rPr>
        <w:t>8</w:t>
      </w:r>
      <w:r w:rsidRPr="00A353D2">
        <w:rPr>
          <w:rFonts w:ascii="Arial" w:hAnsi="Arial" w:cs="Arial"/>
          <w:sz w:val="20"/>
          <w:szCs w:val="20"/>
        </w:rPr>
        <w:t xml:space="preserve"> and 201</w:t>
      </w:r>
      <w:r>
        <w:rPr>
          <w:rFonts w:ascii="Arial" w:hAnsi="Arial" w:cs="Arial"/>
          <w:sz w:val="20"/>
          <w:szCs w:val="20"/>
        </w:rPr>
        <w:t>7</w:t>
      </w:r>
      <w:r w:rsidR="00F56B6B">
        <w:rPr>
          <w:rFonts w:ascii="Arial" w:hAnsi="Arial" w:cs="Arial"/>
          <w:sz w:val="20"/>
          <w:szCs w:val="20"/>
        </w:rPr>
        <w:t xml:space="preserve"> and note 3 to the March 31, 2019 unaudited interim condensed consolidated financial statements.</w:t>
      </w:r>
    </w:p>
    <w:p w14:paraId="33CBCDFC" w14:textId="77777777" w:rsidR="00A353D2" w:rsidRDefault="00A353D2" w:rsidP="00FA6D64">
      <w:pPr>
        <w:pStyle w:val="NormalWeb"/>
        <w:spacing w:before="0" w:beforeAutospacing="0" w:after="0" w:afterAutospacing="0"/>
        <w:rPr>
          <w:rFonts w:ascii="Arial" w:hAnsi="Arial" w:cs="Arial"/>
          <w:b/>
          <w:bCs/>
          <w:color w:val="000000"/>
          <w:sz w:val="20"/>
          <w:szCs w:val="20"/>
        </w:rPr>
      </w:pPr>
    </w:p>
    <w:p w14:paraId="5DC55F33" w14:textId="20FDD07D" w:rsidR="00B96480" w:rsidRPr="00BE1DF8" w:rsidRDefault="00A353D2"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CRITICAL ACCOUNTING POLICIES AND ESTIMATES</w:t>
      </w:r>
    </w:p>
    <w:p w14:paraId="54CC4AB0" w14:textId="77777777" w:rsidR="00BE1DF8" w:rsidRDefault="00BE1DF8" w:rsidP="00B96480">
      <w:pPr>
        <w:spacing w:after="0"/>
        <w:jc w:val="both"/>
        <w:rPr>
          <w:rFonts w:ascii="Arial" w:hAnsi="Arial" w:cs="Arial"/>
          <w:sz w:val="20"/>
          <w:szCs w:val="20"/>
        </w:rPr>
      </w:pPr>
    </w:p>
    <w:p w14:paraId="41CB7D1D" w14:textId="4626AD1F" w:rsidR="00413B6E" w:rsidRDefault="00413B6E" w:rsidP="00B96480">
      <w:pPr>
        <w:spacing w:after="0"/>
        <w:jc w:val="both"/>
        <w:rPr>
          <w:rFonts w:ascii="Arial" w:hAnsi="Arial" w:cs="Arial"/>
          <w:sz w:val="20"/>
          <w:szCs w:val="20"/>
        </w:rPr>
      </w:pPr>
      <w:r w:rsidRPr="00413B6E">
        <w:rPr>
          <w:rFonts w:ascii="Arial" w:hAnsi="Arial" w:cs="Arial"/>
          <w:sz w:val="20"/>
          <w:szCs w:val="20"/>
        </w:rPr>
        <w:t>The preparation of the Company’s consolidated financial statements in conformity with IFRS requires management to make estimates based on assumptions about future events that affect the reported amounts of assets and liabilities and disclosures of contingent assets and liabilities at the date of the financial statements and the reported amounts of revenues and expenses during the reporting period.</w:t>
      </w:r>
    </w:p>
    <w:p w14:paraId="6333A872" w14:textId="58A5789C" w:rsidR="00413B6E" w:rsidRDefault="00413B6E" w:rsidP="00B96480">
      <w:pPr>
        <w:spacing w:after="0"/>
        <w:jc w:val="both"/>
        <w:rPr>
          <w:rFonts w:ascii="Arial" w:hAnsi="Arial" w:cs="Arial"/>
          <w:sz w:val="20"/>
          <w:szCs w:val="20"/>
        </w:rPr>
      </w:pPr>
    </w:p>
    <w:p w14:paraId="5F10E82A" w14:textId="0EEB125E" w:rsidR="00413B6E" w:rsidRDefault="00413B6E" w:rsidP="00B96480">
      <w:pPr>
        <w:spacing w:after="0"/>
        <w:jc w:val="both"/>
        <w:rPr>
          <w:rFonts w:ascii="Arial" w:hAnsi="Arial" w:cs="Arial"/>
          <w:sz w:val="20"/>
          <w:szCs w:val="20"/>
        </w:rPr>
      </w:pPr>
      <w:r w:rsidRPr="00413B6E">
        <w:rPr>
          <w:rFonts w:ascii="Arial" w:hAnsi="Arial" w:cs="Arial"/>
          <w:sz w:val="20"/>
          <w:szCs w:val="20"/>
        </w:rPr>
        <w:t>The estimates and associated assumptions are based on historical experience and various other factors that are believed to be reasonable under the circumstances, the results of which form the basis of making the judgements about carrying values of assets and liabilities that are not readily apparent from other sources. Actual results could differ from those estimates. The estimates and underlying assumptions are reviewed on an ongoing basis. Revisions to accounting estimates are recognized prospectively in the period in which the estimate is revised. Management has made the following critical judgements and estimates:</w:t>
      </w:r>
    </w:p>
    <w:p w14:paraId="51132D5A" w14:textId="77777777" w:rsidR="00D127FC" w:rsidRDefault="00D127FC" w:rsidP="00B96480">
      <w:pPr>
        <w:spacing w:after="0"/>
        <w:jc w:val="both"/>
        <w:rPr>
          <w:rFonts w:ascii="Arial" w:hAnsi="Arial" w:cs="Arial"/>
          <w:b/>
          <w:i/>
          <w:sz w:val="20"/>
          <w:szCs w:val="20"/>
          <w:u w:val="single"/>
        </w:rPr>
      </w:pPr>
    </w:p>
    <w:p w14:paraId="303823D7" w14:textId="64C412D4" w:rsidR="00413B6E" w:rsidRPr="00413B6E" w:rsidRDefault="00413B6E" w:rsidP="00B96480">
      <w:pPr>
        <w:spacing w:after="0"/>
        <w:jc w:val="both"/>
        <w:rPr>
          <w:rFonts w:ascii="Arial" w:hAnsi="Arial" w:cs="Arial"/>
          <w:b/>
          <w:i/>
          <w:sz w:val="20"/>
          <w:szCs w:val="20"/>
          <w:u w:val="single"/>
        </w:rPr>
      </w:pPr>
      <w:r w:rsidRPr="00413B6E">
        <w:rPr>
          <w:rFonts w:ascii="Arial" w:hAnsi="Arial" w:cs="Arial"/>
          <w:b/>
          <w:i/>
          <w:sz w:val="20"/>
          <w:szCs w:val="20"/>
          <w:u w:val="single"/>
        </w:rPr>
        <w:t>Critical judgements in applying accounting policies</w:t>
      </w:r>
    </w:p>
    <w:p w14:paraId="73553BEB" w14:textId="77777777" w:rsidR="00413B6E" w:rsidRPr="00413B6E" w:rsidRDefault="00413B6E" w:rsidP="00B96480">
      <w:pPr>
        <w:spacing w:after="0"/>
        <w:jc w:val="both"/>
        <w:rPr>
          <w:rFonts w:ascii="Arial" w:hAnsi="Arial" w:cs="Arial"/>
          <w:sz w:val="20"/>
          <w:szCs w:val="20"/>
        </w:rPr>
      </w:pPr>
    </w:p>
    <w:p w14:paraId="748E5A4C" w14:textId="1D95C650" w:rsidR="00DA05F7" w:rsidRDefault="00413B6E" w:rsidP="00B96480">
      <w:pPr>
        <w:spacing w:after="0"/>
        <w:jc w:val="both"/>
        <w:rPr>
          <w:rFonts w:ascii="Arial" w:hAnsi="Arial" w:cs="Arial"/>
          <w:sz w:val="20"/>
          <w:szCs w:val="20"/>
        </w:rPr>
      </w:pPr>
      <w:r w:rsidRPr="00413B6E">
        <w:rPr>
          <w:rFonts w:ascii="Arial" w:hAnsi="Arial" w:cs="Arial"/>
          <w:sz w:val="20"/>
          <w:szCs w:val="20"/>
        </w:rPr>
        <w:t xml:space="preserve">Critical judgements made by management in applying the Company’s accounting policies, apart from those involving estimations, that have the most significant </w:t>
      </w:r>
      <w:r w:rsidR="002D1846" w:rsidRPr="00413B6E">
        <w:rPr>
          <w:rFonts w:ascii="Arial" w:hAnsi="Arial" w:cs="Arial"/>
          <w:sz w:val="20"/>
          <w:szCs w:val="20"/>
        </w:rPr>
        <w:t>effect</w:t>
      </w:r>
      <w:r w:rsidRPr="00413B6E">
        <w:rPr>
          <w:rFonts w:ascii="Arial" w:hAnsi="Arial" w:cs="Arial"/>
          <w:sz w:val="20"/>
          <w:szCs w:val="20"/>
        </w:rPr>
        <w:t xml:space="preserve"> on the amounts recognized in the Company’s consolidated financial statements are as follows: </w:t>
      </w:r>
    </w:p>
    <w:p w14:paraId="4FF0F056" w14:textId="77777777" w:rsidR="00DA05F7" w:rsidRDefault="00DA05F7" w:rsidP="00B96480">
      <w:pPr>
        <w:spacing w:after="0"/>
        <w:jc w:val="both"/>
        <w:rPr>
          <w:rFonts w:ascii="Arial" w:hAnsi="Arial" w:cs="Arial"/>
          <w:sz w:val="20"/>
          <w:szCs w:val="20"/>
        </w:rPr>
      </w:pPr>
    </w:p>
    <w:p w14:paraId="1CABF69F" w14:textId="77777777" w:rsidR="00413B6E" w:rsidRPr="00413B6E" w:rsidRDefault="00413B6E" w:rsidP="00B96480">
      <w:pPr>
        <w:spacing w:after="0"/>
        <w:jc w:val="both"/>
        <w:rPr>
          <w:rFonts w:ascii="Arial" w:hAnsi="Arial" w:cs="Arial"/>
          <w:sz w:val="20"/>
          <w:szCs w:val="20"/>
          <w:u w:val="single"/>
        </w:rPr>
      </w:pPr>
      <w:r w:rsidRPr="00413B6E">
        <w:rPr>
          <w:rFonts w:ascii="Arial" w:hAnsi="Arial" w:cs="Arial"/>
          <w:sz w:val="20"/>
          <w:szCs w:val="20"/>
          <w:u w:val="single"/>
        </w:rPr>
        <w:t xml:space="preserve">Functional currency </w:t>
      </w:r>
    </w:p>
    <w:p w14:paraId="21CCD86D" w14:textId="4639E7DF"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The functional currency for each of the Company’s subsidiaries is the currency of the primary economic environment in which the respective entity operates; the Company has determined the functional currency of each entity to be the US dollar. Such determination involves certain judgements to identify the primary </w:t>
      </w:r>
      <w:r w:rsidRPr="00413B6E">
        <w:rPr>
          <w:rFonts w:ascii="Arial" w:hAnsi="Arial" w:cs="Arial"/>
          <w:sz w:val="20"/>
          <w:szCs w:val="20"/>
        </w:rPr>
        <w:lastRenderedPageBreak/>
        <w:t>economic environment. The Company reconsiders the functional currency of its subsidiaries if there is a change in events and/or conditions which determine the primary economic environment.</w:t>
      </w:r>
    </w:p>
    <w:p w14:paraId="3681347F" w14:textId="15C7C7DA" w:rsidR="000964C8" w:rsidRDefault="000964C8" w:rsidP="00B96480">
      <w:pPr>
        <w:spacing w:after="0"/>
        <w:jc w:val="both"/>
        <w:rPr>
          <w:rFonts w:ascii="Arial" w:hAnsi="Arial" w:cs="Arial"/>
          <w:sz w:val="20"/>
          <w:szCs w:val="20"/>
        </w:rPr>
      </w:pPr>
    </w:p>
    <w:p w14:paraId="35194186" w14:textId="4556449A" w:rsidR="000964C8" w:rsidRPr="000964C8" w:rsidRDefault="000964C8" w:rsidP="000964C8">
      <w:pPr>
        <w:spacing w:after="0"/>
        <w:jc w:val="both"/>
        <w:rPr>
          <w:rFonts w:ascii="Arial" w:hAnsi="Arial" w:cs="Arial"/>
          <w:sz w:val="20"/>
          <w:szCs w:val="20"/>
          <w:u w:val="single"/>
        </w:rPr>
      </w:pPr>
      <w:r w:rsidRPr="000964C8">
        <w:rPr>
          <w:rFonts w:ascii="Arial" w:hAnsi="Arial" w:cs="Arial"/>
          <w:sz w:val="20"/>
          <w:szCs w:val="20"/>
          <w:u w:val="single"/>
        </w:rPr>
        <w:t>Assessment of indicators of impairment</w:t>
      </w:r>
    </w:p>
    <w:p w14:paraId="451BA898" w14:textId="60A69AEE" w:rsidR="000964C8" w:rsidRDefault="000964C8" w:rsidP="000964C8">
      <w:pPr>
        <w:spacing w:after="0"/>
        <w:jc w:val="both"/>
        <w:rPr>
          <w:rFonts w:ascii="Arial" w:hAnsi="Arial" w:cs="Arial"/>
          <w:sz w:val="20"/>
          <w:szCs w:val="20"/>
        </w:rPr>
      </w:pPr>
      <w:r w:rsidRPr="000964C8">
        <w:rPr>
          <w:rFonts w:ascii="Arial" w:hAnsi="Arial" w:cs="Arial"/>
          <w:sz w:val="20"/>
          <w:szCs w:val="20"/>
        </w:rPr>
        <w:t>At the end of each reporting period, the Company assesses whether there are any indicators, from external and internal sources of information, that an asset or cash generating unit (“CGU”) may be impaired, thereby requiring adjustment to the carrying value. The Company identified the sustained decrease in market capitalization as an indicator of impairment during the</w:t>
      </w:r>
      <w:r w:rsidR="003C5740">
        <w:rPr>
          <w:rFonts w:ascii="Arial" w:hAnsi="Arial" w:cs="Arial"/>
          <w:sz w:val="20"/>
          <w:szCs w:val="20"/>
        </w:rPr>
        <w:t xml:space="preserve"> period</w:t>
      </w:r>
      <w:r w:rsidRPr="000964C8">
        <w:rPr>
          <w:rFonts w:ascii="Arial" w:hAnsi="Arial" w:cs="Arial"/>
          <w:sz w:val="20"/>
          <w:szCs w:val="20"/>
        </w:rPr>
        <w:t xml:space="preserve"> ended </w:t>
      </w:r>
      <w:r w:rsidR="003C5740">
        <w:rPr>
          <w:rFonts w:ascii="Arial" w:hAnsi="Arial" w:cs="Arial"/>
          <w:sz w:val="20"/>
          <w:szCs w:val="20"/>
        </w:rPr>
        <w:t xml:space="preserve">March </w:t>
      </w:r>
      <w:r w:rsidRPr="000964C8">
        <w:rPr>
          <w:rFonts w:ascii="Arial" w:hAnsi="Arial" w:cs="Arial"/>
          <w:sz w:val="20"/>
          <w:szCs w:val="20"/>
        </w:rPr>
        <w:t>31, 201</w:t>
      </w:r>
      <w:r w:rsidR="003C5740">
        <w:rPr>
          <w:rFonts w:ascii="Arial" w:hAnsi="Arial" w:cs="Arial"/>
          <w:sz w:val="20"/>
          <w:szCs w:val="20"/>
        </w:rPr>
        <w:t>9</w:t>
      </w:r>
      <w:r w:rsidRPr="000964C8">
        <w:rPr>
          <w:rFonts w:ascii="Arial" w:hAnsi="Arial" w:cs="Arial"/>
          <w:sz w:val="20"/>
          <w:szCs w:val="20"/>
        </w:rPr>
        <w:t xml:space="preserve">. </w:t>
      </w:r>
    </w:p>
    <w:p w14:paraId="43E815AD" w14:textId="77777777" w:rsidR="000964C8" w:rsidRDefault="000964C8" w:rsidP="000964C8">
      <w:pPr>
        <w:spacing w:after="0"/>
        <w:jc w:val="both"/>
        <w:rPr>
          <w:rFonts w:ascii="Arial" w:hAnsi="Arial" w:cs="Arial"/>
          <w:sz w:val="20"/>
          <w:szCs w:val="20"/>
        </w:rPr>
      </w:pPr>
    </w:p>
    <w:p w14:paraId="493EE76E" w14:textId="1A9D4543" w:rsidR="000964C8" w:rsidRPr="000964C8" w:rsidRDefault="000964C8" w:rsidP="000964C8">
      <w:pPr>
        <w:spacing w:after="0"/>
        <w:jc w:val="both"/>
        <w:rPr>
          <w:rFonts w:ascii="Arial" w:hAnsi="Arial" w:cs="Arial"/>
          <w:sz w:val="20"/>
          <w:szCs w:val="20"/>
        </w:rPr>
      </w:pPr>
      <w:r w:rsidRPr="000964C8">
        <w:rPr>
          <w:rFonts w:ascii="Arial" w:hAnsi="Arial" w:cs="Arial"/>
          <w:sz w:val="20"/>
          <w:szCs w:val="20"/>
        </w:rPr>
        <w:t>As a result of these impairment indicators, the Company assessed the intangible assets and assets held for sale CGUs for impairment and concluded the recoverable value of each CGU was greater than its carrying value and no impairment was required.</w:t>
      </w:r>
    </w:p>
    <w:p w14:paraId="34EB7D49" w14:textId="0C20E1CB" w:rsidR="00413B6E" w:rsidRDefault="00413B6E" w:rsidP="00B96480">
      <w:pPr>
        <w:spacing w:after="0"/>
        <w:jc w:val="both"/>
        <w:rPr>
          <w:rFonts w:ascii="Arial" w:hAnsi="Arial" w:cs="Arial"/>
          <w:sz w:val="20"/>
          <w:szCs w:val="20"/>
          <w:highlight w:val="yellow"/>
        </w:rPr>
      </w:pPr>
    </w:p>
    <w:p w14:paraId="768E4869" w14:textId="77777777" w:rsidR="00413B6E" w:rsidRPr="00413B6E" w:rsidRDefault="00413B6E" w:rsidP="00B96480">
      <w:pPr>
        <w:spacing w:after="0"/>
        <w:jc w:val="both"/>
        <w:rPr>
          <w:rFonts w:ascii="Arial" w:hAnsi="Arial" w:cs="Arial"/>
          <w:sz w:val="20"/>
          <w:szCs w:val="20"/>
          <w:u w:val="single"/>
        </w:rPr>
      </w:pPr>
      <w:r w:rsidRPr="00413B6E">
        <w:rPr>
          <w:rFonts w:ascii="Arial" w:hAnsi="Arial" w:cs="Arial"/>
          <w:sz w:val="20"/>
          <w:szCs w:val="20"/>
          <w:u w:val="single"/>
        </w:rPr>
        <w:t xml:space="preserve">Revenue recognition as a result of adopting IFRS 15 </w:t>
      </w:r>
    </w:p>
    <w:p w14:paraId="63E4839B" w14:textId="77777777" w:rsidR="00413B6E" w:rsidRDefault="00413B6E" w:rsidP="00B96480">
      <w:pPr>
        <w:spacing w:after="0"/>
        <w:jc w:val="both"/>
        <w:rPr>
          <w:rFonts w:ascii="Arial" w:hAnsi="Arial" w:cs="Arial"/>
          <w:sz w:val="20"/>
          <w:szCs w:val="20"/>
        </w:rPr>
      </w:pPr>
    </w:p>
    <w:p w14:paraId="37386993" w14:textId="77777777" w:rsidR="00413B6E" w:rsidRPr="00413B6E" w:rsidRDefault="00413B6E" w:rsidP="00B96480">
      <w:pPr>
        <w:spacing w:after="0"/>
        <w:jc w:val="both"/>
        <w:rPr>
          <w:rFonts w:ascii="Arial" w:hAnsi="Arial" w:cs="Arial"/>
          <w:i/>
          <w:sz w:val="20"/>
          <w:szCs w:val="20"/>
        </w:rPr>
      </w:pPr>
      <w:r w:rsidRPr="00413B6E">
        <w:rPr>
          <w:rFonts w:ascii="Arial" w:hAnsi="Arial" w:cs="Arial"/>
          <w:i/>
          <w:sz w:val="20"/>
          <w:szCs w:val="20"/>
        </w:rPr>
        <w:t xml:space="preserve">Determination of performance obligations </w:t>
      </w:r>
    </w:p>
    <w:p w14:paraId="040743AC" w14:textId="77777777"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The Company applied judgement to determine if a good or service that is promised to a customer is distinct based on whether the customer can benefit from the good or service on its own or together with other readily available resources and whether the good or service is separately identifiable. Based on these criteria, the Company determined the primary performance obligation relating to its sales contracts is the </w:t>
      </w:r>
      <w:r>
        <w:rPr>
          <w:rFonts w:ascii="Arial" w:hAnsi="Arial" w:cs="Arial"/>
          <w:sz w:val="20"/>
          <w:szCs w:val="20"/>
        </w:rPr>
        <w:t>delivery of service to its patients</w:t>
      </w:r>
      <w:r w:rsidRPr="00413B6E">
        <w:rPr>
          <w:rFonts w:ascii="Arial" w:hAnsi="Arial" w:cs="Arial"/>
          <w:sz w:val="20"/>
          <w:szCs w:val="20"/>
        </w:rPr>
        <w:t>.</w:t>
      </w:r>
    </w:p>
    <w:p w14:paraId="7377B1D4" w14:textId="25BBDC0D" w:rsidR="00413B6E" w:rsidRDefault="00413B6E" w:rsidP="00B96480">
      <w:pPr>
        <w:spacing w:after="0"/>
        <w:jc w:val="both"/>
        <w:rPr>
          <w:rFonts w:ascii="Arial" w:hAnsi="Arial" w:cs="Arial"/>
          <w:sz w:val="20"/>
          <w:szCs w:val="20"/>
        </w:rPr>
      </w:pPr>
    </w:p>
    <w:p w14:paraId="15D073D8" w14:textId="7827969E" w:rsidR="00413B6E" w:rsidRPr="00413B6E" w:rsidRDefault="00413B6E" w:rsidP="00B96480">
      <w:pPr>
        <w:spacing w:after="0"/>
        <w:jc w:val="both"/>
        <w:rPr>
          <w:rFonts w:ascii="Arial" w:hAnsi="Arial" w:cs="Arial"/>
          <w:i/>
          <w:sz w:val="20"/>
          <w:szCs w:val="20"/>
        </w:rPr>
      </w:pPr>
      <w:r w:rsidRPr="00413B6E">
        <w:rPr>
          <w:rFonts w:ascii="Arial" w:hAnsi="Arial" w:cs="Arial"/>
          <w:i/>
          <w:sz w:val="20"/>
          <w:szCs w:val="20"/>
        </w:rPr>
        <w:t xml:space="preserve">Transfer of control </w:t>
      </w:r>
    </w:p>
    <w:p w14:paraId="545625D6" w14:textId="33120F0F"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Judgement is </w:t>
      </w:r>
      <w:r w:rsidRPr="00EC269B">
        <w:rPr>
          <w:rFonts w:ascii="Arial" w:hAnsi="Arial" w:cs="Arial"/>
          <w:sz w:val="20"/>
          <w:szCs w:val="20"/>
        </w:rPr>
        <w:t xml:space="preserve">required to determine when transfer of control occurs relating to the sale of the Company's </w:t>
      </w:r>
      <w:r w:rsidR="002D1846" w:rsidRPr="00EC269B">
        <w:rPr>
          <w:rFonts w:ascii="Arial" w:hAnsi="Arial" w:cs="Arial"/>
          <w:sz w:val="20"/>
          <w:szCs w:val="20"/>
        </w:rPr>
        <w:t>services</w:t>
      </w:r>
      <w:r w:rsidRPr="00EC269B">
        <w:rPr>
          <w:rFonts w:ascii="Arial" w:hAnsi="Arial" w:cs="Arial"/>
          <w:sz w:val="20"/>
          <w:szCs w:val="20"/>
        </w:rPr>
        <w:t xml:space="preserve"> to its</w:t>
      </w:r>
      <w:r w:rsidR="002D1846" w:rsidRPr="00EC269B">
        <w:rPr>
          <w:rFonts w:ascii="Arial" w:hAnsi="Arial" w:cs="Arial"/>
          <w:sz w:val="20"/>
          <w:szCs w:val="20"/>
        </w:rPr>
        <w:t xml:space="preserve"> patients</w:t>
      </w:r>
      <w:r w:rsidRPr="00EC269B">
        <w:rPr>
          <w:rFonts w:ascii="Arial" w:hAnsi="Arial" w:cs="Arial"/>
          <w:sz w:val="20"/>
          <w:szCs w:val="20"/>
        </w:rPr>
        <w:t>. Management based its assessment on a number of indicators of control, which include, but are not limited to whether the Company has present right of payment, and whether the physical possession of the goods, significant risks and rewards and legal title have been transferred to the customer.</w:t>
      </w:r>
    </w:p>
    <w:p w14:paraId="7E796424" w14:textId="67674A8B" w:rsidR="00413B6E" w:rsidRDefault="00413B6E" w:rsidP="00B96480">
      <w:pPr>
        <w:spacing w:after="0"/>
        <w:jc w:val="both"/>
        <w:rPr>
          <w:rFonts w:ascii="Arial" w:hAnsi="Arial" w:cs="Arial"/>
          <w:sz w:val="20"/>
          <w:szCs w:val="20"/>
        </w:rPr>
      </w:pPr>
    </w:p>
    <w:p w14:paraId="235A0610" w14:textId="2D1A104A" w:rsidR="002D1846" w:rsidRPr="00413B6E" w:rsidRDefault="002D1846" w:rsidP="002D1846">
      <w:pPr>
        <w:spacing w:after="0"/>
        <w:jc w:val="both"/>
        <w:rPr>
          <w:rFonts w:ascii="Arial" w:hAnsi="Arial" w:cs="Arial"/>
          <w:b/>
          <w:i/>
          <w:sz w:val="20"/>
          <w:szCs w:val="20"/>
          <w:u w:val="single"/>
        </w:rPr>
      </w:pPr>
      <w:r>
        <w:rPr>
          <w:rFonts w:ascii="Arial" w:hAnsi="Arial" w:cs="Arial"/>
          <w:b/>
          <w:i/>
          <w:sz w:val="20"/>
          <w:szCs w:val="20"/>
          <w:u w:val="single"/>
        </w:rPr>
        <w:t>Key sources of estimation uncertainty</w:t>
      </w:r>
    </w:p>
    <w:p w14:paraId="00A3B4C1" w14:textId="77777777" w:rsidR="002D1846" w:rsidRPr="00413B6E" w:rsidRDefault="002D1846" w:rsidP="00B96480">
      <w:pPr>
        <w:spacing w:after="0"/>
        <w:jc w:val="both"/>
        <w:rPr>
          <w:rFonts w:ascii="Arial" w:hAnsi="Arial" w:cs="Arial"/>
          <w:sz w:val="20"/>
          <w:szCs w:val="20"/>
        </w:rPr>
      </w:pPr>
    </w:p>
    <w:p w14:paraId="62EFC713" w14:textId="7D4FE588" w:rsidR="00B96480" w:rsidRDefault="002D1846" w:rsidP="00B96480">
      <w:pPr>
        <w:spacing w:after="0"/>
        <w:jc w:val="both"/>
        <w:rPr>
          <w:rFonts w:ascii="Arial" w:hAnsi="Arial" w:cs="Arial"/>
          <w:sz w:val="20"/>
          <w:szCs w:val="20"/>
        </w:rPr>
      </w:pPr>
      <w:r w:rsidRPr="002D1846">
        <w:rPr>
          <w:rFonts w:ascii="Arial" w:hAnsi="Arial" w:cs="Arial"/>
          <w:sz w:val="20"/>
          <w:szCs w:val="20"/>
        </w:rPr>
        <w:t>Significant assumptions about the future and other major sources of estimation uncertainty at the end of the reporting period that may result in a material adjustment to the carrying amounts of the Company’s assets and liabilities are as follows:</w:t>
      </w:r>
    </w:p>
    <w:p w14:paraId="7D259BD2" w14:textId="26D7CC97" w:rsidR="004D46B6" w:rsidRDefault="004D46B6" w:rsidP="00B96480">
      <w:pPr>
        <w:spacing w:after="0"/>
        <w:jc w:val="both"/>
        <w:rPr>
          <w:rFonts w:ascii="Arial" w:hAnsi="Arial" w:cs="Arial"/>
          <w:sz w:val="20"/>
          <w:szCs w:val="20"/>
        </w:rPr>
      </w:pPr>
    </w:p>
    <w:p w14:paraId="463BE24D" w14:textId="77777777" w:rsidR="004D46B6" w:rsidRPr="004D46B6" w:rsidRDefault="004D46B6" w:rsidP="00B96480">
      <w:pPr>
        <w:spacing w:after="0"/>
        <w:jc w:val="both"/>
        <w:rPr>
          <w:rFonts w:ascii="Arial" w:hAnsi="Arial" w:cs="Arial"/>
          <w:sz w:val="20"/>
          <w:szCs w:val="20"/>
          <w:u w:val="single"/>
        </w:rPr>
      </w:pPr>
      <w:bookmarkStart w:id="5" w:name="_Hlk6490010"/>
      <w:r w:rsidRPr="004D46B6">
        <w:rPr>
          <w:rFonts w:ascii="Arial" w:hAnsi="Arial" w:cs="Arial"/>
          <w:sz w:val="20"/>
          <w:szCs w:val="20"/>
          <w:u w:val="single"/>
        </w:rPr>
        <w:t xml:space="preserve">Current and deferred taxes </w:t>
      </w:r>
    </w:p>
    <w:p w14:paraId="3A486AE0" w14:textId="77777777" w:rsidR="00CC1970" w:rsidRDefault="004D46B6" w:rsidP="00B96480">
      <w:pPr>
        <w:spacing w:after="0"/>
        <w:jc w:val="both"/>
        <w:rPr>
          <w:rFonts w:ascii="Arial" w:hAnsi="Arial" w:cs="Arial"/>
          <w:sz w:val="20"/>
          <w:szCs w:val="20"/>
        </w:rPr>
      </w:pPr>
      <w:r w:rsidRPr="004D46B6">
        <w:rPr>
          <w:rFonts w:ascii="Arial" w:hAnsi="Arial" w:cs="Arial"/>
          <w:sz w:val="20"/>
          <w:szCs w:val="20"/>
        </w:rPr>
        <w:t xml:space="preserve">The Company’s provision for income taxes is estimated based on the expected annual effective tax rates (and tax laws) that have been enacted or substantively enacted by the end of the reporting period. The current and deferred components of income taxes are estimated based on forecasted movements in temporary differences. Changes to the expected annual effective tax rate and differences between the </w:t>
      </w:r>
    </w:p>
    <w:p w14:paraId="2B000A8A" w14:textId="77777777" w:rsidR="00CC1970" w:rsidRDefault="00CC1970" w:rsidP="00B96480">
      <w:pPr>
        <w:spacing w:after="0"/>
        <w:jc w:val="both"/>
        <w:rPr>
          <w:rFonts w:ascii="Arial" w:hAnsi="Arial" w:cs="Arial"/>
          <w:sz w:val="20"/>
          <w:szCs w:val="20"/>
        </w:rPr>
      </w:pPr>
    </w:p>
    <w:p w14:paraId="0933F646" w14:textId="0738D996"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actual and expected effective tax rate and between actual and forecasted movements in temporary differences will result in adjustments to the Company’s provision for income taxes in the period changes are made and/or differences are identified. </w:t>
      </w:r>
    </w:p>
    <w:p w14:paraId="36F2B153" w14:textId="77777777" w:rsidR="00DA05F7" w:rsidRDefault="00DA05F7" w:rsidP="00B96480">
      <w:pPr>
        <w:spacing w:after="0"/>
        <w:jc w:val="both"/>
        <w:rPr>
          <w:rFonts w:ascii="Arial" w:hAnsi="Arial" w:cs="Arial"/>
          <w:sz w:val="20"/>
          <w:szCs w:val="20"/>
        </w:rPr>
      </w:pPr>
    </w:p>
    <w:p w14:paraId="5E2EC8C9" w14:textId="77777777" w:rsidR="00C33AED" w:rsidRDefault="00C33AED">
      <w:pPr>
        <w:rPr>
          <w:rFonts w:ascii="Arial" w:hAnsi="Arial" w:cs="Arial"/>
          <w:sz w:val="20"/>
          <w:szCs w:val="20"/>
        </w:rPr>
      </w:pPr>
      <w:r>
        <w:rPr>
          <w:rFonts w:ascii="Arial" w:hAnsi="Arial" w:cs="Arial"/>
          <w:sz w:val="20"/>
          <w:szCs w:val="20"/>
        </w:rPr>
        <w:br w:type="page"/>
      </w:r>
    </w:p>
    <w:p w14:paraId="114D0EF5" w14:textId="77777777" w:rsidR="00C33AED" w:rsidRDefault="00C33AED" w:rsidP="00B96480">
      <w:pPr>
        <w:spacing w:after="0"/>
        <w:jc w:val="both"/>
        <w:rPr>
          <w:rFonts w:ascii="Arial" w:hAnsi="Arial" w:cs="Arial"/>
          <w:sz w:val="20"/>
          <w:szCs w:val="20"/>
        </w:rPr>
      </w:pPr>
    </w:p>
    <w:p w14:paraId="400DBC3E" w14:textId="43D9B04B" w:rsidR="00F56B6B" w:rsidRDefault="004D46B6" w:rsidP="00B96480">
      <w:pPr>
        <w:spacing w:after="0"/>
        <w:jc w:val="both"/>
        <w:rPr>
          <w:rFonts w:ascii="Arial" w:hAnsi="Arial" w:cs="Arial"/>
          <w:sz w:val="20"/>
          <w:szCs w:val="20"/>
        </w:rPr>
      </w:pPr>
      <w:r w:rsidRPr="004D46B6">
        <w:rPr>
          <w:rFonts w:ascii="Arial" w:hAnsi="Arial" w:cs="Arial"/>
          <w:sz w:val="20"/>
          <w:szCs w:val="20"/>
        </w:rPr>
        <w:t xml:space="preserve">In assessing the probability of realizing income tax assets recognized, management makes estimates related to expectations of future taxable income, applicable tax planning opportunities, expected timing of reversals of existing temporary differences and the likelihood that tax positions taken will be sustained upon examination by applicable tax authorities. In making its assessments, management gives additional weight to positive and negative evidence that can be objectively verified. Estimates of future taxable income are based on forecasted cash flows from operations and the application of existing tax laws in each jurisdiction. Forecasted cash flows from operations are based on </w:t>
      </w:r>
      <w:r>
        <w:rPr>
          <w:rFonts w:ascii="Arial" w:hAnsi="Arial" w:cs="Arial"/>
          <w:sz w:val="20"/>
          <w:szCs w:val="20"/>
        </w:rPr>
        <w:t>patient visits are</w:t>
      </w:r>
      <w:r w:rsidRPr="004D46B6">
        <w:rPr>
          <w:rFonts w:ascii="Arial" w:hAnsi="Arial" w:cs="Arial"/>
          <w:sz w:val="20"/>
          <w:szCs w:val="20"/>
        </w:rPr>
        <w:t xml:space="preserve"> internally developed and reviewed </w:t>
      </w:r>
    </w:p>
    <w:p w14:paraId="5F97FE19" w14:textId="77777777" w:rsidR="00F56B6B" w:rsidRDefault="00F56B6B" w:rsidP="00B96480">
      <w:pPr>
        <w:spacing w:after="0"/>
        <w:jc w:val="both"/>
        <w:rPr>
          <w:rFonts w:ascii="Arial" w:hAnsi="Arial" w:cs="Arial"/>
          <w:sz w:val="20"/>
          <w:szCs w:val="20"/>
        </w:rPr>
      </w:pPr>
    </w:p>
    <w:p w14:paraId="1036515A" w14:textId="73DF7BA9"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by management. Weight is attached to tax planning opportunities that are within the Company’s control, and are feasible and implementable without significant obstacles. </w:t>
      </w:r>
    </w:p>
    <w:p w14:paraId="1CF53275" w14:textId="77777777" w:rsidR="004D46B6" w:rsidRDefault="004D46B6" w:rsidP="00B96480">
      <w:pPr>
        <w:spacing w:after="0"/>
        <w:jc w:val="both"/>
        <w:rPr>
          <w:rFonts w:ascii="Arial" w:hAnsi="Arial" w:cs="Arial"/>
          <w:sz w:val="20"/>
          <w:szCs w:val="20"/>
        </w:rPr>
      </w:pPr>
    </w:p>
    <w:p w14:paraId="566B4139" w14:textId="77777777"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The likelihood that tax positions taken will be sustained upon examination by applicable tax authorities is assessed based on individual facts and circumstances of the relevant tax position evaluated in light of all available evidence. </w:t>
      </w:r>
    </w:p>
    <w:bookmarkEnd w:id="5"/>
    <w:p w14:paraId="0E8D1B54" w14:textId="77777777" w:rsidR="00A514AC" w:rsidRDefault="00A514AC" w:rsidP="00B96480">
      <w:pPr>
        <w:spacing w:after="0"/>
        <w:jc w:val="both"/>
        <w:rPr>
          <w:rFonts w:ascii="Arial" w:hAnsi="Arial" w:cs="Arial"/>
          <w:sz w:val="20"/>
          <w:szCs w:val="20"/>
        </w:rPr>
      </w:pPr>
    </w:p>
    <w:p w14:paraId="0CD26EE8" w14:textId="6BDF942B"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Where applicable tax laws and regulations are either unclear or subject to ongoing varying interpretations, it is reasonably possible that changes in these estimates can occur that materially affect the amounts of income tax assets recognized. At the end of each reporting period, the Company reassesses unrecognized income tax assets. </w:t>
      </w:r>
    </w:p>
    <w:p w14:paraId="03C01154" w14:textId="77777777" w:rsidR="004D46B6" w:rsidRDefault="004D46B6" w:rsidP="00B96480">
      <w:pPr>
        <w:spacing w:after="0"/>
        <w:jc w:val="both"/>
        <w:rPr>
          <w:rFonts w:ascii="Arial" w:hAnsi="Arial" w:cs="Arial"/>
          <w:sz w:val="20"/>
          <w:szCs w:val="20"/>
        </w:rPr>
      </w:pPr>
    </w:p>
    <w:p w14:paraId="5456A459" w14:textId="77777777" w:rsidR="004D46B6" w:rsidRPr="004D46B6" w:rsidRDefault="004D46B6" w:rsidP="00B96480">
      <w:pPr>
        <w:spacing w:after="0"/>
        <w:jc w:val="both"/>
        <w:rPr>
          <w:rFonts w:ascii="Arial" w:hAnsi="Arial" w:cs="Arial"/>
          <w:sz w:val="20"/>
          <w:szCs w:val="20"/>
          <w:u w:val="single"/>
        </w:rPr>
      </w:pPr>
      <w:r w:rsidRPr="004D46B6">
        <w:rPr>
          <w:rFonts w:ascii="Arial" w:hAnsi="Arial" w:cs="Arial"/>
          <w:sz w:val="20"/>
          <w:szCs w:val="20"/>
          <w:u w:val="single"/>
        </w:rPr>
        <w:t xml:space="preserve">Equity-settled share-based payments </w:t>
      </w:r>
    </w:p>
    <w:p w14:paraId="708A024D" w14:textId="02A9C84A" w:rsidR="004D46B6" w:rsidRDefault="004D46B6" w:rsidP="00B96480">
      <w:pPr>
        <w:spacing w:after="0"/>
        <w:jc w:val="both"/>
        <w:rPr>
          <w:rFonts w:ascii="Arial" w:hAnsi="Arial" w:cs="Arial"/>
          <w:sz w:val="20"/>
          <w:szCs w:val="20"/>
        </w:rPr>
      </w:pPr>
      <w:bookmarkStart w:id="6" w:name="_Hlk6490143"/>
      <w:r w:rsidRPr="004D46B6">
        <w:rPr>
          <w:rFonts w:ascii="Arial" w:hAnsi="Arial" w:cs="Arial"/>
          <w:sz w:val="20"/>
          <w:szCs w:val="20"/>
        </w:rPr>
        <w:t>Share-based payments are measured at fair value. Options</w:t>
      </w:r>
      <w:r>
        <w:rPr>
          <w:rFonts w:ascii="Arial" w:hAnsi="Arial" w:cs="Arial"/>
          <w:sz w:val="20"/>
          <w:szCs w:val="20"/>
        </w:rPr>
        <w:t xml:space="preserve"> and warrants</w:t>
      </w:r>
      <w:r w:rsidRPr="004D46B6">
        <w:rPr>
          <w:rFonts w:ascii="Arial" w:hAnsi="Arial" w:cs="Arial"/>
          <w:sz w:val="20"/>
          <w:szCs w:val="20"/>
        </w:rPr>
        <w:t xml:space="preserve"> are measured using the Black-Scholes option pricing model based on estimated fair values of all share-based awards at the date of grant and are expensed to earnings or loss from operations over each award’s vesting period. The Black-Scholes option pricing model utilizes subjective assumptions such as expected price volatility and expected life of the option. Changes in these input assumptions can significantly affect the fair value estimate. </w:t>
      </w:r>
    </w:p>
    <w:bookmarkEnd w:id="6"/>
    <w:p w14:paraId="184E1BDF" w14:textId="77777777" w:rsidR="004D46B6" w:rsidRDefault="004D46B6" w:rsidP="00B96480">
      <w:pPr>
        <w:spacing w:after="0"/>
        <w:jc w:val="both"/>
        <w:rPr>
          <w:rFonts w:ascii="Arial" w:hAnsi="Arial" w:cs="Arial"/>
          <w:sz w:val="20"/>
          <w:szCs w:val="20"/>
        </w:rPr>
      </w:pPr>
    </w:p>
    <w:p w14:paraId="2E7D9403" w14:textId="77777777" w:rsidR="004D46B6" w:rsidRPr="004D46B6" w:rsidRDefault="004D46B6" w:rsidP="00B96480">
      <w:pPr>
        <w:spacing w:after="0"/>
        <w:jc w:val="both"/>
        <w:rPr>
          <w:rFonts w:ascii="Arial" w:hAnsi="Arial" w:cs="Arial"/>
          <w:sz w:val="20"/>
          <w:szCs w:val="20"/>
          <w:u w:val="single"/>
        </w:rPr>
      </w:pPr>
      <w:bookmarkStart w:id="7" w:name="_Hlk6490257"/>
      <w:r w:rsidRPr="004D46B6">
        <w:rPr>
          <w:rFonts w:ascii="Arial" w:hAnsi="Arial" w:cs="Arial"/>
          <w:sz w:val="20"/>
          <w:szCs w:val="20"/>
          <w:u w:val="single"/>
        </w:rPr>
        <w:t xml:space="preserve">Contingencies </w:t>
      </w:r>
    </w:p>
    <w:p w14:paraId="3FD075BA" w14:textId="22A3FC67" w:rsidR="004D46B6" w:rsidRPr="002D1846" w:rsidRDefault="004D46B6" w:rsidP="00B96480">
      <w:pPr>
        <w:spacing w:after="0"/>
        <w:jc w:val="both"/>
        <w:rPr>
          <w:rFonts w:ascii="Arial" w:hAnsi="Arial" w:cs="Arial"/>
          <w:sz w:val="20"/>
          <w:szCs w:val="20"/>
        </w:rPr>
      </w:pPr>
      <w:r w:rsidRPr="004D46B6">
        <w:rPr>
          <w:rFonts w:ascii="Arial" w:hAnsi="Arial" w:cs="Arial"/>
          <w:sz w:val="20"/>
          <w:szCs w:val="20"/>
        </w:rPr>
        <w:t>Due to the nature of the Company’s operations, various legal and tax matters can arise from time to time. In the event that management’s estimate of the future resolution of these matters changes, the Company will recognize the effects of the changes in its consolidated financial statements for the period in which such changes occur.</w:t>
      </w:r>
    </w:p>
    <w:bookmarkEnd w:id="7"/>
    <w:p w14:paraId="24FB40A2" w14:textId="77777777" w:rsidR="00D127FC" w:rsidRDefault="00D127FC" w:rsidP="00BE1DF8">
      <w:pPr>
        <w:pStyle w:val="NormalWeb"/>
        <w:pBdr>
          <w:bottom w:val="single" w:sz="12" w:space="1" w:color="auto"/>
        </w:pBdr>
        <w:spacing w:before="0" w:beforeAutospacing="0" w:after="0" w:afterAutospacing="0"/>
        <w:rPr>
          <w:rFonts w:ascii="Arial" w:hAnsi="Arial" w:cs="Arial"/>
          <w:b/>
          <w:bCs/>
          <w:color w:val="000000"/>
          <w:sz w:val="20"/>
          <w:szCs w:val="20"/>
        </w:rPr>
      </w:pPr>
    </w:p>
    <w:p w14:paraId="223B65A2" w14:textId="19DBEC0C" w:rsidR="00B96480" w:rsidRPr="00BE1DF8" w:rsidRDefault="004D46B6"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CHANGES IN ACCOUNTING STANDARDS</w:t>
      </w:r>
    </w:p>
    <w:p w14:paraId="1F3DB6C6" w14:textId="77777777" w:rsidR="00BE1DF8" w:rsidRDefault="00BE1DF8">
      <w:pPr>
        <w:spacing w:after="0"/>
        <w:jc w:val="both"/>
        <w:rPr>
          <w:rFonts w:ascii="Arial" w:hAnsi="Arial" w:cs="Arial"/>
          <w:sz w:val="20"/>
          <w:szCs w:val="20"/>
        </w:rPr>
      </w:pPr>
    </w:p>
    <w:p w14:paraId="48A6CC9A" w14:textId="016F207B" w:rsidR="004D46B6" w:rsidRDefault="004D46B6">
      <w:pPr>
        <w:spacing w:after="0"/>
        <w:jc w:val="both"/>
        <w:rPr>
          <w:rFonts w:ascii="Arial" w:hAnsi="Arial" w:cs="Arial"/>
          <w:sz w:val="20"/>
          <w:szCs w:val="20"/>
        </w:rPr>
      </w:pPr>
      <w:r w:rsidRPr="004D46B6">
        <w:rPr>
          <w:rFonts w:ascii="Arial" w:hAnsi="Arial" w:cs="Arial"/>
          <w:sz w:val="20"/>
          <w:szCs w:val="20"/>
        </w:rPr>
        <w:t>The accounting policies applied in the preparation of the Company’s annual consolidated financial statements for the years ended December 31, 2018 and 2017, are consistent with new standards and amendments to standards, except for the following:</w:t>
      </w:r>
    </w:p>
    <w:p w14:paraId="06E0034B" w14:textId="57F5E712" w:rsidR="00B96480" w:rsidRDefault="000E5C02" w:rsidP="007D22F1">
      <w:pPr>
        <w:jc w:val="both"/>
        <w:rPr>
          <w:rFonts w:ascii="Arial" w:hAnsi="Arial" w:cs="Arial"/>
          <w:sz w:val="20"/>
          <w:szCs w:val="20"/>
        </w:rPr>
      </w:pPr>
      <w:r>
        <w:rPr>
          <w:rFonts w:ascii="Arial" w:hAnsi="Arial" w:cs="Arial"/>
          <w:b/>
          <w:i/>
          <w:sz w:val="20"/>
          <w:szCs w:val="20"/>
          <w:u w:val="single"/>
        </w:rPr>
        <w:br/>
      </w:r>
      <w:bookmarkStart w:id="8" w:name="_Hlk6490469"/>
      <w:r w:rsidR="00F56B6B">
        <w:rPr>
          <w:rFonts w:ascii="Arial" w:hAnsi="Arial" w:cs="Arial"/>
          <w:sz w:val="20"/>
          <w:szCs w:val="20"/>
        </w:rPr>
        <w:t xml:space="preserve">The Company adopted IFRS 16 using the modified retrospective approach on </w:t>
      </w:r>
      <w:r w:rsidR="00B51F89" w:rsidRPr="00B51F89">
        <w:rPr>
          <w:rFonts w:ascii="Arial" w:hAnsi="Arial" w:cs="Arial"/>
          <w:sz w:val="20"/>
          <w:szCs w:val="20"/>
        </w:rPr>
        <w:t xml:space="preserve">January </w:t>
      </w:r>
      <w:r w:rsidR="00F56B6B">
        <w:rPr>
          <w:rFonts w:ascii="Arial" w:hAnsi="Arial" w:cs="Arial"/>
          <w:sz w:val="20"/>
          <w:szCs w:val="20"/>
        </w:rPr>
        <w:t xml:space="preserve">1, </w:t>
      </w:r>
      <w:r w:rsidR="00B51F89" w:rsidRPr="00B51F89">
        <w:rPr>
          <w:rFonts w:ascii="Arial" w:hAnsi="Arial" w:cs="Arial"/>
          <w:sz w:val="20"/>
          <w:szCs w:val="20"/>
        </w:rPr>
        <w:t>201</w:t>
      </w:r>
      <w:r w:rsidR="00F56B6B">
        <w:rPr>
          <w:rFonts w:ascii="Arial" w:hAnsi="Arial" w:cs="Arial"/>
          <w:sz w:val="20"/>
          <w:szCs w:val="20"/>
        </w:rPr>
        <w:t>9. Under this method</w:t>
      </w:r>
      <w:r w:rsidR="00B51F89" w:rsidRPr="00B51F89">
        <w:rPr>
          <w:rFonts w:ascii="Arial" w:hAnsi="Arial" w:cs="Arial"/>
          <w:sz w:val="20"/>
          <w:szCs w:val="20"/>
        </w:rPr>
        <w:t xml:space="preserve">, the </w:t>
      </w:r>
      <w:r w:rsidR="00F56B6B">
        <w:rPr>
          <w:rFonts w:ascii="Arial" w:hAnsi="Arial" w:cs="Arial"/>
          <w:sz w:val="20"/>
          <w:szCs w:val="20"/>
        </w:rPr>
        <w:t>cumulative effect of initially applying the standard is recognized in retained earnings at January 1, 2019. Accordingly, the comparative information</w:t>
      </w:r>
      <w:r w:rsidR="007D22F1">
        <w:rPr>
          <w:rFonts w:ascii="Arial" w:hAnsi="Arial" w:cs="Arial"/>
          <w:sz w:val="20"/>
          <w:szCs w:val="20"/>
        </w:rPr>
        <w:t xml:space="preserve"> presented for 2018 has not been restated and is presented as previously reported under IAS 17 </w:t>
      </w:r>
      <w:r w:rsidR="00041AB3">
        <w:rPr>
          <w:rFonts w:ascii="Arial" w:hAnsi="Arial" w:cs="Arial"/>
          <w:sz w:val="20"/>
          <w:szCs w:val="20"/>
        </w:rPr>
        <w:t xml:space="preserve">Leases </w:t>
      </w:r>
      <w:r w:rsidR="007D22F1">
        <w:rPr>
          <w:rFonts w:ascii="Arial" w:hAnsi="Arial" w:cs="Arial"/>
          <w:sz w:val="20"/>
          <w:szCs w:val="20"/>
        </w:rPr>
        <w:t>a</w:t>
      </w:r>
      <w:r w:rsidR="00041AB3">
        <w:rPr>
          <w:rFonts w:ascii="Arial" w:hAnsi="Arial" w:cs="Arial"/>
          <w:sz w:val="20"/>
          <w:szCs w:val="20"/>
        </w:rPr>
        <w:t>n</w:t>
      </w:r>
      <w:r w:rsidR="007D22F1">
        <w:rPr>
          <w:rFonts w:ascii="Arial" w:hAnsi="Arial" w:cs="Arial"/>
          <w:sz w:val="20"/>
          <w:szCs w:val="20"/>
        </w:rPr>
        <w:t xml:space="preserve">d </w:t>
      </w:r>
      <w:r w:rsidR="00041AB3">
        <w:rPr>
          <w:rFonts w:ascii="Arial" w:hAnsi="Arial" w:cs="Arial"/>
          <w:sz w:val="20"/>
          <w:szCs w:val="20"/>
        </w:rPr>
        <w:t>IFRIC 4 Determining Whether an Arrangement Contains a Lease</w:t>
      </w:r>
      <w:r w:rsidR="00B51F89" w:rsidRPr="00B51F89">
        <w:rPr>
          <w:rFonts w:ascii="Arial" w:hAnsi="Arial" w:cs="Arial"/>
          <w:sz w:val="20"/>
          <w:szCs w:val="20"/>
        </w:rPr>
        <w:t xml:space="preserve">. </w:t>
      </w:r>
      <w:bookmarkEnd w:id="8"/>
    </w:p>
    <w:p w14:paraId="3BD5C9AB" w14:textId="77777777" w:rsidR="00C33AED" w:rsidRDefault="00C33AED">
      <w:pPr>
        <w:rPr>
          <w:rFonts w:ascii="Arial" w:hAnsi="Arial" w:cs="Arial"/>
          <w:sz w:val="20"/>
          <w:szCs w:val="20"/>
        </w:rPr>
      </w:pPr>
      <w:r>
        <w:rPr>
          <w:rFonts w:ascii="Arial" w:hAnsi="Arial" w:cs="Arial"/>
          <w:sz w:val="20"/>
          <w:szCs w:val="20"/>
        </w:rPr>
        <w:br w:type="page"/>
      </w:r>
    </w:p>
    <w:p w14:paraId="37B7A10E" w14:textId="77777777" w:rsidR="00687F6F" w:rsidRDefault="00687F6F" w:rsidP="00687F6F">
      <w:pPr>
        <w:spacing w:after="0"/>
        <w:jc w:val="both"/>
        <w:rPr>
          <w:rFonts w:ascii="Arial" w:hAnsi="Arial" w:cs="Arial"/>
          <w:sz w:val="20"/>
          <w:szCs w:val="20"/>
        </w:rPr>
      </w:pPr>
    </w:p>
    <w:p w14:paraId="12DC5199" w14:textId="0E74F3BF" w:rsidR="007D22F1" w:rsidRPr="007D22F1" w:rsidRDefault="007D22F1" w:rsidP="007D22F1">
      <w:pPr>
        <w:jc w:val="both"/>
        <w:rPr>
          <w:rFonts w:ascii="Arial" w:hAnsi="Arial" w:cs="Arial"/>
          <w:sz w:val="20"/>
          <w:szCs w:val="20"/>
        </w:rPr>
      </w:pPr>
      <w:r>
        <w:rPr>
          <w:rFonts w:ascii="Arial" w:hAnsi="Arial" w:cs="Arial"/>
          <w:sz w:val="20"/>
          <w:szCs w:val="20"/>
        </w:rPr>
        <w:t>On transition, the Company elected to apply the transition practical expedient allowing the standard to be applied only to contracts that were previously identified as lease under IAS 17. The Company also elected to use the recognition exemptions for lease contracts that, at the commencement date, have a lease term of 12 months or less and do not contain a purchase option (short-term leases), lease contracts for which the underlying asset is of low value (low-value assets). The transition and impact are further disclosed in note 3 to the March 31, 2019 unaudited interim condensed consolidated financial statements.</w:t>
      </w:r>
    </w:p>
    <w:p w14:paraId="00A30072" w14:textId="240B69B0" w:rsidR="000E5C02" w:rsidRPr="00413B6E" w:rsidRDefault="000E5C02" w:rsidP="000E5C02">
      <w:pPr>
        <w:pBdr>
          <w:bottom w:val="single" w:sz="12" w:space="1" w:color="auto"/>
        </w:pBdr>
        <w:autoSpaceDE w:val="0"/>
        <w:autoSpaceDN w:val="0"/>
        <w:adjustRightInd w:val="0"/>
        <w:spacing w:after="0"/>
        <w:jc w:val="both"/>
        <w:rPr>
          <w:rFonts w:ascii="Arial" w:hAnsi="Arial" w:cs="Arial"/>
          <w:b/>
          <w:sz w:val="20"/>
          <w:szCs w:val="20"/>
        </w:rPr>
      </w:pPr>
      <w:r w:rsidRPr="00413B6E">
        <w:rPr>
          <w:rFonts w:ascii="Arial" w:hAnsi="Arial" w:cs="Arial"/>
          <w:b/>
          <w:sz w:val="20"/>
          <w:szCs w:val="20"/>
        </w:rPr>
        <w:t>OUTSTANDING SHARE DATA</w:t>
      </w:r>
    </w:p>
    <w:p w14:paraId="0854B44A" w14:textId="77777777" w:rsidR="000E5C02" w:rsidRDefault="000E5C02" w:rsidP="000E5C02">
      <w:pPr>
        <w:autoSpaceDE w:val="0"/>
        <w:autoSpaceDN w:val="0"/>
        <w:adjustRightInd w:val="0"/>
        <w:spacing w:after="0"/>
        <w:jc w:val="both"/>
      </w:pPr>
    </w:p>
    <w:p w14:paraId="252021F6" w14:textId="514039BD" w:rsidR="006F5FB2" w:rsidRPr="00537E2E" w:rsidRDefault="00FA6D64" w:rsidP="006F5FB2">
      <w:pPr>
        <w:keepNext/>
        <w:tabs>
          <w:tab w:val="left" w:pos="360"/>
        </w:tabs>
        <w:suppressAutoHyphens/>
        <w:jc w:val="both"/>
        <w:rPr>
          <w:rFonts w:ascii="Arial" w:hAnsi="Arial" w:cs="Arial"/>
          <w:b/>
          <w:sz w:val="20"/>
          <w:szCs w:val="20"/>
        </w:rPr>
      </w:pPr>
      <w:r w:rsidRPr="00C90A0A">
        <w:rPr>
          <w:rFonts w:ascii="Arial" w:hAnsi="Arial" w:cs="Arial"/>
          <w:sz w:val="20"/>
          <w:szCs w:val="20"/>
        </w:rPr>
        <w:t xml:space="preserve">The authorized capital of the Company consists of an unlimited number of common shares without par value. </w:t>
      </w:r>
      <w:r w:rsidR="006F5FB2" w:rsidRPr="00537E2E">
        <w:rPr>
          <w:rFonts w:ascii="Arial" w:hAnsi="Arial" w:cs="Arial"/>
          <w:sz w:val="20"/>
          <w:szCs w:val="20"/>
        </w:rPr>
        <w:t xml:space="preserve">The Company had the following securities outstanding as </w:t>
      </w:r>
      <w:r w:rsidR="000E5C02">
        <w:rPr>
          <w:rFonts w:ascii="Arial" w:hAnsi="Arial" w:cs="Arial"/>
          <w:sz w:val="20"/>
          <w:szCs w:val="20"/>
        </w:rPr>
        <w:t>at the date of this MD&amp;A</w:t>
      </w:r>
      <w:r w:rsidR="006F5FB2" w:rsidRPr="00537E2E">
        <w:rPr>
          <w:rFonts w:ascii="Arial" w:hAnsi="Arial" w:cs="Arial"/>
          <w:sz w:val="20"/>
          <w:szCs w:val="20"/>
        </w:rPr>
        <w:t>:</w:t>
      </w:r>
    </w:p>
    <w:tbl>
      <w:tblPr>
        <w:tblStyle w:val="TableGrid"/>
        <w:tblW w:w="9355" w:type="dxa"/>
        <w:tblLook w:val="04A0" w:firstRow="1" w:lastRow="0" w:firstColumn="1" w:lastColumn="0" w:noHBand="0" w:noVBand="1"/>
      </w:tblPr>
      <w:tblGrid>
        <w:gridCol w:w="4765"/>
        <w:gridCol w:w="4590"/>
      </w:tblGrid>
      <w:tr w:rsidR="006F5FB2" w:rsidRPr="00537E2E" w14:paraId="3275D449" w14:textId="77777777" w:rsidTr="00D42770">
        <w:tc>
          <w:tcPr>
            <w:tcW w:w="4765" w:type="dxa"/>
            <w:tcBorders>
              <w:top w:val="single" w:sz="18" w:space="0" w:color="auto"/>
            </w:tcBorders>
            <w:shd w:val="clear" w:color="auto" w:fill="auto"/>
          </w:tcPr>
          <w:p w14:paraId="56395CB9" w14:textId="77777777" w:rsidR="006F5FB2" w:rsidRPr="007F7BF4" w:rsidRDefault="006F5FB2" w:rsidP="006A3BA2">
            <w:pPr>
              <w:keepNext/>
              <w:tabs>
                <w:tab w:val="left" w:pos="360"/>
              </w:tabs>
              <w:suppressAutoHyphens/>
              <w:jc w:val="center"/>
              <w:rPr>
                <w:rFonts w:ascii="Arial" w:hAnsi="Arial" w:cs="Arial"/>
                <w:b/>
                <w:sz w:val="20"/>
                <w:szCs w:val="20"/>
                <w:highlight w:val="yellow"/>
              </w:rPr>
            </w:pPr>
            <w:r w:rsidRPr="00987B43">
              <w:rPr>
                <w:rFonts w:ascii="Arial" w:hAnsi="Arial" w:cs="Arial"/>
                <w:b/>
                <w:sz w:val="20"/>
                <w:szCs w:val="20"/>
              </w:rPr>
              <w:t>Type of Security</w:t>
            </w:r>
          </w:p>
        </w:tc>
        <w:tc>
          <w:tcPr>
            <w:tcW w:w="4590" w:type="dxa"/>
            <w:tcBorders>
              <w:top w:val="single" w:sz="18" w:space="0" w:color="auto"/>
            </w:tcBorders>
            <w:shd w:val="clear" w:color="auto" w:fill="auto"/>
          </w:tcPr>
          <w:p w14:paraId="71A718F8" w14:textId="77777777" w:rsidR="006F5FB2" w:rsidRPr="00C44552" w:rsidRDefault="006F5FB2" w:rsidP="006A3BA2">
            <w:pPr>
              <w:keepNext/>
              <w:tabs>
                <w:tab w:val="left" w:pos="360"/>
              </w:tabs>
              <w:suppressAutoHyphens/>
              <w:jc w:val="center"/>
              <w:rPr>
                <w:rFonts w:ascii="Arial" w:hAnsi="Arial" w:cs="Arial"/>
                <w:b/>
                <w:sz w:val="20"/>
                <w:szCs w:val="20"/>
              </w:rPr>
            </w:pPr>
            <w:r w:rsidRPr="00C44552">
              <w:rPr>
                <w:rFonts w:ascii="Arial" w:hAnsi="Arial" w:cs="Arial"/>
                <w:b/>
                <w:sz w:val="20"/>
                <w:szCs w:val="20"/>
              </w:rPr>
              <w:t>Number Outstanding</w:t>
            </w:r>
          </w:p>
        </w:tc>
      </w:tr>
      <w:tr w:rsidR="00F56B6B" w:rsidRPr="00537E2E" w14:paraId="172B7152" w14:textId="77777777" w:rsidTr="00C90A0A">
        <w:tc>
          <w:tcPr>
            <w:tcW w:w="4765" w:type="dxa"/>
          </w:tcPr>
          <w:p w14:paraId="6D5DC776" w14:textId="77777777" w:rsidR="00F56B6B" w:rsidRPr="00537E2E" w:rsidRDefault="00F56B6B" w:rsidP="00F56B6B">
            <w:pPr>
              <w:keepNext/>
              <w:tabs>
                <w:tab w:val="left" w:pos="360"/>
              </w:tabs>
              <w:suppressAutoHyphens/>
              <w:jc w:val="center"/>
              <w:rPr>
                <w:rFonts w:ascii="Arial" w:hAnsi="Arial" w:cs="Arial"/>
                <w:sz w:val="20"/>
                <w:szCs w:val="20"/>
              </w:rPr>
            </w:pPr>
            <w:r w:rsidRPr="00537E2E">
              <w:rPr>
                <w:rFonts w:ascii="Arial" w:hAnsi="Arial" w:cs="Arial"/>
                <w:sz w:val="20"/>
                <w:szCs w:val="20"/>
              </w:rPr>
              <w:t>Common Shares</w:t>
            </w:r>
          </w:p>
        </w:tc>
        <w:tc>
          <w:tcPr>
            <w:tcW w:w="4590" w:type="dxa"/>
          </w:tcPr>
          <w:p w14:paraId="41B9FCFE" w14:textId="504E48B7" w:rsidR="00F56B6B" w:rsidRPr="006D3813" w:rsidRDefault="006D3813" w:rsidP="00F56B6B">
            <w:pPr>
              <w:keepNext/>
              <w:tabs>
                <w:tab w:val="left" w:pos="360"/>
              </w:tabs>
              <w:suppressAutoHyphens/>
              <w:jc w:val="center"/>
              <w:rPr>
                <w:rFonts w:ascii="Arial" w:hAnsi="Arial" w:cs="Arial"/>
                <w:sz w:val="20"/>
                <w:szCs w:val="20"/>
              </w:rPr>
            </w:pPr>
            <w:r>
              <w:rPr>
                <w:rFonts w:ascii="Arial" w:hAnsi="Arial" w:cs="Arial"/>
                <w:sz w:val="20"/>
                <w:szCs w:val="20"/>
              </w:rPr>
              <w:t>120,645,645</w:t>
            </w:r>
          </w:p>
        </w:tc>
      </w:tr>
      <w:tr w:rsidR="00F56B6B" w:rsidRPr="00537E2E" w14:paraId="21202544" w14:textId="77777777" w:rsidTr="00C90A0A">
        <w:tc>
          <w:tcPr>
            <w:tcW w:w="4765" w:type="dxa"/>
          </w:tcPr>
          <w:p w14:paraId="78A7107B" w14:textId="77777777" w:rsidR="00F56B6B" w:rsidRPr="00537E2E" w:rsidRDefault="00F56B6B" w:rsidP="00F56B6B">
            <w:pPr>
              <w:tabs>
                <w:tab w:val="left" w:pos="360"/>
              </w:tabs>
              <w:suppressAutoHyphens/>
              <w:jc w:val="center"/>
              <w:rPr>
                <w:rFonts w:ascii="Arial" w:hAnsi="Arial" w:cs="Arial"/>
                <w:sz w:val="20"/>
                <w:szCs w:val="20"/>
              </w:rPr>
            </w:pPr>
            <w:r w:rsidRPr="00537E2E">
              <w:rPr>
                <w:rFonts w:ascii="Arial" w:hAnsi="Arial" w:cs="Arial"/>
                <w:sz w:val="20"/>
                <w:szCs w:val="20"/>
              </w:rPr>
              <w:t>Stock Options</w:t>
            </w:r>
          </w:p>
        </w:tc>
        <w:tc>
          <w:tcPr>
            <w:tcW w:w="4590" w:type="dxa"/>
          </w:tcPr>
          <w:p w14:paraId="3C3039A4" w14:textId="6EDA1EAA" w:rsidR="00F56B6B" w:rsidRPr="006D3813" w:rsidRDefault="00F56B6B" w:rsidP="00F56B6B">
            <w:pPr>
              <w:tabs>
                <w:tab w:val="left" w:pos="360"/>
              </w:tabs>
              <w:suppressAutoHyphens/>
              <w:jc w:val="center"/>
              <w:rPr>
                <w:rFonts w:ascii="Arial" w:hAnsi="Arial" w:cs="Arial"/>
                <w:sz w:val="20"/>
                <w:szCs w:val="20"/>
              </w:rPr>
            </w:pPr>
            <w:r w:rsidRPr="006D3813">
              <w:rPr>
                <w:rFonts w:ascii="Arial" w:hAnsi="Arial" w:cs="Arial"/>
                <w:sz w:val="20"/>
                <w:szCs w:val="20"/>
              </w:rPr>
              <w:t>2,750,000</w:t>
            </w:r>
          </w:p>
        </w:tc>
      </w:tr>
      <w:tr w:rsidR="00F56B6B" w:rsidRPr="001A7752" w14:paraId="6E9BBA6F" w14:textId="77777777" w:rsidTr="00C90A0A">
        <w:tc>
          <w:tcPr>
            <w:tcW w:w="4765" w:type="dxa"/>
            <w:tcBorders>
              <w:bottom w:val="single" w:sz="18" w:space="0" w:color="auto"/>
            </w:tcBorders>
          </w:tcPr>
          <w:p w14:paraId="20296D14" w14:textId="4E954478" w:rsidR="00F56B6B" w:rsidRPr="001A7752" w:rsidRDefault="00F56B6B" w:rsidP="00F56B6B">
            <w:pPr>
              <w:tabs>
                <w:tab w:val="left" w:pos="360"/>
              </w:tabs>
              <w:suppressAutoHyphens/>
              <w:jc w:val="center"/>
              <w:rPr>
                <w:rFonts w:ascii="Arial" w:hAnsi="Arial" w:cs="Arial"/>
                <w:sz w:val="20"/>
                <w:szCs w:val="20"/>
              </w:rPr>
            </w:pPr>
            <w:r w:rsidRPr="001A7752">
              <w:rPr>
                <w:rFonts w:ascii="Arial" w:hAnsi="Arial" w:cs="Arial"/>
                <w:sz w:val="20"/>
                <w:szCs w:val="20"/>
              </w:rPr>
              <w:t>Warrants</w:t>
            </w:r>
          </w:p>
        </w:tc>
        <w:tc>
          <w:tcPr>
            <w:tcW w:w="4590" w:type="dxa"/>
            <w:tcBorders>
              <w:bottom w:val="single" w:sz="18" w:space="0" w:color="auto"/>
            </w:tcBorders>
          </w:tcPr>
          <w:p w14:paraId="704A5495" w14:textId="40D75253" w:rsidR="00F56B6B" w:rsidRPr="006D3813" w:rsidRDefault="00F56B6B" w:rsidP="00F56B6B">
            <w:pPr>
              <w:tabs>
                <w:tab w:val="left" w:pos="360"/>
              </w:tabs>
              <w:suppressAutoHyphens/>
              <w:jc w:val="center"/>
              <w:rPr>
                <w:rFonts w:ascii="Arial" w:hAnsi="Arial" w:cs="Arial"/>
                <w:sz w:val="20"/>
                <w:szCs w:val="20"/>
              </w:rPr>
            </w:pPr>
            <w:r w:rsidRPr="006D3813">
              <w:rPr>
                <w:rFonts w:ascii="Arial" w:hAnsi="Arial" w:cs="Arial"/>
                <w:sz w:val="20"/>
                <w:szCs w:val="20"/>
              </w:rPr>
              <w:t>41,977,096</w:t>
            </w:r>
          </w:p>
        </w:tc>
      </w:tr>
    </w:tbl>
    <w:p w14:paraId="5803C22F" w14:textId="16894AB6" w:rsidR="001E36DA" w:rsidRPr="001A7752" w:rsidRDefault="001E36DA" w:rsidP="00C90A0A">
      <w:pPr>
        <w:spacing w:after="0" w:line="240" w:lineRule="auto"/>
        <w:jc w:val="both"/>
      </w:pPr>
    </w:p>
    <w:p w14:paraId="3A5EB819" w14:textId="17D26D74" w:rsidR="001F1660" w:rsidRPr="000E5C02" w:rsidRDefault="000E5C02" w:rsidP="00BE1DF8">
      <w:pPr>
        <w:pBdr>
          <w:bottom w:val="single" w:sz="12" w:space="1" w:color="auto"/>
        </w:pBdr>
        <w:autoSpaceDE w:val="0"/>
        <w:autoSpaceDN w:val="0"/>
        <w:adjustRightInd w:val="0"/>
        <w:spacing w:after="0"/>
        <w:jc w:val="both"/>
        <w:rPr>
          <w:rFonts w:ascii="Arial" w:hAnsi="Arial" w:cs="Arial"/>
          <w:b/>
          <w:sz w:val="20"/>
          <w:szCs w:val="20"/>
        </w:rPr>
      </w:pPr>
      <w:r w:rsidRPr="001A7752">
        <w:rPr>
          <w:rFonts w:ascii="Arial" w:hAnsi="Arial" w:cs="Arial"/>
          <w:b/>
          <w:sz w:val="20"/>
          <w:szCs w:val="20"/>
        </w:rPr>
        <w:t>RISKS AND UNCERTAINTIES</w:t>
      </w:r>
      <w:r w:rsidR="00BE1DF8" w:rsidRPr="001A7752">
        <w:rPr>
          <w:rFonts w:ascii="Arial" w:hAnsi="Arial" w:cs="Arial"/>
          <w:b/>
          <w:sz w:val="20"/>
          <w:szCs w:val="20"/>
        </w:rPr>
        <w:t xml:space="preserve"> </w:t>
      </w:r>
    </w:p>
    <w:p w14:paraId="5FB543F3" w14:textId="77777777" w:rsidR="000E5C02" w:rsidRDefault="000E5C02" w:rsidP="001F1660">
      <w:pPr>
        <w:spacing w:after="0"/>
        <w:jc w:val="both"/>
        <w:rPr>
          <w:rFonts w:ascii="Arial" w:hAnsi="Arial" w:cs="Arial"/>
          <w:sz w:val="20"/>
          <w:szCs w:val="20"/>
        </w:rPr>
      </w:pPr>
    </w:p>
    <w:p w14:paraId="4D945564" w14:textId="69E84FCD" w:rsidR="000E5C02" w:rsidRDefault="009E0B8F" w:rsidP="009E0B8F">
      <w:pPr>
        <w:keepNext/>
        <w:tabs>
          <w:tab w:val="left" w:pos="360"/>
        </w:tabs>
        <w:suppressAutoHyphens/>
        <w:jc w:val="both"/>
        <w:rPr>
          <w:rFonts w:ascii="Arial" w:hAnsi="Arial" w:cs="Arial"/>
          <w:sz w:val="20"/>
          <w:szCs w:val="20"/>
        </w:rPr>
      </w:pPr>
      <w:r w:rsidRPr="009E0B8F">
        <w:rPr>
          <w:rFonts w:ascii="Arial" w:hAnsi="Arial" w:cs="Arial"/>
          <w:sz w:val="20"/>
          <w:szCs w:val="20"/>
        </w:rPr>
        <w:t>For a detailed listing of the risk factors faced by the Company, please refer to the Company’s MD&amp;A for the year ended December 31, 2018.</w:t>
      </w:r>
    </w:p>
    <w:p w14:paraId="31552F5E" w14:textId="6115180E" w:rsidR="00C00F4C" w:rsidRPr="001A7752" w:rsidRDefault="00C00F4C" w:rsidP="00C00F4C">
      <w:pPr>
        <w:pStyle w:val="NormalWeb"/>
        <w:pBdr>
          <w:bottom w:val="single" w:sz="12" w:space="1" w:color="auto"/>
        </w:pBdr>
        <w:spacing w:before="0" w:beforeAutospacing="0" w:after="0" w:afterAutospacing="0"/>
        <w:rPr>
          <w:rFonts w:ascii="Arial" w:hAnsi="Arial" w:cs="Arial"/>
          <w:b/>
          <w:bCs/>
          <w:color w:val="000000"/>
          <w:sz w:val="20"/>
          <w:szCs w:val="20"/>
        </w:rPr>
      </w:pPr>
      <w:r w:rsidRPr="001A7752">
        <w:rPr>
          <w:rFonts w:ascii="Arial" w:hAnsi="Arial" w:cs="Arial"/>
          <w:b/>
          <w:bCs/>
          <w:color w:val="000000"/>
          <w:sz w:val="20"/>
          <w:szCs w:val="20"/>
        </w:rPr>
        <w:t>CAUTIONARY NOTE REGARDING FORWARD LOOKING STATEMENTS</w:t>
      </w:r>
      <w:r w:rsidR="00BE1DF8" w:rsidRPr="001A7752">
        <w:rPr>
          <w:rFonts w:ascii="Arial" w:hAnsi="Arial" w:cs="Arial"/>
          <w:b/>
          <w:bCs/>
          <w:color w:val="000000"/>
          <w:sz w:val="20"/>
          <w:szCs w:val="20"/>
        </w:rPr>
        <w:t xml:space="preserve"> </w:t>
      </w:r>
    </w:p>
    <w:p w14:paraId="2C06F61A" w14:textId="77777777" w:rsidR="00C00F4C" w:rsidRPr="001A7752" w:rsidRDefault="00C00F4C" w:rsidP="00C00F4C">
      <w:pPr>
        <w:pStyle w:val="NormalWeb"/>
        <w:spacing w:before="0" w:beforeAutospacing="0" w:after="0" w:afterAutospacing="0"/>
        <w:rPr>
          <w:rFonts w:ascii="Arial" w:hAnsi="Arial" w:cs="Arial"/>
          <w:sz w:val="20"/>
          <w:szCs w:val="20"/>
        </w:rPr>
      </w:pPr>
    </w:p>
    <w:p w14:paraId="221C0BD4" w14:textId="77777777" w:rsidR="00C00F4C" w:rsidRDefault="00C00F4C" w:rsidP="00C00F4C">
      <w:pPr>
        <w:spacing w:after="0"/>
        <w:jc w:val="both"/>
        <w:rPr>
          <w:rFonts w:ascii="Arial" w:hAnsi="Arial" w:cs="Arial"/>
          <w:sz w:val="20"/>
          <w:szCs w:val="20"/>
        </w:rPr>
      </w:pPr>
      <w:r w:rsidRPr="001A7752">
        <w:rPr>
          <w:rFonts w:ascii="Arial" w:hAnsi="Arial" w:cs="Arial"/>
          <w:sz w:val="20"/>
          <w:szCs w:val="20"/>
        </w:rPr>
        <w:t>This MD&amp;A contains certain information that may constitute “forward-looking information” and “forward-looking statements” (collectively, “</w:t>
      </w:r>
      <w:r w:rsidRPr="001A7752">
        <w:rPr>
          <w:rFonts w:ascii="Arial" w:hAnsi="Arial" w:cs="Arial"/>
          <w:b/>
          <w:bCs/>
          <w:sz w:val="20"/>
          <w:szCs w:val="20"/>
        </w:rPr>
        <w:t>forward-looking statements</w:t>
      </w:r>
      <w:r w:rsidRPr="001A7752">
        <w:rPr>
          <w:rFonts w:ascii="Arial" w:hAnsi="Arial" w:cs="Arial"/>
          <w:sz w:val="20"/>
          <w:szCs w:val="20"/>
        </w:rPr>
        <w:t>”) which are based upon the Company’s current internal expectations, estimates, projections, assumptions and beliefs. Such statements can be identified by the use of forward</w:t>
      </w:r>
      <w:r w:rsidRPr="00C90A0A">
        <w:rPr>
          <w:rFonts w:ascii="Arial" w:hAnsi="Arial" w:cs="Arial"/>
          <w:sz w:val="20"/>
          <w:szCs w:val="20"/>
        </w:rPr>
        <w:t xml:space="preserve">-looking terminology such as "expect," “likely”, "may," "will," "should," "intend," or "anticipate", “potential”, “proposed”, “estimate” and other similar words, including negative and grammatical variations thereof, or statements that certain events or conditions “may” or “will” happen, or by discussions of strategy. Forward-looking statements include estimates, plans, expectations, opinions, forecasts, projections, targets, guidance, or other statements that are not statements of fact. The forward-looking statements included in this MD&amp;A are made only as of the date of this MD&amp;A. </w:t>
      </w:r>
    </w:p>
    <w:p w14:paraId="28FE8953" w14:textId="77777777" w:rsidR="00C00F4C" w:rsidRDefault="00C00F4C" w:rsidP="00C00F4C">
      <w:pPr>
        <w:spacing w:after="0"/>
        <w:jc w:val="both"/>
        <w:rPr>
          <w:rFonts w:ascii="Arial" w:hAnsi="Arial" w:cs="Arial"/>
          <w:sz w:val="20"/>
          <w:szCs w:val="20"/>
        </w:rPr>
      </w:pPr>
    </w:p>
    <w:p w14:paraId="0650D6C9" w14:textId="77777777" w:rsidR="00C00F4C" w:rsidRPr="00C90A0A" w:rsidRDefault="00C00F4C" w:rsidP="00C00F4C">
      <w:pPr>
        <w:spacing w:after="0"/>
        <w:jc w:val="both"/>
        <w:rPr>
          <w:rFonts w:ascii="Arial" w:hAnsi="Arial" w:cs="Arial"/>
          <w:sz w:val="20"/>
          <w:szCs w:val="20"/>
        </w:rPr>
      </w:pPr>
      <w:r w:rsidRPr="00C90A0A">
        <w:rPr>
          <w:rFonts w:ascii="Arial" w:hAnsi="Arial" w:cs="Arial"/>
          <w:sz w:val="20"/>
          <w:szCs w:val="20"/>
        </w:rPr>
        <w:t xml:space="preserve">Forward-looking statements in this MD&amp;A include, but are not limited to, statements with respect to: </w:t>
      </w:r>
    </w:p>
    <w:p w14:paraId="664C9151"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licensing risks; </w:t>
      </w:r>
    </w:p>
    <w:p w14:paraId="226FC863"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regulatory risks; </w:t>
      </w:r>
    </w:p>
    <w:p w14:paraId="35675063"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change in laws, regulations and guidelines; </w:t>
      </w:r>
    </w:p>
    <w:p w14:paraId="5783B84F"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market risks; </w:t>
      </w:r>
    </w:p>
    <w:p w14:paraId="7342A070"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expansion of facilities; </w:t>
      </w:r>
    </w:p>
    <w:p w14:paraId="5E11DE8C"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history of net losses; and </w:t>
      </w:r>
    </w:p>
    <w:p w14:paraId="6E93966B" w14:textId="77777777" w:rsidR="00C00F4C" w:rsidRDefault="00C00F4C" w:rsidP="00C00F4C">
      <w:pPr>
        <w:spacing w:after="0"/>
        <w:ind w:left="720"/>
        <w:rPr>
          <w:rFonts w:ascii="Arial" w:hAnsi="Arial" w:cs="Arial"/>
          <w:sz w:val="20"/>
          <w:szCs w:val="20"/>
        </w:rPr>
      </w:pPr>
      <w:r w:rsidRPr="00C90A0A">
        <w:rPr>
          <w:rFonts w:ascii="Arial" w:hAnsi="Arial" w:cs="Arial"/>
          <w:sz w:val="20"/>
          <w:szCs w:val="20"/>
        </w:rPr>
        <w:t xml:space="preserve">• competition. </w:t>
      </w:r>
    </w:p>
    <w:p w14:paraId="2EFE86DA" w14:textId="77777777" w:rsidR="00C00F4C" w:rsidRPr="00C90A0A" w:rsidRDefault="00C00F4C" w:rsidP="00C00F4C">
      <w:pPr>
        <w:spacing w:after="0"/>
        <w:ind w:left="720"/>
        <w:rPr>
          <w:rFonts w:ascii="Arial" w:hAnsi="Arial" w:cs="Arial"/>
          <w:sz w:val="20"/>
          <w:szCs w:val="20"/>
        </w:rPr>
      </w:pPr>
    </w:p>
    <w:p w14:paraId="19D5088B" w14:textId="77777777" w:rsidR="00C33AED" w:rsidRDefault="00C33AED">
      <w:pPr>
        <w:rPr>
          <w:rFonts w:ascii="Arial" w:hAnsi="Arial" w:cs="Arial"/>
          <w:sz w:val="20"/>
          <w:szCs w:val="20"/>
        </w:rPr>
      </w:pPr>
      <w:r>
        <w:rPr>
          <w:rFonts w:ascii="Arial" w:hAnsi="Arial" w:cs="Arial"/>
          <w:sz w:val="20"/>
          <w:szCs w:val="20"/>
        </w:rPr>
        <w:br w:type="page"/>
      </w:r>
    </w:p>
    <w:p w14:paraId="7744F8BF" w14:textId="77777777" w:rsidR="00C33AED" w:rsidRDefault="00C33AED" w:rsidP="00C00F4C">
      <w:pPr>
        <w:spacing w:after="0"/>
        <w:jc w:val="both"/>
        <w:rPr>
          <w:rFonts w:ascii="Arial" w:hAnsi="Arial" w:cs="Arial"/>
          <w:sz w:val="20"/>
          <w:szCs w:val="20"/>
        </w:rPr>
      </w:pPr>
    </w:p>
    <w:p w14:paraId="758815F6" w14:textId="1CB56DE0" w:rsidR="00C00F4C" w:rsidRDefault="00C00F4C" w:rsidP="00C00F4C">
      <w:pPr>
        <w:spacing w:after="0"/>
        <w:jc w:val="both"/>
        <w:rPr>
          <w:rFonts w:ascii="Arial" w:hAnsi="Arial" w:cs="Arial"/>
          <w:sz w:val="20"/>
          <w:szCs w:val="20"/>
        </w:rPr>
      </w:pPr>
      <w:r w:rsidRPr="00C90A0A">
        <w:rPr>
          <w:rFonts w:ascii="Arial" w:hAnsi="Arial" w:cs="Arial"/>
          <w:sz w:val="20"/>
          <w:szCs w:val="20"/>
        </w:rPr>
        <w:t xml:space="preserve">Certain of the forward-looking statements and forward-looking information and other information contained herein concerning the medical cannabis industry and the general expectations of the Company concerning the medical cannabis industry and concerning the Company are based on estimates prepared by the Company using data from publicly available governmental sources as well as from market research and industry analysis and on assumptions based on data and knowledge of this industry which the Company believe to be reasonable. While the Company is not aware of any misstatement regarding any industry or government data presented herein, the medical cannabis industry involves risks and uncertainties that are subject to change based on various factors and the Company has not independently verified such third party information. </w:t>
      </w:r>
    </w:p>
    <w:p w14:paraId="6E0E6AA7" w14:textId="77777777" w:rsidR="00F56B6B" w:rsidRDefault="00F56B6B" w:rsidP="00C00F4C">
      <w:pPr>
        <w:spacing w:after="0" w:line="240" w:lineRule="auto"/>
        <w:jc w:val="both"/>
        <w:rPr>
          <w:rFonts w:ascii="Arial" w:hAnsi="Arial" w:cs="Arial"/>
          <w:sz w:val="20"/>
          <w:szCs w:val="20"/>
        </w:rPr>
      </w:pPr>
    </w:p>
    <w:p w14:paraId="2EE5A103" w14:textId="52504FB3" w:rsidR="001F1660" w:rsidRDefault="00C00F4C" w:rsidP="00C00F4C">
      <w:pPr>
        <w:spacing w:after="0" w:line="240" w:lineRule="auto"/>
        <w:jc w:val="both"/>
      </w:pPr>
      <w:r w:rsidRPr="00C90A0A">
        <w:rPr>
          <w:rFonts w:ascii="Arial" w:hAnsi="Arial" w:cs="Arial"/>
          <w:sz w:val="20"/>
          <w:szCs w:val="20"/>
        </w:rPr>
        <w:t>Although the Company believes that the expectations reflected in such forward-looking statements are reasonable, it can give no assurance that such expectations will prove to have been correct. The Company’s forward-looking statements are expressly qualified in their entirety by this cautionary statement. In particular, but without limiting the foregoing, disclosure in this MD&amp;A under “</w:t>
      </w:r>
      <w:r w:rsidRPr="00C90A0A">
        <w:rPr>
          <w:rFonts w:ascii="Arial" w:hAnsi="Arial" w:cs="Arial"/>
          <w:i/>
          <w:iCs/>
          <w:sz w:val="20"/>
          <w:szCs w:val="20"/>
        </w:rPr>
        <w:t>Business</w:t>
      </w:r>
      <w:r>
        <w:rPr>
          <w:rFonts w:ascii="Arial" w:hAnsi="Arial" w:cs="Arial"/>
          <w:i/>
          <w:iCs/>
          <w:sz w:val="20"/>
          <w:szCs w:val="20"/>
        </w:rPr>
        <w:t xml:space="preserve"> Overview</w:t>
      </w:r>
      <w:r w:rsidRPr="00C90A0A">
        <w:rPr>
          <w:rFonts w:ascii="Arial" w:hAnsi="Arial" w:cs="Arial"/>
          <w:sz w:val="20"/>
          <w:szCs w:val="20"/>
        </w:rPr>
        <w:t>” as well as statements regarding the Company’s objectives, plans and goals, including future operating results, economic performance and patient acquisition efforts may make reference to or involve forward- looking statements. A number of factors could cause actual events, performance or results to differ materially from what is projected in the forward-looking statements. See “Risk Factors” for further details. The purpose of forward- looking statements is to provide the reader with a description of management’s expectations, and such forward-looking statements may not be appropriate for any other purpose. You should not place undue reliance on forward- looking statements contained in this MD&amp;A. The Company undertakes no obligation to update or revise any forward- looking statements, whether as a result of new information, future events or otherwise, except as required by applicable law</w:t>
      </w:r>
      <w:r w:rsidR="00D6448D">
        <w:rPr>
          <w:rFonts w:ascii="Arial" w:hAnsi="Arial" w:cs="Arial"/>
          <w:sz w:val="20"/>
          <w:szCs w:val="20"/>
        </w:rPr>
        <w:t>.</w:t>
      </w:r>
    </w:p>
    <w:sectPr w:rsidR="001F1660" w:rsidSect="00F6674B">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848B" w14:textId="77777777" w:rsidR="00537C60" w:rsidRDefault="00537C60" w:rsidP="00C90A0A">
      <w:pPr>
        <w:spacing w:after="0" w:line="240" w:lineRule="auto"/>
      </w:pPr>
      <w:r>
        <w:separator/>
      </w:r>
    </w:p>
  </w:endnote>
  <w:endnote w:type="continuationSeparator" w:id="0">
    <w:p w14:paraId="5DAB4769" w14:textId="77777777" w:rsidR="00537C60" w:rsidRDefault="00537C60" w:rsidP="00C90A0A">
      <w:pPr>
        <w:spacing w:after="0" w:line="240" w:lineRule="auto"/>
      </w:pPr>
      <w:r>
        <w:continuationSeparator/>
      </w:r>
    </w:p>
  </w:endnote>
  <w:endnote w:type="continuationNotice" w:id="1">
    <w:p w14:paraId="2EF3C30B" w14:textId="77777777" w:rsidR="00537C60" w:rsidRDefault="00537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3077"/>
      <w:docPartObj>
        <w:docPartGallery w:val="Page Numbers (Bottom of Page)"/>
        <w:docPartUnique/>
      </w:docPartObj>
    </w:sdtPr>
    <w:sdtEndPr>
      <w:rPr>
        <w:noProof/>
      </w:rPr>
    </w:sdtEndPr>
    <w:sdtContent>
      <w:p w14:paraId="3E31B280" w14:textId="0A5005CC" w:rsidR="00537C60" w:rsidRDefault="00537C60">
        <w:pPr>
          <w:pStyle w:val="Footer"/>
          <w:jc w:val="center"/>
        </w:pPr>
        <w:r>
          <w:fldChar w:fldCharType="begin"/>
        </w:r>
        <w:r>
          <w:instrText xml:space="preserve"> PAGE   \* MERGEFORMAT </w:instrText>
        </w:r>
        <w:r>
          <w:fldChar w:fldCharType="separate"/>
        </w:r>
        <w:r w:rsidR="00E07547">
          <w:rPr>
            <w:noProof/>
          </w:rPr>
          <w:t>6</w:t>
        </w:r>
        <w:r>
          <w:rPr>
            <w:noProof/>
          </w:rPr>
          <w:fldChar w:fldCharType="end"/>
        </w:r>
      </w:p>
    </w:sdtContent>
  </w:sdt>
  <w:p w14:paraId="2CA221B6" w14:textId="77777777" w:rsidR="00537C60" w:rsidRDefault="00537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A4D7D" w14:textId="77777777" w:rsidR="00537C60" w:rsidRDefault="00537C60" w:rsidP="00C90A0A">
      <w:pPr>
        <w:spacing w:after="0" w:line="240" w:lineRule="auto"/>
      </w:pPr>
      <w:r>
        <w:separator/>
      </w:r>
    </w:p>
  </w:footnote>
  <w:footnote w:type="continuationSeparator" w:id="0">
    <w:p w14:paraId="2959B961" w14:textId="77777777" w:rsidR="00537C60" w:rsidRDefault="00537C60" w:rsidP="00C90A0A">
      <w:pPr>
        <w:spacing w:after="0" w:line="240" w:lineRule="auto"/>
      </w:pPr>
      <w:r>
        <w:continuationSeparator/>
      </w:r>
    </w:p>
  </w:footnote>
  <w:footnote w:type="continuationNotice" w:id="1">
    <w:p w14:paraId="3E1B6733" w14:textId="77777777" w:rsidR="00537C60" w:rsidRDefault="00537C6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92DC" w14:textId="288A2EC8" w:rsidR="00537C60" w:rsidRDefault="00537C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73D9" w14:textId="58316AD3" w:rsidR="00537C60" w:rsidRDefault="00537C60" w:rsidP="007D70A6">
    <w:pPr>
      <w:pStyle w:val="Header"/>
      <w:tabs>
        <w:tab w:val="left" w:pos="3985"/>
      </w:tabs>
      <w:jc w:val="center"/>
    </w:pPr>
    <w:r>
      <w:rPr>
        <w:noProof/>
      </w:rPr>
      <w:drawing>
        <wp:inline distT="0" distB="0" distL="0" distR="0" wp14:anchorId="5AF14764" wp14:editId="754CA057">
          <wp:extent cx="4975860" cy="914400"/>
          <wp:effectExtent l="0" t="0" r="0" b="0"/>
          <wp:docPr id="3" name="Picture 3" descr="C:\Users\D. Prins\AppData\Local\Microsoft\Windows\INetCache\Content.MSO\31F24C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 Prins\AppData\Local\Microsoft\Windows\INetCache\Content.MSO\31F24C9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5860"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BBDD" w14:textId="7A123BB9" w:rsidR="00537C60" w:rsidRDefault="00537C6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3F1C" w14:textId="6353AEE2" w:rsidR="00537C60" w:rsidRDefault="00537C6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9D01" w14:textId="1C690DDD" w:rsidR="00537C60" w:rsidRPr="00265FF2" w:rsidRDefault="00537C60" w:rsidP="000E5C02">
    <w:pPr>
      <w:pStyle w:val="Header"/>
      <w:rPr>
        <w:rFonts w:ascii="Arial" w:hAnsi="Arial" w:cs="Arial"/>
        <w:b/>
        <w:sz w:val="24"/>
        <w:lang w:val="en-CA"/>
      </w:rPr>
    </w:pPr>
    <w:r w:rsidRPr="00265FF2">
      <w:rPr>
        <w:rFonts w:ascii="Arial" w:hAnsi="Arial" w:cs="Arial"/>
        <w:b/>
        <w:sz w:val="24"/>
        <w:lang w:val="en-CA"/>
      </w:rPr>
      <w:t>EMPOWER CLINICS INC.</w:t>
    </w:r>
  </w:p>
  <w:p w14:paraId="794E81E3" w14:textId="79D88833" w:rsidR="00537C60" w:rsidRDefault="00537C60" w:rsidP="000E5C02">
    <w:pPr>
      <w:pStyle w:val="Header"/>
      <w:rPr>
        <w:rFonts w:ascii="Arial" w:hAnsi="Arial" w:cs="Arial"/>
        <w:sz w:val="20"/>
        <w:szCs w:val="20"/>
        <w:lang w:val="en-CA"/>
      </w:rPr>
    </w:pPr>
    <w:r w:rsidRPr="00D2359A">
      <w:rPr>
        <w:rFonts w:ascii="Arial" w:hAnsi="Arial" w:cs="Arial"/>
        <w:sz w:val="20"/>
        <w:szCs w:val="20"/>
        <w:lang w:val="en-CA"/>
      </w:rPr>
      <w:t xml:space="preserve">(Formerly </w:t>
    </w:r>
    <w:proofErr w:type="spellStart"/>
    <w:r w:rsidRPr="006C64D9">
      <w:rPr>
        <w:rFonts w:ascii="Arial" w:hAnsi="Arial" w:cs="Arial"/>
        <w:sz w:val="20"/>
        <w:szCs w:val="20"/>
      </w:rPr>
      <w:t>Adira</w:t>
    </w:r>
    <w:proofErr w:type="spellEnd"/>
    <w:r w:rsidRPr="006C64D9">
      <w:rPr>
        <w:rFonts w:ascii="Arial" w:hAnsi="Arial" w:cs="Arial"/>
        <w:sz w:val="20"/>
        <w:szCs w:val="20"/>
      </w:rPr>
      <w:t xml:space="preserve"> Energy Ltd</w:t>
    </w:r>
    <w:r w:rsidRPr="00D2359A">
      <w:rPr>
        <w:rFonts w:ascii="Arial" w:hAnsi="Arial" w:cs="Arial"/>
        <w:sz w:val="20"/>
        <w:szCs w:val="20"/>
        <w:lang w:val="en-CA"/>
      </w:rPr>
      <w:t>.)</w:t>
    </w:r>
  </w:p>
  <w:p w14:paraId="7A8286B8" w14:textId="3829CDE1" w:rsidR="00537C60" w:rsidRPr="009903B7" w:rsidRDefault="00537C60" w:rsidP="000E5C02">
    <w:pPr>
      <w:pStyle w:val="Header"/>
      <w:rPr>
        <w:rFonts w:ascii="Arial" w:hAnsi="Arial" w:cs="Arial"/>
        <w:sz w:val="20"/>
        <w:szCs w:val="20"/>
        <w:lang w:val="en-CA"/>
      </w:rPr>
    </w:pPr>
    <w:r>
      <w:rPr>
        <w:rFonts w:ascii="Arial" w:hAnsi="Arial" w:cs="Arial"/>
        <w:sz w:val="20"/>
        <w:szCs w:val="20"/>
        <w:lang w:val="en-CA"/>
      </w:rPr>
      <w:t>MANAGEMENT DISCUSSION AND ANALYSIS</w:t>
    </w:r>
  </w:p>
  <w:p w14:paraId="4C13F591" w14:textId="4E42C017" w:rsidR="00537C60" w:rsidRPr="009903B7" w:rsidRDefault="00537C60" w:rsidP="000E5C02">
    <w:pPr>
      <w:pStyle w:val="Header"/>
      <w:rPr>
        <w:rFonts w:ascii="Arial" w:hAnsi="Arial" w:cs="Arial"/>
        <w:sz w:val="20"/>
        <w:szCs w:val="20"/>
        <w:lang w:val="en-CA"/>
      </w:rPr>
    </w:pPr>
    <w:r w:rsidRPr="009903B7">
      <w:rPr>
        <w:rFonts w:ascii="Arial" w:hAnsi="Arial" w:cs="Arial"/>
        <w:sz w:val="20"/>
        <w:szCs w:val="20"/>
        <w:lang w:val="en-CA"/>
      </w:rPr>
      <w:t>For the</w:t>
    </w:r>
    <w:r>
      <w:rPr>
        <w:rFonts w:ascii="Arial" w:hAnsi="Arial" w:cs="Arial"/>
        <w:sz w:val="20"/>
        <w:szCs w:val="20"/>
        <w:lang w:val="en-CA"/>
      </w:rPr>
      <w:t xml:space="preserve"> three months </w:t>
    </w:r>
    <w:r w:rsidRPr="009903B7">
      <w:rPr>
        <w:rFonts w:ascii="Arial" w:hAnsi="Arial" w:cs="Arial"/>
        <w:sz w:val="20"/>
        <w:szCs w:val="20"/>
        <w:lang w:val="en-CA"/>
      </w:rPr>
      <w:t xml:space="preserve">ended </w:t>
    </w:r>
    <w:r>
      <w:rPr>
        <w:rFonts w:ascii="Arial" w:hAnsi="Arial" w:cs="Arial"/>
        <w:sz w:val="20"/>
        <w:szCs w:val="20"/>
        <w:lang w:val="en-CA"/>
      </w:rPr>
      <w:t>March 31, 2019 and 2018</w:t>
    </w:r>
  </w:p>
  <w:p w14:paraId="49907218" w14:textId="4575E1CE" w:rsidR="00537C60" w:rsidRPr="009903B7" w:rsidRDefault="00537C60" w:rsidP="00663820">
    <w:pPr>
      <w:pStyle w:val="Header"/>
      <w:pBdr>
        <w:bottom w:val="single" w:sz="8" w:space="1" w:color="auto"/>
      </w:pBdr>
      <w:rPr>
        <w:rFonts w:ascii="Arial" w:hAnsi="Arial" w:cs="Arial"/>
        <w:sz w:val="20"/>
        <w:szCs w:val="20"/>
        <w:lang w:val="en-CA"/>
      </w:rPr>
    </w:pPr>
    <w:r w:rsidRPr="009903B7">
      <w:rPr>
        <w:rFonts w:ascii="Arial" w:hAnsi="Arial" w:cs="Arial"/>
        <w:sz w:val="20"/>
        <w:szCs w:val="20"/>
        <w:lang w:val="en-CA"/>
      </w:rPr>
      <w:t>(In United States dollars, except where noted)</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EFFB" w14:textId="7ADBF505" w:rsidR="00537C60" w:rsidRDefault="00537C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F90D3E"/>
    <w:multiLevelType w:val="hybridMultilevel"/>
    <w:tmpl w:val="CB4CB892"/>
    <w:lvl w:ilvl="0" w:tplc="7FBE1494">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C2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73986"/>
    <w:multiLevelType w:val="multilevel"/>
    <w:tmpl w:val="04AEF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C0FF7"/>
    <w:multiLevelType w:val="hybridMultilevel"/>
    <w:tmpl w:val="46187420"/>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C5896"/>
    <w:multiLevelType w:val="hybridMultilevel"/>
    <w:tmpl w:val="8AB25848"/>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70617"/>
    <w:multiLevelType w:val="hybridMultilevel"/>
    <w:tmpl w:val="6704964A"/>
    <w:lvl w:ilvl="0" w:tplc="1E3076BC">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D68D8"/>
    <w:multiLevelType w:val="hybridMultilevel"/>
    <w:tmpl w:val="0016887A"/>
    <w:lvl w:ilvl="0" w:tplc="48DCB74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A5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97BC6"/>
    <w:multiLevelType w:val="hybridMultilevel"/>
    <w:tmpl w:val="74E05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B319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41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5A5620"/>
    <w:multiLevelType w:val="hybridMultilevel"/>
    <w:tmpl w:val="A21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7581F"/>
    <w:multiLevelType w:val="multilevel"/>
    <w:tmpl w:val="BE3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B62DB"/>
    <w:multiLevelType w:val="hybridMultilevel"/>
    <w:tmpl w:val="B6C8A1C4"/>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1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FC7806"/>
    <w:multiLevelType w:val="hybridMultilevel"/>
    <w:tmpl w:val="BB84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0C53C0"/>
    <w:multiLevelType w:val="hybridMultilevel"/>
    <w:tmpl w:val="7B3C1A9C"/>
    <w:lvl w:ilvl="0" w:tplc="58089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C6FB8"/>
    <w:multiLevelType w:val="multilevel"/>
    <w:tmpl w:val="603C5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225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4E76DA"/>
    <w:multiLevelType w:val="multilevel"/>
    <w:tmpl w:val="C86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A345CF"/>
    <w:multiLevelType w:val="hybridMultilevel"/>
    <w:tmpl w:val="ABEC1774"/>
    <w:lvl w:ilvl="0" w:tplc="C064325E">
      <w:start w:val="1"/>
      <w:numFmt w:val="bullet"/>
      <w:lvlText w:val=""/>
      <w:lvlJc w:val="left"/>
      <w:pPr>
        <w:ind w:left="720" w:hanging="360"/>
      </w:pPr>
      <w:rPr>
        <w:rFonts w:ascii="Symbol" w:hAnsi="Symbol" w:hint="default"/>
      </w:rPr>
    </w:lvl>
    <w:lvl w:ilvl="1" w:tplc="B2E800A6" w:tentative="1">
      <w:start w:val="1"/>
      <w:numFmt w:val="bullet"/>
      <w:lvlText w:val="o"/>
      <w:lvlJc w:val="left"/>
      <w:pPr>
        <w:ind w:left="1440" w:hanging="360"/>
      </w:pPr>
      <w:rPr>
        <w:rFonts w:ascii="Courier New" w:hAnsi="Courier New" w:hint="default"/>
      </w:rPr>
    </w:lvl>
    <w:lvl w:ilvl="2" w:tplc="1910EE28" w:tentative="1">
      <w:start w:val="1"/>
      <w:numFmt w:val="bullet"/>
      <w:lvlText w:val=""/>
      <w:lvlJc w:val="left"/>
      <w:pPr>
        <w:ind w:left="2160" w:hanging="360"/>
      </w:pPr>
      <w:rPr>
        <w:rFonts w:ascii="Wingdings" w:hAnsi="Wingdings" w:hint="default"/>
      </w:rPr>
    </w:lvl>
    <w:lvl w:ilvl="3" w:tplc="0C322EB8" w:tentative="1">
      <w:start w:val="1"/>
      <w:numFmt w:val="bullet"/>
      <w:lvlText w:val=""/>
      <w:lvlJc w:val="left"/>
      <w:pPr>
        <w:ind w:left="2880" w:hanging="360"/>
      </w:pPr>
      <w:rPr>
        <w:rFonts w:ascii="Symbol" w:hAnsi="Symbol" w:hint="default"/>
      </w:rPr>
    </w:lvl>
    <w:lvl w:ilvl="4" w:tplc="C8EC8A00" w:tentative="1">
      <w:start w:val="1"/>
      <w:numFmt w:val="bullet"/>
      <w:lvlText w:val="o"/>
      <w:lvlJc w:val="left"/>
      <w:pPr>
        <w:ind w:left="3600" w:hanging="360"/>
      </w:pPr>
      <w:rPr>
        <w:rFonts w:ascii="Courier New" w:hAnsi="Courier New" w:hint="default"/>
      </w:rPr>
    </w:lvl>
    <w:lvl w:ilvl="5" w:tplc="A71A1374" w:tentative="1">
      <w:start w:val="1"/>
      <w:numFmt w:val="bullet"/>
      <w:lvlText w:val=""/>
      <w:lvlJc w:val="left"/>
      <w:pPr>
        <w:ind w:left="4320" w:hanging="360"/>
      </w:pPr>
      <w:rPr>
        <w:rFonts w:ascii="Wingdings" w:hAnsi="Wingdings" w:hint="default"/>
      </w:rPr>
    </w:lvl>
    <w:lvl w:ilvl="6" w:tplc="CB6CA6D6" w:tentative="1">
      <w:start w:val="1"/>
      <w:numFmt w:val="bullet"/>
      <w:lvlText w:val=""/>
      <w:lvlJc w:val="left"/>
      <w:pPr>
        <w:ind w:left="5040" w:hanging="360"/>
      </w:pPr>
      <w:rPr>
        <w:rFonts w:ascii="Symbol" w:hAnsi="Symbol" w:hint="default"/>
      </w:rPr>
    </w:lvl>
    <w:lvl w:ilvl="7" w:tplc="1242F3BA" w:tentative="1">
      <w:start w:val="1"/>
      <w:numFmt w:val="bullet"/>
      <w:lvlText w:val="o"/>
      <w:lvlJc w:val="left"/>
      <w:pPr>
        <w:ind w:left="5760" w:hanging="360"/>
      </w:pPr>
      <w:rPr>
        <w:rFonts w:ascii="Courier New" w:hAnsi="Courier New" w:hint="default"/>
      </w:rPr>
    </w:lvl>
    <w:lvl w:ilvl="8" w:tplc="BA5010A8" w:tentative="1">
      <w:start w:val="1"/>
      <w:numFmt w:val="bullet"/>
      <w:lvlText w:val=""/>
      <w:lvlJc w:val="left"/>
      <w:pPr>
        <w:ind w:left="6480" w:hanging="360"/>
      </w:pPr>
      <w:rPr>
        <w:rFonts w:ascii="Wingdings" w:hAnsi="Wingdings" w:hint="default"/>
      </w:rPr>
    </w:lvl>
  </w:abstractNum>
  <w:abstractNum w:abstractNumId="23">
    <w:nsid w:val="489955A5"/>
    <w:multiLevelType w:val="hybridMultilevel"/>
    <w:tmpl w:val="B8F87784"/>
    <w:lvl w:ilvl="0" w:tplc="EDCA0F02">
      <w:start w:val="1"/>
      <w:numFmt w:val="bullet"/>
      <w:lvlText w:val=""/>
      <w:lvlJc w:val="left"/>
      <w:pPr>
        <w:ind w:left="720" w:hanging="360"/>
      </w:pPr>
      <w:rPr>
        <w:rFonts w:ascii="Symbol" w:hAnsi="Symbol" w:hint="default"/>
      </w:rPr>
    </w:lvl>
    <w:lvl w:ilvl="1" w:tplc="194AB110">
      <w:start w:val="1"/>
      <w:numFmt w:val="bullet"/>
      <w:lvlText w:val="o"/>
      <w:lvlJc w:val="left"/>
      <w:pPr>
        <w:ind w:left="1440" w:hanging="360"/>
      </w:pPr>
      <w:rPr>
        <w:rFonts w:ascii="Courier New" w:hAnsi="Courier New" w:hint="default"/>
      </w:rPr>
    </w:lvl>
    <w:lvl w:ilvl="2" w:tplc="38CAF36C" w:tentative="1">
      <w:start w:val="1"/>
      <w:numFmt w:val="bullet"/>
      <w:lvlText w:val=""/>
      <w:lvlJc w:val="left"/>
      <w:pPr>
        <w:ind w:left="2160" w:hanging="360"/>
      </w:pPr>
      <w:rPr>
        <w:rFonts w:ascii="Wingdings" w:hAnsi="Wingdings" w:hint="default"/>
      </w:rPr>
    </w:lvl>
    <w:lvl w:ilvl="3" w:tplc="24A423B2" w:tentative="1">
      <w:start w:val="1"/>
      <w:numFmt w:val="bullet"/>
      <w:lvlText w:val=""/>
      <w:lvlJc w:val="left"/>
      <w:pPr>
        <w:ind w:left="2880" w:hanging="360"/>
      </w:pPr>
      <w:rPr>
        <w:rFonts w:ascii="Symbol" w:hAnsi="Symbol" w:hint="default"/>
      </w:rPr>
    </w:lvl>
    <w:lvl w:ilvl="4" w:tplc="BB3A2220" w:tentative="1">
      <w:start w:val="1"/>
      <w:numFmt w:val="bullet"/>
      <w:lvlText w:val="o"/>
      <w:lvlJc w:val="left"/>
      <w:pPr>
        <w:ind w:left="3600" w:hanging="360"/>
      </w:pPr>
      <w:rPr>
        <w:rFonts w:ascii="Courier New" w:hAnsi="Courier New" w:hint="default"/>
      </w:rPr>
    </w:lvl>
    <w:lvl w:ilvl="5" w:tplc="89167E04" w:tentative="1">
      <w:start w:val="1"/>
      <w:numFmt w:val="bullet"/>
      <w:lvlText w:val=""/>
      <w:lvlJc w:val="left"/>
      <w:pPr>
        <w:ind w:left="4320" w:hanging="360"/>
      </w:pPr>
      <w:rPr>
        <w:rFonts w:ascii="Wingdings" w:hAnsi="Wingdings" w:hint="default"/>
      </w:rPr>
    </w:lvl>
    <w:lvl w:ilvl="6" w:tplc="EBBE553C" w:tentative="1">
      <w:start w:val="1"/>
      <w:numFmt w:val="bullet"/>
      <w:lvlText w:val=""/>
      <w:lvlJc w:val="left"/>
      <w:pPr>
        <w:ind w:left="5040" w:hanging="360"/>
      </w:pPr>
      <w:rPr>
        <w:rFonts w:ascii="Symbol" w:hAnsi="Symbol" w:hint="default"/>
      </w:rPr>
    </w:lvl>
    <w:lvl w:ilvl="7" w:tplc="38069F84" w:tentative="1">
      <w:start w:val="1"/>
      <w:numFmt w:val="bullet"/>
      <w:lvlText w:val="o"/>
      <w:lvlJc w:val="left"/>
      <w:pPr>
        <w:ind w:left="5760" w:hanging="360"/>
      </w:pPr>
      <w:rPr>
        <w:rFonts w:ascii="Courier New" w:hAnsi="Courier New" w:hint="default"/>
      </w:rPr>
    </w:lvl>
    <w:lvl w:ilvl="8" w:tplc="FF980D7A" w:tentative="1">
      <w:start w:val="1"/>
      <w:numFmt w:val="bullet"/>
      <w:lvlText w:val=""/>
      <w:lvlJc w:val="left"/>
      <w:pPr>
        <w:ind w:left="6480" w:hanging="360"/>
      </w:pPr>
      <w:rPr>
        <w:rFonts w:ascii="Wingdings" w:hAnsi="Wingdings" w:hint="default"/>
      </w:rPr>
    </w:lvl>
  </w:abstractNum>
  <w:abstractNum w:abstractNumId="24">
    <w:nsid w:val="49980603"/>
    <w:multiLevelType w:val="hybridMultilevel"/>
    <w:tmpl w:val="887C8C88"/>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828C2"/>
    <w:multiLevelType w:val="hybridMultilevel"/>
    <w:tmpl w:val="373C830E"/>
    <w:lvl w:ilvl="0" w:tplc="244A92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9A579C"/>
    <w:multiLevelType w:val="multilevel"/>
    <w:tmpl w:val="2E303C00"/>
    <w:lvl w:ilvl="0">
      <w:start w:val="1"/>
      <w:numFmt w:val="decimal"/>
      <w:pStyle w:val="CP1"/>
      <w:lvlText w:val="%1."/>
      <w:lvlJc w:val="left"/>
      <w:pPr>
        <w:tabs>
          <w:tab w:val="num" w:pos="720"/>
        </w:tabs>
        <w:ind w:left="720" w:hanging="720"/>
      </w:pPr>
      <w:rPr>
        <w:rFonts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27">
    <w:nsid w:val="510A4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404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B97932"/>
    <w:multiLevelType w:val="hybridMultilevel"/>
    <w:tmpl w:val="773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B63F8"/>
    <w:multiLevelType w:val="multilevel"/>
    <w:tmpl w:val="0A06D1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332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A6260C"/>
    <w:multiLevelType w:val="hybridMultilevel"/>
    <w:tmpl w:val="F7C8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1F7F4B"/>
    <w:multiLevelType w:val="hybridMultilevel"/>
    <w:tmpl w:val="754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92373"/>
    <w:multiLevelType w:val="multilevel"/>
    <w:tmpl w:val="C7F8E814"/>
    <w:lvl w:ilvl="0">
      <w:start w:val="1"/>
      <w:numFmt w:val="decimal"/>
      <w:lvlText w:val="%1."/>
      <w:lvlJc w:val="left"/>
      <w:pPr>
        <w:ind w:left="403"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708" w:hanging="108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4379" w:hanging="1800"/>
      </w:pPr>
      <w:rPr>
        <w:rFonts w:hint="default"/>
      </w:rPr>
    </w:lvl>
  </w:abstractNum>
  <w:num w:numId="1">
    <w:abstractNumId w:val="30"/>
  </w:num>
  <w:num w:numId="2">
    <w:abstractNumId w:val="4"/>
  </w:num>
  <w:num w:numId="3">
    <w:abstractNumId w:val="35"/>
  </w:num>
  <w:num w:numId="4">
    <w:abstractNumId w:val="19"/>
  </w:num>
  <w:num w:numId="5">
    <w:abstractNumId w:val="27"/>
  </w:num>
  <w:num w:numId="6">
    <w:abstractNumId w:val="12"/>
  </w:num>
  <w:num w:numId="7">
    <w:abstractNumId w:val="0"/>
  </w:num>
  <w:num w:numId="8">
    <w:abstractNumId w:val="3"/>
  </w:num>
  <w:num w:numId="9">
    <w:abstractNumId w:val="11"/>
  </w:num>
  <w:num w:numId="10">
    <w:abstractNumId w:val="32"/>
  </w:num>
  <w:num w:numId="11">
    <w:abstractNumId w:val="28"/>
  </w:num>
  <w:num w:numId="12">
    <w:abstractNumId w:val="20"/>
  </w:num>
  <w:num w:numId="13">
    <w:abstractNumId w:val="7"/>
  </w:num>
  <w:num w:numId="14">
    <w:abstractNumId w:val="16"/>
  </w:num>
  <w:num w:numId="15">
    <w:abstractNumId w:val="9"/>
  </w:num>
  <w:num w:numId="16">
    <w:abstractNumId w:val="18"/>
  </w:num>
  <w:num w:numId="17">
    <w:abstractNumId w:val="29"/>
  </w:num>
  <w:num w:numId="18">
    <w:abstractNumId w:val="15"/>
  </w:num>
  <w:num w:numId="19">
    <w:abstractNumId w:val="8"/>
  </w:num>
  <w:num w:numId="20">
    <w:abstractNumId w:val="6"/>
  </w:num>
  <w:num w:numId="21">
    <w:abstractNumId w:val="5"/>
  </w:num>
  <w:num w:numId="22">
    <w:abstractNumId w:val="2"/>
  </w:num>
  <w:num w:numId="23">
    <w:abstractNumId w:val="24"/>
  </w:num>
  <w:num w:numId="24">
    <w:abstractNumId w:val="17"/>
  </w:num>
  <w:num w:numId="25">
    <w:abstractNumId w:val="34"/>
  </w:num>
  <w:num w:numId="26">
    <w:abstractNumId w:val="13"/>
  </w:num>
  <w:num w:numId="27">
    <w:abstractNumId w:val="25"/>
  </w:num>
  <w:num w:numId="28">
    <w:abstractNumId w:val="31"/>
  </w:num>
  <w:num w:numId="29">
    <w:abstractNumId w:val="33"/>
  </w:num>
  <w:num w:numId="30">
    <w:abstractNumId w:val="26"/>
  </w:num>
  <w:num w:numId="31">
    <w:abstractNumId w:val="23"/>
  </w:num>
  <w:num w:numId="32">
    <w:abstractNumId w:val="22"/>
  </w:num>
  <w:num w:numId="33">
    <w:abstractNumId w:val="21"/>
  </w:num>
  <w:num w:numId="34">
    <w:abstractNumId w:val="14"/>
  </w:num>
  <w:num w:numId="35">
    <w:abstractNumId w:val="1"/>
  </w:num>
  <w:num w:numId="36">
    <w:abstractNumId w:val="10"/>
  </w:num>
  <w:num w:numId="37">
    <w:abstractNumId w:val="26"/>
    <w:lvlOverride w:ilvl="0">
      <w:startOverride w:val="1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wMDAzNzAwMjWxMLFQ0lEKTi0uzszPAykwrAUATlxmzywAAAA="/>
  </w:docVars>
  <w:rsids>
    <w:rsidRoot w:val="00FA6D64"/>
    <w:rsid w:val="000078A4"/>
    <w:rsid w:val="00007ADF"/>
    <w:rsid w:val="00022C1E"/>
    <w:rsid w:val="000317FF"/>
    <w:rsid w:val="0004120D"/>
    <w:rsid w:val="00041AB3"/>
    <w:rsid w:val="00052A1F"/>
    <w:rsid w:val="000620B5"/>
    <w:rsid w:val="00063621"/>
    <w:rsid w:val="0008421F"/>
    <w:rsid w:val="00091077"/>
    <w:rsid w:val="000964C8"/>
    <w:rsid w:val="000B495A"/>
    <w:rsid w:val="000D09BF"/>
    <w:rsid w:val="000E5C02"/>
    <w:rsid w:val="000F5B3C"/>
    <w:rsid w:val="000F66FB"/>
    <w:rsid w:val="00111C7A"/>
    <w:rsid w:val="00123032"/>
    <w:rsid w:val="00136ADE"/>
    <w:rsid w:val="0013793F"/>
    <w:rsid w:val="001442B7"/>
    <w:rsid w:val="00153C3D"/>
    <w:rsid w:val="00155443"/>
    <w:rsid w:val="00186033"/>
    <w:rsid w:val="001A7752"/>
    <w:rsid w:val="001A7E6B"/>
    <w:rsid w:val="001B693C"/>
    <w:rsid w:val="001C7200"/>
    <w:rsid w:val="001C76A1"/>
    <w:rsid w:val="001D13DE"/>
    <w:rsid w:val="001D161C"/>
    <w:rsid w:val="001E36DA"/>
    <w:rsid w:val="001E68D2"/>
    <w:rsid w:val="001F1660"/>
    <w:rsid w:val="001F3487"/>
    <w:rsid w:val="001F37F5"/>
    <w:rsid w:val="00262E23"/>
    <w:rsid w:val="00265FF2"/>
    <w:rsid w:val="0029003F"/>
    <w:rsid w:val="00290443"/>
    <w:rsid w:val="002D1846"/>
    <w:rsid w:val="002D42BD"/>
    <w:rsid w:val="00310D1F"/>
    <w:rsid w:val="003248AC"/>
    <w:rsid w:val="0032534C"/>
    <w:rsid w:val="0033293F"/>
    <w:rsid w:val="00341AC5"/>
    <w:rsid w:val="00346340"/>
    <w:rsid w:val="00350F66"/>
    <w:rsid w:val="003645BC"/>
    <w:rsid w:val="003704B7"/>
    <w:rsid w:val="00372D83"/>
    <w:rsid w:val="003741D2"/>
    <w:rsid w:val="003937A3"/>
    <w:rsid w:val="003A2C30"/>
    <w:rsid w:val="003A2C50"/>
    <w:rsid w:val="003B0546"/>
    <w:rsid w:val="003B22BC"/>
    <w:rsid w:val="003B7DA9"/>
    <w:rsid w:val="003C5740"/>
    <w:rsid w:val="003E25FA"/>
    <w:rsid w:val="003E72B7"/>
    <w:rsid w:val="003E79CE"/>
    <w:rsid w:val="003F5DC9"/>
    <w:rsid w:val="004052CA"/>
    <w:rsid w:val="00411176"/>
    <w:rsid w:val="00413B6E"/>
    <w:rsid w:val="00417DE7"/>
    <w:rsid w:val="00424E56"/>
    <w:rsid w:val="0043211F"/>
    <w:rsid w:val="0043518D"/>
    <w:rsid w:val="00441C2D"/>
    <w:rsid w:val="00446697"/>
    <w:rsid w:val="00453FBE"/>
    <w:rsid w:val="00456D51"/>
    <w:rsid w:val="00457699"/>
    <w:rsid w:val="004673C0"/>
    <w:rsid w:val="004834BB"/>
    <w:rsid w:val="00483C6F"/>
    <w:rsid w:val="00484334"/>
    <w:rsid w:val="004953F5"/>
    <w:rsid w:val="004A0BB2"/>
    <w:rsid w:val="004A22F1"/>
    <w:rsid w:val="004B0F6F"/>
    <w:rsid w:val="004B214A"/>
    <w:rsid w:val="004C24AC"/>
    <w:rsid w:val="004D46B6"/>
    <w:rsid w:val="004E5202"/>
    <w:rsid w:val="004F44E1"/>
    <w:rsid w:val="004F71B9"/>
    <w:rsid w:val="00507BB2"/>
    <w:rsid w:val="00513257"/>
    <w:rsid w:val="00514A11"/>
    <w:rsid w:val="005235C2"/>
    <w:rsid w:val="005256EA"/>
    <w:rsid w:val="00526BEA"/>
    <w:rsid w:val="005340D3"/>
    <w:rsid w:val="00537C60"/>
    <w:rsid w:val="005435FC"/>
    <w:rsid w:val="00546001"/>
    <w:rsid w:val="00561ECE"/>
    <w:rsid w:val="005703AE"/>
    <w:rsid w:val="005811F3"/>
    <w:rsid w:val="005973DB"/>
    <w:rsid w:val="005A3174"/>
    <w:rsid w:val="005A7CE3"/>
    <w:rsid w:val="005B0AB7"/>
    <w:rsid w:val="005D35C2"/>
    <w:rsid w:val="005E461F"/>
    <w:rsid w:val="005F55E0"/>
    <w:rsid w:val="0061123D"/>
    <w:rsid w:val="00615EFE"/>
    <w:rsid w:val="00623605"/>
    <w:rsid w:val="006248F9"/>
    <w:rsid w:val="00631CA5"/>
    <w:rsid w:val="00636BDC"/>
    <w:rsid w:val="00652F1A"/>
    <w:rsid w:val="00663820"/>
    <w:rsid w:val="00675558"/>
    <w:rsid w:val="00681FBF"/>
    <w:rsid w:val="00687F6F"/>
    <w:rsid w:val="006A3BA2"/>
    <w:rsid w:val="006C3ADA"/>
    <w:rsid w:val="006C64D9"/>
    <w:rsid w:val="006D37AE"/>
    <w:rsid w:val="006D3813"/>
    <w:rsid w:val="006D4862"/>
    <w:rsid w:val="006D658B"/>
    <w:rsid w:val="006E2D4B"/>
    <w:rsid w:val="006E30E6"/>
    <w:rsid w:val="006E3636"/>
    <w:rsid w:val="006F5FB2"/>
    <w:rsid w:val="00700C72"/>
    <w:rsid w:val="00705217"/>
    <w:rsid w:val="007069BA"/>
    <w:rsid w:val="007133F9"/>
    <w:rsid w:val="00715397"/>
    <w:rsid w:val="007216EA"/>
    <w:rsid w:val="00726CE5"/>
    <w:rsid w:val="00731EA5"/>
    <w:rsid w:val="00732B04"/>
    <w:rsid w:val="007339F5"/>
    <w:rsid w:val="00743A78"/>
    <w:rsid w:val="00756C97"/>
    <w:rsid w:val="007703A7"/>
    <w:rsid w:val="00770FCE"/>
    <w:rsid w:val="00776B5B"/>
    <w:rsid w:val="00782081"/>
    <w:rsid w:val="0079090E"/>
    <w:rsid w:val="007A1D18"/>
    <w:rsid w:val="007C3384"/>
    <w:rsid w:val="007C66D9"/>
    <w:rsid w:val="007D22F1"/>
    <w:rsid w:val="007D3CB8"/>
    <w:rsid w:val="007D5FE7"/>
    <w:rsid w:val="007D70A6"/>
    <w:rsid w:val="007F7BF4"/>
    <w:rsid w:val="00800DF4"/>
    <w:rsid w:val="00801A59"/>
    <w:rsid w:val="00815A9A"/>
    <w:rsid w:val="00817EED"/>
    <w:rsid w:val="0082317C"/>
    <w:rsid w:val="008460B5"/>
    <w:rsid w:val="0084627A"/>
    <w:rsid w:val="00856AFC"/>
    <w:rsid w:val="00877C34"/>
    <w:rsid w:val="00887F97"/>
    <w:rsid w:val="0089453C"/>
    <w:rsid w:val="008959B5"/>
    <w:rsid w:val="008A3650"/>
    <w:rsid w:val="008A4985"/>
    <w:rsid w:val="008A69A3"/>
    <w:rsid w:val="008C06E4"/>
    <w:rsid w:val="008D4A79"/>
    <w:rsid w:val="008F357A"/>
    <w:rsid w:val="00901301"/>
    <w:rsid w:val="0090130F"/>
    <w:rsid w:val="00923CA3"/>
    <w:rsid w:val="009264E1"/>
    <w:rsid w:val="00932F01"/>
    <w:rsid w:val="00946466"/>
    <w:rsid w:val="00954E48"/>
    <w:rsid w:val="009573F3"/>
    <w:rsid w:val="00962C76"/>
    <w:rsid w:val="00967BED"/>
    <w:rsid w:val="00987B43"/>
    <w:rsid w:val="009903B7"/>
    <w:rsid w:val="009C2644"/>
    <w:rsid w:val="009C4568"/>
    <w:rsid w:val="009C4D4C"/>
    <w:rsid w:val="009C53F7"/>
    <w:rsid w:val="009C7350"/>
    <w:rsid w:val="009E0B8F"/>
    <w:rsid w:val="009E7418"/>
    <w:rsid w:val="00A1538A"/>
    <w:rsid w:val="00A17854"/>
    <w:rsid w:val="00A206A1"/>
    <w:rsid w:val="00A306F6"/>
    <w:rsid w:val="00A353D2"/>
    <w:rsid w:val="00A3748A"/>
    <w:rsid w:val="00A461FC"/>
    <w:rsid w:val="00A46F56"/>
    <w:rsid w:val="00A5074B"/>
    <w:rsid w:val="00A514AC"/>
    <w:rsid w:val="00A53CDA"/>
    <w:rsid w:val="00A5565C"/>
    <w:rsid w:val="00A604EC"/>
    <w:rsid w:val="00A850EC"/>
    <w:rsid w:val="00A93EA9"/>
    <w:rsid w:val="00A967C3"/>
    <w:rsid w:val="00A976E9"/>
    <w:rsid w:val="00AA59D0"/>
    <w:rsid w:val="00AC703E"/>
    <w:rsid w:val="00AD0529"/>
    <w:rsid w:val="00AE3AF4"/>
    <w:rsid w:val="00AF2047"/>
    <w:rsid w:val="00B043B6"/>
    <w:rsid w:val="00B06831"/>
    <w:rsid w:val="00B122CA"/>
    <w:rsid w:val="00B12392"/>
    <w:rsid w:val="00B2083A"/>
    <w:rsid w:val="00B20E54"/>
    <w:rsid w:val="00B34478"/>
    <w:rsid w:val="00B51B41"/>
    <w:rsid w:val="00B51C7B"/>
    <w:rsid w:val="00B51F89"/>
    <w:rsid w:val="00B52C92"/>
    <w:rsid w:val="00B54C4F"/>
    <w:rsid w:val="00B6116C"/>
    <w:rsid w:val="00B77AF7"/>
    <w:rsid w:val="00B90CE3"/>
    <w:rsid w:val="00B96480"/>
    <w:rsid w:val="00BC0961"/>
    <w:rsid w:val="00BC6FC6"/>
    <w:rsid w:val="00BE1DF8"/>
    <w:rsid w:val="00C00F4C"/>
    <w:rsid w:val="00C112A5"/>
    <w:rsid w:val="00C17BA8"/>
    <w:rsid w:val="00C237FA"/>
    <w:rsid w:val="00C248B4"/>
    <w:rsid w:val="00C33AED"/>
    <w:rsid w:val="00C353EA"/>
    <w:rsid w:val="00C41FC0"/>
    <w:rsid w:val="00C44552"/>
    <w:rsid w:val="00C6401D"/>
    <w:rsid w:val="00C707E2"/>
    <w:rsid w:val="00C720EF"/>
    <w:rsid w:val="00C77097"/>
    <w:rsid w:val="00C773A2"/>
    <w:rsid w:val="00C81A29"/>
    <w:rsid w:val="00C8580E"/>
    <w:rsid w:val="00C870E2"/>
    <w:rsid w:val="00C90A0A"/>
    <w:rsid w:val="00C92AA4"/>
    <w:rsid w:val="00C94605"/>
    <w:rsid w:val="00CA3258"/>
    <w:rsid w:val="00CB0C83"/>
    <w:rsid w:val="00CC1970"/>
    <w:rsid w:val="00CC3B7F"/>
    <w:rsid w:val="00CD0382"/>
    <w:rsid w:val="00CF35E3"/>
    <w:rsid w:val="00CF76E9"/>
    <w:rsid w:val="00D00008"/>
    <w:rsid w:val="00D06679"/>
    <w:rsid w:val="00D127FC"/>
    <w:rsid w:val="00D17BCD"/>
    <w:rsid w:val="00D2359A"/>
    <w:rsid w:val="00D36EBB"/>
    <w:rsid w:val="00D42770"/>
    <w:rsid w:val="00D43D18"/>
    <w:rsid w:val="00D475C7"/>
    <w:rsid w:val="00D54352"/>
    <w:rsid w:val="00D54B46"/>
    <w:rsid w:val="00D55A60"/>
    <w:rsid w:val="00D627E8"/>
    <w:rsid w:val="00D6448D"/>
    <w:rsid w:val="00D64B7F"/>
    <w:rsid w:val="00D70373"/>
    <w:rsid w:val="00D7112E"/>
    <w:rsid w:val="00D71CB2"/>
    <w:rsid w:val="00D73518"/>
    <w:rsid w:val="00D764D9"/>
    <w:rsid w:val="00D91BB1"/>
    <w:rsid w:val="00D96604"/>
    <w:rsid w:val="00DA05F7"/>
    <w:rsid w:val="00DA65B0"/>
    <w:rsid w:val="00DB0782"/>
    <w:rsid w:val="00DB4AF4"/>
    <w:rsid w:val="00DC37FE"/>
    <w:rsid w:val="00DE205C"/>
    <w:rsid w:val="00DE5B6D"/>
    <w:rsid w:val="00DF5EEB"/>
    <w:rsid w:val="00DF5FF5"/>
    <w:rsid w:val="00E07547"/>
    <w:rsid w:val="00E12FD4"/>
    <w:rsid w:val="00E16C2C"/>
    <w:rsid w:val="00E27B44"/>
    <w:rsid w:val="00E54CAE"/>
    <w:rsid w:val="00E55FC9"/>
    <w:rsid w:val="00E64A88"/>
    <w:rsid w:val="00E704A4"/>
    <w:rsid w:val="00E70A02"/>
    <w:rsid w:val="00E75F26"/>
    <w:rsid w:val="00EB57B1"/>
    <w:rsid w:val="00EC269B"/>
    <w:rsid w:val="00ED2099"/>
    <w:rsid w:val="00ED23B4"/>
    <w:rsid w:val="00EE2753"/>
    <w:rsid w:val="00EE65F3"/>
    <w:rsid w:val="00EF045A"/>
    <w:rsid w:val="00EF2D2F"/>
    <w:rsid w:val="00EF672C"/>
    <w:rsid w:val="00F11974"/>
    <w:rsid w:val="00F21AF2"/>
    <w:rsid w:val="00F346AB"/>
    <w:rsid w:val="00F56B6B"/>
    <w:rsid w:val="00F662C2"/>
    <w:rsid w:val="00F6674B"/>
    <w:rsid w:val="00F67A38"/>
    <w:rsid w:val="00F70402"/>
    <w:rsid w:val="00F7428E"/>
    <w:rsid w:val="00F772B5"/>
    <w:rsid w:val="00F81B62"/>
    <w:rsid w:val="00F81C4E"/>
    <w:rsid w:val="00F83710"/>
    <w:rsid w:val="00FA6D64"/>
    <w:rsid w:val="00FB6AA6"/>
    <w:rsid w:val="00FC3890"/>
    <w:rsid w:val="00FD71F6"/>
    <w:rsid w:val="00FE5B48"/>
    <w:rsid w:val="00FE6AAE"/>
    <w:rsid w:val="00FF1F03"/>
    <w:rsid w:val="00FF3884"/>
    <w:rsid w:val="00F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46"/>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FB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07ADF"/>
    <w:rPr>
      <w:rFonts w:ascii="Arial" w:eastAsia="Times New Roman" w:hAnsi="Arial" w:cs="Times New Roman"/>
      <w:szCs w:val="20"/>
    </w:rPr>
  </w:style>
  <w:style w:type="character" w:styleId="Hyperlink">
    <w:name w:val="Hyperlink"/>
    <w:basedOn w:val="DefaultParagraphFont"/>
    <w:uiPriority w:val="99"/>
    <w:unhideWhenUsed/>
    <w:rsid w:val="00007ADF"/>
    <w:rPr>
      <w:color w:val="0563C1" w:themeColor="hyperlink"/>
      <w:u w:val="single"/>
    </w:rPr>
  </w:style>
  <w:style w:type="character" w:customStyle="1" w:styleId="UnresolvedMention1">
    <w:name w:val="Unresolved Mention1"/>
    <w:basedOn w:val="DefaultParagraphFont"/>
    <w:uiPriority w:val="99"/>
    <w:semiHidden/>
    <w:unhideWhenUsed/>
    <w:rsid w:val="00007ADF"/>
    <w:rPr>
      <w:color w:val="605E5C"/>
      <w:shd w:val="clear" w:color="auto" w:fill="E1DFDD"/>
    </w:rPr>
  </w:style>
  <w:style w:type="character" w:customStyle="1" w:styleId="Heading7Char">
    <w:name w:val="Heading 7 Char"/>
    <w:basedOn w:val="DefaultParagraphFont"/>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cs="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cs="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cs="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cs="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cs="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cs="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cs="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cs="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cs="Times New Roman"/>
      <w:sz w:val="24"/>
      <w:szCs w:val="20"/>
      <w:lang w:val="en-CA"/>
    </w:rPr>
  </w:style>
  <w:style w:type="character" w:styleId="CommentReference">
    <w:name w:val="annotation reference"/>
    <w:basedOn w:val="DefaultParagraphFont"/>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basedOn w:val="DefaultParagraphFont"/>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basedOn w:val="CommentTextChar"/>
    <w:link w:val="CommentSubject"/>
    <w:uiPriority w:val="99"/>
    <w:semiHidden/>
    <w:rsid w:val="00B043B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46"/>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FB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07ADF"/>
    <w:rPr>
      <w:rFonts w:ascii="Arial" w:eastAsia="Times New Roman" w:hAnsi="Arial" w:cs="Times New Roman"/>
      <w:szCs w:val="20"/>
    </w:rPr>
  </w:style>
  <w:style w:type="character" w:styleId="Hyperlink">
    <w:name w:val="Hyperlink"/>
    <w:basedOn w:val="DefaultParagraphFont"/>
    <w:uiPriority w:val="99"/>
    <w:unhideWhenUsed/>
    <w:rsid w:val="00007ADF"/>
    <w:rPr>
      <w:color w:val="0563C1" w:themeColor="hyperlink"/>
      <w:u w:val="single"/>
    </w:rPr>
  </w:style>
  <w:style w:type="character" w:customStyle="1" w:styleId="UnresolvedMention1">
    <w:name w:val="Unresolved Mention1"/>
    <w:basedOn w:val="DefaultParagraphFont"/>
    <w:uiPriority w:val="99"/>
    <w:semiHidden/>
    <w:unhideWhenUsed/>
    <w:rsid w:val="00007ADF"/>
    <w:rPr>
      <w:color w:val="605E5C"/>
      <w:shd w:val="clear" w:color="auto" w:fill="E1DFDD"/>
    </w:rPr>
  </w:style>
  <w:style w:type="character" w:customStyle="1" w:styleId="Heading7Char">
    <w:name w:val="Heading 7 Char"/>
    <w:basedOn w:val="DefaultParagraphFont"/>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cs="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cs="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cs="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cs="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cs="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cs="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cs="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cs="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cs="Times New Roman"/>
      <w:sz w:val="24"/>
      <w:szCs w:val="20"/>
      <w:lang w:val="en-CA"/>
    </w:rPr>
  </w:style>
  <w:style w:type="character" w:styleId="CommentReference">
    <w:name w:val="annotation reference"/>
    <w:basedOn w:val="DefaultParagraphFont"/>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basedOn w:val="DefaultParagraphFont"/>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basedOn w:val="CommentTextChar"/>
    <w:link w:val="CommentSubject"/>
    <w:uiPriority w:val="99"/>
    <w:semiHidden/>
    <w:rsid w:val="00B04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551">
      <w:bodyDiv w:val="1"/>
      <w:marLeft w:val="0"/>
      <w:marRight w:val="0"/>
      <w:marTop w:val="0"/>
      <w:marBottom w:val="0"/>
      <w:divBdr>
        <w:top w:val="none" w:sz="0" w:space="0" w:color="auto"/>
        <w:left w:val="none" w:sz="0" w:space="0" w:color="auto"/>
        <w:bottom w:val="none" w:sz="0" w:space="0" w:color="auto"/>
        <w:right w:val="none" w:sz="0" w:space="0" w:color="auto"/>
      </w:divBdr>
    </w:div>
    <w:div w:id="10107296">
      <w:bodyDiv w:val="1"/>
      <w:marLeft w:val="0"/>
      <w:marRight w:val="0"/>
      <w:marTop w:val="0"/>
      <w:marBottom w:val="0"/>
      <w:divBdr>
        <w:top w:val="none" w:sz="0" w:space="0" w:color="auto"/>
        <w:left w:val="none" w:sz="0" w:space="0" w:color="auto"/>
        <w:bottom w:val="none" w:sz="0" w:space="0" w:color="auto"/>
        <w:right w:val="none" w:sz="0" w:space="0" w:color="auto"/>
      </w:divBdr>
    </w:div>
    <w:div w:id="166217225">
      <w:bodyDiv w:val="1"/>
      <w:marLeft w:val="0"/>
      <w:marRight w:val="0"/>
      <w:marTop w:val="0"/>
      <w:marBottom w:val="0"/>
      <w:divBdr>
        <w:top w:val="none" w:sz="0" w:space="0" w:color="auto"/>
        <w:left w:val="none" w:sz="0" w:space="0" w:color="auto"/>
        <w:bottom w:val="none" w:sz="0" w:space="0" w:color="auto"/>
        <w:right w:val="none" w:sz="0" w:space="0" w:color="auto"/>
      </w:divBdr>
    </w:div>
    <w:div w:id="186718327">
      <w:bodyDiv w:val="1"/>
      <w:marLeft w:val="0"/>
      <w:marRight w:val="0"/>
      <w:marTop w:val="0"/>
      <w:marBottom w:val="0"/>
      <w:divBdr>
        <w:top w:val="none" w:sz="0" w:space="0" w:color="auto"/>
        <w:left w:val="none" w:sz="0" w:space="0" w:color="auto"/>
        <w:bottom w:val="none" w:sz="0" w:space="0" w:color="auto"/>
        <w:right w:val="none" w:sz="0" w:space="0" w:color="auto"/>
      </w:divBdr>
    </w:div>
    <w:div w:id="244726667">
      <w:bodyDiv w:val="1"/>
      <w:marLeft w:val="0"/>
      <w:marRight w:val="0"/>
      <w:marTop w:val="0"/>
      <w:marBottom w:val="0"/>
      <w:divBdr>
        <w:top w:val="none" w:sz="0" w:space="0" w:color="auto"/>
        <w:left w:val="none" w:sz="0" w:space="0" w:color="auto"/>
        <w:bottom w:val="none" w:sz="0" w:space="0" w:color="auto"/>
        <w:right w:val="none" w:sz="0" w:space="0" w:color="auto"/>
      </w:divBdr>
    </w:div>
    <w:div w:id="261425274">
      <w:bodyDiv w:val="1"/>
      <w:marLeft w:val="0"/>
      <w:marRight w:val="0"/>
      <w:marTop w:val="0"/>
      <w:marBottom w:val="0"/>
      <w:divBdr>
        <w:top w:val="none" w:sz="0" w:space="0" w:color="auto"/>
        <w:left w:val="none" w:sz="0" w:space="0" w:color="auto"/>
        <w:bottom w:val="none" w:sz="0" w:space="0" w:color="auto"/>
        <w:right w:val="none" w:sz="0" w:space="0" w:color="auto"/>
      </w:divBdr>
      <w:divsChild>
        <w:div w:id="753749451">
          <w:marLeft w:val="0"/>
          <w:marRight w:val="0"/>
          <w:marTop w:val="0"/>
          <w:marBottom w:val="0"/>
          <w:divBdr>
            <w:top w:val="none" w:sz="0" w:space="0" w:color="auto"/>
            <w:left w:val="none" w:sz="0" w:space="0" w:color="auto"/>
            <w:bottom w:val="none" w:sz="0" w:space="0" w:color="auto"/>
            <w:right w:val="none" w:sz="0" w:space="0" w:color="auto"/>
          </w:divBdr>
          <w:divsChild>
            <w:div w:id="2012947149">
              <w:marLeft w:val="0"/>
              <w:marRight w:val="0"/>
              <w:marTop w:val="0"/>
              <w:marBottom w:val="0"/>
              <w:divBdr>
                <w:top w:val="none" w:sz="0" w:space="0" w:color="auto"/>
                <w:left w:val="none" w:sz="0" w:space="0" w:color="auto"/>
                <w:bottom w:val="none" w:sz="0" w:space="0" w:color="auto"/>
                <w:right w:val="none" w:sz="0" w:space="0" w:color="auto"/>
              </w:divBdr>
              <w:divsChild>
                <w:div w:id="295722691">
                  <w:marLeft w:val="0"/>
                  <w:marRight w:val="0"/>
                  <w:marTop w:val="0"/>
                  <w:marBottom w:val="0"/>
                  <w:divBdr>
                    <w:top w:val="none" w:sz="0" w:space="0" w:color="auto"/>
                    <w:left w:val="none" w:sz="0" w:space="0" w:color="auto"/>
                    <w:bottom w:val="none" w:sz="0" w:space="0" w:color="auto"/>
                    <w:right w:val="none" w:sz="0" w:space="0" w:color="auto"/>
                  </w:divBdr>
                  <w:divsChild>
                    <w:div w:id="1103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665">
      <w:bodyDiv w:val="1"/>
      <w:marLeft w:val="0"/>
      <w:marRight w:val="0"/>
      <w:marTop w:val="0"/>
      <w:marBottom w:val="0"/>
      <w:divBdr>
        <w:top w:val="none" w:sz="0" w:space="0" w:color="auto"/>
        <w:left w:val="none" w:sz="0" w:space="0" w:color="auto"/>
        <w:bottom w:val="none" w:sz="0" w:space="0" w:color="auto"/>
        <w:right w:val="none" w:sz="0" w:space="0" w:color="auto"/>
      </w:divBdr>
      <w:divsChild>
        <w:div w:id="377559713">
          <w:marLeft w:val="0"/>
          <w:marRight w:val="0"/>
          <w:marTop w:val="0"/>
          <w:marBottom w:val="0"/>
          <w:divBdr>
            <w:top w:val="none" w:sz="0" w:space="0" w:color="auto"/>
            <w:left w:val="none" w:sz="0" w:space="0" w:color="auto"/>
            <w:bottom w:val="none" w:sz="0" w:space="0" w:color="auto"/>
            <w:right w:val="none" w:sz="0" w:space="0" w:color="auto"/>
          </w:divBdr>
          <w:divsChild>
            <w:div w:id="1970158770">
              <w:marLeft w:val="0"/>
              <w:marRight w:val="0"/>
              <w:marTop w:val="0"/>
              <w:marBottom w:val="0"/>
              <w:divBdr>
                <w:top w:val="none" w:sz="0" w:space="0" w:color="auto"/>
                <w:left w:val="none" w:sz="0" w:space="0" w:color="auto"/>
                <w:bottom w:val="none" w:sz="0" w:space="0" w:color="auto"/>
                <w:right w:val="none" w:sz="0" w:space="0" w:color="auto"/>
              </w:divBdr>
              <w:divsChild>
                <w:div w:id="1262450155">
                  <w:marLeft w:val="0"/>
                  <w:marRight w:val="0"/>
                  <w:marTop w:val="0"/>
                  <w:marBottom w:val="0"/>
                  <w:divBdr>
                    <w:top w:val="none" w:sz="0" w:space="0" w:color="auto"/>
                    <w:left w:val="none" w:sz="0" w:space="0" w:color="auto"/>
                    <w:bottom w:val="none" w:sz="0" w:space="0" w:color="auto"/>
                    <w:right w:val="none" w:sz="0" w:space="0" w:color="auto"/>
                  </w:divBdr>
                  <w:divsChild>
                    <w:div w:id="3670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8727">
      <w:bodyDiv w:val="1"/>
      <w:marLeft w:val="0"/>
      <w:marRight w:val="0"/>
      <w:marTop w:val="0"/>
      <w:marBottom w:val="0"/>
      <w:divBdr>
        <w:top w:val="none" w:sz="0" w:space="0" w:color="auto"/>
        <w:left w:val="none" w:sz="0" w:space="0" w:color="auto"/>
        <w:bottom w:val="none" w:sz="0" w:space="0" w:color="auto"/>
        <w:right w:val="none" w:sz="0" w:space="0" w:color="auto"/>
      </w:divBdr>
    </w:div>
    <w:div w:id="478159774">
      <w:bodyDiv w:val="1"/>
      <w:marLeft w:val="0"/>
      <w:marRight w:val="0"/>
      <w:marTop w:val="0"/>
      <w:marBottom w:val="0"/>
      <w:divBdr>
        <w:top w:val="none" w:sz="0" w:space="0" w:color="auto"/>
        <w:left w:val="none" w:sz="0" w:space="0" w:color="auto"/>
        <w:bottom w:val="none" w:sz="0" w:space="0" w:color="auto"/>
        <w:right w:val="none" w:sz="0" w:space="0" w:color="auto"/>
      </w:divBdr>
    </w:div>
    <w:div w:id="562181215">
      <w:bodyDiv w:val="1"/>
      <w:marLeft w:val="0"/>
      <w:marRight w:val="0"/>
      <w:marTop w:val="0"/>
      <w:marBottom w:val="0"/>
      <w:divBdr>
        <w:top w:val="none" w:sz="0" w:space="0" w:color="auto"/>
        <w:left w:val="none" w:sz="0" w:space="0" w:color="auto"/>
        <w:bottom w:val="none" w:sz="0" w:space="0" w:color="auto"/>
        <w:right w:val="none" w:sz="0" w:space="0" w:color="auto"/>
      </w:divBdr>
      <w:divsChild>
        <w:div w:id="421529077">
          <w:marLeft w:val="0"/>
          <w:marRight w:val="0"/>
          <w:marTop w:val="0"/>
          <w:marBottom w:val="0"/>
          <w:divBdr>
            <w:top w:val="none" w:sz="0" w:space="0" w:color="auto"/>
            <w:left w:val="none" w:sz="0" w:space="0" w:color="auto"/>
            <w:bottom w:val="none" w:sz="0" w:space="0" w:color="auto"/>
            <w:right w:val="none" w:sz="0" w:space="0" w:color="auto"/>
          </w:divBdr>
          <w:divsChild>
            <w:div w:id="1390299772">
              <w:marLeft w:val="0"/>
              <w:marRight w:val="0"/>
              <w:marTop w:val="0"/>
              <w:marBottom w:val="0"/>
              <w:divBdr>
                <w:top w:val="none" w:sz="0" w:space="0" w:color="auto"/>
                <w:left w:val="none" w:sz="0" w:space="0" w:color="auto"/>
                <w:bottom w:val="none" w:sz="0" w:space="0" w:color="auto"/>
                <w:right w:val="none" w:sz="0" w:space="0" w:color="auto"/>
              </w:divBdr>
              <w:divsChild>
                <w:div w:id="1058631552">
                  <w:marLeft w:val="0"/>
                  <w:marRight w:val="0"/>
                  <w:marTop w:val="0"/>
                  <w:marBottom w:val="0"/>
                  <w:divBdr>
                    <w:top w:val="none" w:sz="0" w:space="0" w:color="auto"/>
                    <w:left w:val="none" w:sz="0" w:space="0" w:color="auto"/>
                    <w:bottom w:val="none" w:sz="0" w:space="0" w:color="auto"/>
                    <w:right w:val="none" w:sz="0" w:space="0" w:color="auto"/>
                  </w:divBdr>
                  <w:divsChild>
                    <w:div w:id="707878306">
                      <w:marLeft w:val="0"/>
                      <w:marRight w:val="0"/>
                      <w:marTop w:val="0"/>
                      <w:marBottom w:val="0"/>
                      <w:divBdr>
                        <w:top w:val="none" w:sz="0" w:space="0" w:color="auto"/>
                        <w:left w:val="none" w:sz="0" w:space="0" w:color="auto"/>
                        <w:bottom w:val="none" w:sz="0" w:space="0" w:color="auto"/>
                        <w:right w:val="none" w:sz="0" w:space="0" w:color="auto"/>
                      </w:divBdr>
                    </w:div>
                  </w:divsChild>
                </w:div>
                <w:div w:id="1563640461">
                  <w:marLeft w:val="0"/>
                  <w:marRight w:val="0"/>
                  <w:marTop w:val="0"/>
                  <w:marBottom w:val="0"/>
                  <w:divBdr>
                    <w:top w:val="none" w:sz="0" w:space="0" w:color="auto"/>
                    <w:left w:val="none" w:sz="0" w:space="0" w:color="auto"/>
                    <w:bottom w:val="none" w:sz="0" w:space="0" w:color="auto"/>
                    <w:right w:val="none" w:sz="0" w:space="0" w:color="auto"/>
                  </w:divBdr>
                  <w:divsChild>
                    <w:div w:id="849612229">
                      <w:marLeft w:val="0"/>
                      <w:marRight w:val="0"/>
                      <w:marTop w:val="0"/>
                      <w:marBottom w:val="0"/>
                      <w:divBdr>
                        <w:top w:val="none" w:sz="0" w:space="0" w:color="auto"/>
                        <w:left w:val="none" w:sz="0" w:space="0" w:color="auto"/>
                        <w:bottom w:val="none" w:sz="0" w:space="0" w:color="auto"/>
                        <w:right w:val="none" w:sz="0" w:space="0" w:color="auto"/>
                      </w:divBdr>
                    </w:div>
                  </w:divsChild>
                </w:div>
                <w:div w:id="195192114">
                  <w:marLeft w:val="0"/>
                  <w:marRight w:val="0"/>
                  <w:marTop w:val="0"/>
                  <w:marBottom w:val="0"/>
                  <w:divBdr>
                    <w:top w:val="none" w:sz="0" w:space="0" w:color="auto"/>
                    <w:left w:val="none" w:sz="0" w:space="0" w:color="auto"/>
                    <w:bottom w:val="none" w:sz="0" w:space="0" w:color="auto"/>
                    <w:right w:val="none" w:sz="0" w:space="0" w:color="auto"/>
                  </w:divBdr>
                  <w:divsChild>
                    <w:div w:id="14813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328">
      <w:bodyDiv w:val="1"/>
      <w:marLeft w:val="0"/>
      <w:marRight w:val="0"/>
      <w:marTop w:val="0"/>
      <w:marBottom w:val="0"/>
      <w:divBdr>
        <w:top w:val="none" w:sz="0" w:space="0" w:color="auto"/>
        <w:left w:val="none" w:sz="0" w:space="0" w:color="auto"/>
        <w:bottom w:val="none" w:sz="0" w:space="0" w:color="auto"/>
        <w:right w:val="none" w:sz="0" w:space="0" w:color="auto"/>
      </w:divBdr>
    </w:div>
    <w:div w:id="715933098">
      <w:bodyDiv w:val="1"/>
      <w:marLeft w:val="0"/>
      <w:marRight w:val="0"/>
      <w:marTop w:val="0"/>
      <w:marBottom w:val="0"/>
      <w:divBdr>
        <w:top w:val="none" w:sz="0" w:space="0" w:color="auto"/>
        <w:left w:val="none" w:sz="0" w:space="0" w:color="auto"/>
        <w:bottom w:val="none" w:sz="0" w:space="0" w:color="auto"/>
        <w:right w:val="none" w:sz="0" w:space="0" w:color="auto"/>
      </w:divBdr>
      <w:divsChild>
        <w:div w:id="178860160">
          <w:marLeft w:val="0"/>
          <w:marRight w:val="0"/>
          <w:marTop w:val="0"/>
          <w:marBottom w:val="0"/>
          <w:divBdr>
            <w:top w:val="none" w:sz="0" w:space="0" w:color="auto"/>
            <w:left w:val="none" w:sz="0" w:space="0" w:color="auto"/>
            <w:bottom w:val="none" w:sz="0" w:space="0" w:color="auto"/>
            <w:right w:val="none" w:sz="0" w:space="0" w:color="auto"/>
          </w:divBdr>
          <w:divsChild>
            <w:div w:id="1755317128">
              <w:marLeft w:val="0"/>
              <w:marRight w:val="0"/>
              <w:marTop w:val="0"/>
              <w:marBottom w:val="0"/>
              <w:divBdr>
                <w:top w:val="none" w:sz="0" w:space="0" w:color="auto"/>
                <w:left w:val="none" w:sz="0" w:space="0" w:color="auto"/>
                <w:bottom w:val="none" w:sz="0" w:space="0" w:color="auto"/>
                <w:right w:val="none" w:sz="0" w:space="0" w:color="auto"/>
              </w:divBdr>
              <w:divsChild>
                <w:div w:id="2069838915">
                  <w:marLeft w:val="0"/>
                  <w:marRight w:val="0"/>
                  <w:marTop w:val="0"/>
                  <w:marBottom w:val="0"/>
                  <w:divBdr>
                    <w:top w:val="none" w:sz="0" w:space="0" w:color="auto"/>
                    <w:left w:val="none" w:sz="0" w:space="0" w:color="auto"/>
                    <w:bottom w:val="none" w:sz="0" w:space="0" w:color="auto"/>
                    <w:right w:val="none" w:sz="0" w:space="0" w:color="auto"/>
                  </w:divBdr>
                  <w:divsChild>
                    <w:div w:id="8565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903">
      <w:bodyDiv w:val="1"/>
      <w:marLeft w:val="0"/>
      <w:marRight w:val="0"/>
      <w:marTop w:val="0"/>
      <w:marBottom w:val="0"/>
      <w:divBdr>
        <w:top w:val="none" w:sz="0" w:space="0" w:color="auto"/>
        <w:left w:val="none" w:sz="0" w:space="0" w:color="auto"/>
        <w:bottom w:val="none" w:sz="0" w:space="0" w:color="auto"/>
        <w:right w:val="none" w:sz="0" w:space="0" w:color="auto"/>
      </w:divBdr>
    </w:div>
    <w:div w:id="815412225">
      <w:bodyDiv w:val="1"/>
      <w:marLeft w:val="0"/>
      <w:marRight w:val="0"/>
      <w:marTop w:val="0"/>
      <w:marBottom w:val="0"/>
      <w:divBdr>
        <w:top w:val="none" w:sz="0" w:space="0" w:color="auto"/>
        <w:left w:val="none" w:sz="0" w:space="0" w:color="auto"/>
        <w:bottom w:val="none" w:sz="0" w:space="0" w:color="auto"/>
        <w:right w:val="none" w:sz="0" w:space="0" w:color="auto"/>
      </w:divBdr>
    </w:div>
    <w:div w:id="852037750">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071658788">
      <w:bodyDiv w:val="1"/>
      <w:marLeft w:val="0"/>
      <w:marRight w:val="0"/>
      <w:marTop w:val="0"/>
      <w:marBottom w:val="0"/>
      <w:divBdr>
        <w:top w:val="none" w:sz="0" w:space="0" w:color="auto"/>
        <w:left w:val="none" w:sz="0" w:space="0" w:color="auto"/>
        <w:bottom w:val="none" w:sz="0" w:space="0" w:color="auto"/>
        <w:right w:val="none" w:sz="0" w:space="0" w:color="auto"/>
      </w:divBdr>
    </w:div>
    <w:div w:id="1167405881">
      <w:bodyDiv w:val="1"/>
      <w:marLeft w:val="0"/>
      <w:marRight w:val="0"/>
      <w:marTop w:val="0"/>
      <w:marBottom w:val="0"/>
      <w:divBdr>
        <w:top w:val="none" w:sz="0" w:space="0" w:color="auto"/>
        <w:left w:val="none" w:sz="0" w:space="0" w:color="auto"/>
        <w:bottom w:val="none" w:sz="0" w:space="0" w:color="auto"/>
        <w:right w:val="none" w:sz="0" w:space="0" w:color="auto"/>
      </w:divBdr>
      <w:divsChild>
        <w:div w:id="1575775084">
          <w:marLeft w:val="0"/>
          <w:marRight w:val="0"/>
          <w:marTop w:val="0"/>
          <w:marBottom w:val="0"/>
          <w:divBdr>
            <w:top w:val="none" w:sz="0" w:space="0" w:color="auto"/>
            <w:left w:val="none" w:sz="0" w:space="0" w:color="auto"/>
            <w:bottom w:val="none" w:sz="0" w:space="0" w:color="auto"/>
            <w:right w:val="none" w:sz="0" w:space="0" w:color="auto"/>
          </w:divBdr>
          <w:divsChild>
            <w:div w:id="1012417970">
              <w:marLeft w:val="0"/>
              <w:marRight w:val="0"/>
              <w:marTop w:val="0"/>
              <w:marBottom w:val="0"/>
              <w:divBdr>
                <w:top w:val="none" w:sz="0" w:space="0" w:color="auto"/>
                <w:left w:val="none" w:sz="0" w:space="0" w:color="auto"/>
                <w:bottom w:val="none" w:sz="0" w:space="0" w:color="auto"/>
                <w:right w:val="none" w:sz="0" w:space="0" w:color="auto"/>
              </w:divBdr>
              <w:divsChild>
                <w:div w:id="346491538">
                  <w:marLeft w:val="0"/>
                  <w:marRight w:val="0"/>
                  <w:marTop w:val="0"/>
                  <w:marBottom w:val="0"/>
                  <w:divBdr>
                    <w:top w:val="none" w:sz="0" w:space="0" w:color="auto"/>
                    <w:left w:val="none" w:sz="0" w:space="0" w:color="auto"/>
                    <w:bottom w:val="none" w:sz="0" w:space="0" w:color="auto"/>
                    <w:right w:val="none" w:sz="0" w:space="0" w:color="auto"/>
                  </w:divBdr>
                  <w:divsChild>
                    <w:div w:id="62265843">
                      <w:marLeft w:val="0"/>
                      <w:marRight w:val="0"/>
                      <w:marTop w:val="0"/>
                      <w:marBottom w:val="0"/>
                      <w:divBdr>
                        <w:top w:val="none" w:sz="0" w:space="0" w:color="auto"/>
                        <w:left w:val="none" w:sz="0" w:space="0" w:color="auto"/>
                        <w:bottom w:val="none" w:sz="0" w:space="0" w:color="auto"/>
                        <w:right w:val="none" w:sz="0" w:space="0" w:color="auto"/>
                      </w:divBdr>
                    </w:div>
                  </w:divsChild>
                </w:div>
                <w:div w:id="1804229392">
                  <w:marLeft w:val="0"/>
                  <w:marRight w:val="0"/>
                  <w:marTop w:val="0"/>
                  <w:marBottom w:val="0"/>
                  <w:divBdr>
                    <w:top w:val="none" w:sz="0" w:space="0" w:color="auto"/>
                    <w:left w:val="none" w:sz="0" w:space="0" w:color="auto"/>
                    <w:bottom w:val="none" w:sz="0" w:space="0" w:color="auto"/>
                    <w:right w:val="none" w:sz="0" w:space="0" w:color="auto"/>
                  </w:divBdr>
                  <w:divsChild>
                    <w:div w:id="473301372">
                      <w:marLeft w:val="0"/>
                      <w:marRight w:val="0"/>
                      <w:marTop w:val="0"/>
                      <w:marBottom w:val="0"/>
                      <w:divBdr>
                        <w:top w:val="none" w:sz="0" w:space="0" w:color="auto"/>
                        <w:left w:val="none" w:sz="0" w:space="0" w:color="auto"/>
                        <w:bottom w:val="none" w:sz="0" w:space="0" w:color="auto"/>
                        <w:right w:val="none" w:sz="0" w:space="0" w:color="auto"/>
                      </w:divBdr>
                    </w:div>
                  </w:divsChild>
                </w:div>
                <w:div w:id="890189396">
                  <w:marLeft w:val="0"/>
                  <w:marRight w:val="0"/>
                  <w:marTop w:val="0"/>
                  <w:marBottom w:val="0"/>
                  <w:divBdr>
                    <w:top w:val="none" w:sz="0" w:space="0" w:color="auto"/>
                    <w:left w:val="none" w:sz="0" w:space="0" w:color="auto"/>
                    <w:bottom w:val="none" w:sz="0" w:space="0" w:color="auto"/>
                    <w:right w:val="none" w:sz="0" w:space="0" w:color="auto"/>
                  </w:divBdr>
                  <w:divsChild>
                    <w:div w:id="5106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1761">
      <w:bodyDiv w:val="1"/>
      <w:marLeft w:val="0"/>
      <w:marRight w:val="0"/>
      <w:marTop w:val="0"/>
      <w:marBottom w:val="0"/>
      <w:divBdr>
        <w:top w:val="none" w:sz="0" w:space="0" w:color="auto"/>
        <w:left w:val="none" w:sz="0" w:space="0" w:color="auto"/>
        <w:bottom w:val="none" w:sz="0" w:space="0" w:color="auto"/>
        <w:right w:val="none" w:sz="0" w:space="0" w:color="auto"/>
      </w:divBdr>
    </w:div>
    <w:div w:id="1196387504">
      <w:bodyDiv w:val="1"/>
      <w:marLeft w:val="0"/>
      <w:marRight w:val="0"/>
      <w:marTop w:val="0"/>
      <w:marBottom w:val="0"/>
      <w:divBdr>
        <w:top w:val="none" w:sz="0" w:space="0" w:color="auto"/>
        <w:left w:val="none" w:sz="0" w:space="0" w:color="auto"/>
        <w:bottom w:val="none" w:sz="0" w:space="0" w:color="auto"/>
        <w:right w:val="none" w:sz="0" w:space="0" w:color="auto"/>
      </w:divBdr>
      <w:divsChild>
        <w:div w:id="1486819734">
          <w:marLeft w:val="0"/>
          <w:marRight w:val="0"/>
          <w:marTop w:val="0"/>
          <w:marBottom w:val="0"/>
          <w:divBdr>
            <w:top w:val="none" w:sz="0" w:space="0" w:color="auto"/>
            <w:left w:val="none" w:sz="0" w:space="0" w:color="auto"/>
            <w:bottom w:val="none" w:sz="0" w:space="0" w:color="auto"/>
            <w:right w:val="none" w:sz="0" w:space="0" w:color="auto"/>
          </w:divBdr>
          <w:divsChild>
            <w:div w:id="1767144422">
              <w:marLeft w:val="0"/>
              <w:marRight w:val="0"/>
              <w:marTop w:val="0"/>
              <w:marBottom w:val="0"/>
              <w:divBdr>
                <w:top w:val="none" w:sz="0" w:space="0" w:color="auto"/>
                <w:left w:val="none" w:sz="0" w:space="0" w:color="auto"/>
                <w:bottom w:val="none" w:sz="0" w:space="0" w:color="auto"/>
                <w:right w:val="none" w:sz="0" w:space="0" w:color="auto"/>
              </w:divBdr>
              <w:divsChild>
                <w:div w:id="1244686866">
                  <w:marLeft w:val="0"/>
                  <w:marRight w:val="0"/>
                  <w:marTop w:val="0"/>
                  <w:marBottom w:val="0"/>
                  <w:divBdr>
                    <w:top w:val="none" w:sz="0" w:space="0" w:color="auto"/>
                    <w:left w:val="none" w:sz="0" w:space="0" w:color="auto"/>
                    <w:bottom w:val="none" w:sz="0" w:space="0" w:color="auto"/>
                    <w:right w:val="none" w:sz="0" w:space="0" w:color="auto"/>
                  </w:divBdr>
                  <w:divsChild>
                    <w:div w:id="1141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2538">
      <w:bodyDiv w:val="1"/>
      <w:marLeft w:val="0"/>
      <w:marRight w:val="0"/>
      <w:marTop w:val="0"/>
      <w:marBottom w:val="0"/>
      <w:divBdr>
        <w:top w:val="none" w:sz="0" w:space="0" w:color="auto"/>
        <w:left w:val="none" w:sz="0" w:space="0" w:color="auto"/>
        <w:bottom w:val="none" w:sz="0" w:space="0" w:color="auto"/>
        <w:right w:val="none" w:sz="0" w:space="0" w:color="auto"/>
      </w:divBdr>
    </w:div>
    <w:div w:id="1286236999">
      <w:bodyDiv w:val="1"/>
      <w:marLeft w:val="0"/>
      <w:marRight w:val="0"/>
      <w:marTop w:val="0"/>
      <w:marBottom w:val="0"/>
      <w:divBdr>
        <w:top w:val="none" w:sz="0" w:space="0" w:color="auto"/>
        <w:left w:val="none" w:sz="0" w:space="0" w:color="auto"/>
        <w:bottom w:val="none" w:sz="0" w:space="0" w:color="auto"/>
        <w:right w:val="none" w:sz="0" w:space="0" w:color="auto"/>
      </w:divBdr>
    </w:div>
    <w:div w:id="13120557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906">
          <w:marLeft w:val="0"/>
          <w:marRight w:val="0"/>
          <w:marTop w:val="0"/>
          <w:marBottom w:val="0"/>
          <w:divBdr>
            <w:top w:val="none" w:sz="0" w:space="0" w:color="auto"/>
            <w:left w:val="none" w:sz="0" w:space="0" w:color="auto"/>
            <w:bottom w:val="none" w:sz="0" w:space="0" w:color="auto"/>
            <w:right w:val="none" w:sz="0" w:space="0" w:color="auto"/>
          </w:divBdr>
          <w:divsChild>
            <w:div w:id="911083852">
              <w:marLeft w:val="0"/>
              <w:marRight w:val="0"/>
              <w:marTop w:val="0"/>
              <w:marBottom w:val="0"/>
              <w:divBdr>
                <w:top w:val="none" w:sz="0" w:space="0" w:color="auto"/>
                <w:left w:val="none" w:sz="0" w:space="0" w:color="auto"/>
                <w:bottom w:val="none" w:sz="0" w:space="0" w:color="auto"/>
                <w:right w:val="none" w:sz="0" w:space="0" w:color="auto"/>
              </w:divBdr>
              <w:divsChild>
                <w:div w:id="1708602343">
                  <w:marLeft w:val="0"/>
                  <w:marRight w:val="0"/>
                  <w:marTop w:val="0"/>
                  <w:marBottom w:val="0"/>
                  <w:divBdr>
                    <w:top w:val="none" w:sz="0" w:space="0" w:color="auto"/>
                    <w:left w:val="none" w:sz="0" w:space="0" w:color="auto"/>
                    <w:bottom w:val="none" w:sz="0" w:space="0" w:color="auto"/>
                    <w:right w:val="none" w:sz="0" w:space="0" w:color="auto"/>
                  </w:divBdr>
                  <w:divsChild>
                    <w:div w:id="837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442992112">
      <w:bodyDiv w:val="1"/>
      <w:marLeft w:val="0"/>
      <w:marRight w:val="0"/>
      <w:marTop w:val="0"/>
      <w:marBottom w:val="0"/>
      <w:divBdr>
        <w:top w:val="none" w:sz="0" w:space="0" w:color="auto"/>
        <w:left w:val="none" w:sz="0" w:space="0" w:color="auto"/>
        <w:bottom w:val="none" w:sz="0" w:space="0" w:color="auto"/>
        <w:right w:val="none" w:sz="0" w:space="0" w:color="auto"/>
      </w:divBdr>
      <w:divsChild>
        <w:div w:id="1684240668">
          <w:marLeft w:val="0"/>
          <w:marRight w:val="0"/>
          <w:marTop w:val="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460566263">
                  <w:marLeft w:val="0"/>
                  <w:marRight w:val="0"/>
                  <w:marTop w:val="0"/>
                  <w:marBottom w:val="0"/>
                  <w:divBdr>
                    <w:top w:val="none" w:sz="0" w:space="0" w:color="auto"/>
                    <w:left w:val="none" w:sz="0" w:space="0" w:color="auto"/>
                    <w:bottom w:val="none" w:sz="0" w:space="0" w:color="auto"/>
                    <w:right w:val="none" w:sz="0" w:space="0" w:color="auto"/>
                  </w:divBdr>
                  <w:divsChild>
                    <w:div w:id="911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599">
      <w:bodyDiv w:val="1"/>
      <w:marLeft w:val="0"/>
      <w:marRight w:val="0"/>
      <w:marTop w:val="0"/>
      <w:marBottom w:val="0"/>
      <w:divBdr>
        <w:top w:val="none" w:sz="0" w:space="0" w:color="auto"/>
        <w:left w:val="none" w:sz="0" w:space="0" w:color="auto"/>
        <w:bottom w:val="none" w:sz="0" w:space="0" w:color="auto"/>
        <w:right w:val="none" w:sz="0" w:space="0" w:color="auto"/>
      </w:divBdr>
    </w:div>
    <w:div w:id="1794325256">
      <w:bodyDiv w:val="1"/>
      <w:marLeft w:val="0"/>
      <w:marRight w:val="0"/>
      <w:marTop w:val="0"/>
      <w:marBottom w:val="0"/>
      <w:divBdr>
        <w:top w:val="none" w:sz="0" w:space="0" w:color="auto"/>
        <w:left w:val="none" w:sz="0" w:space="0" w:color="auto"/>
        <w:bottom w:val="none" w:sz="0" w:space="0" w:color="auto"/>
        <w:right w:val="none" w:sz="0" w:space="0" w:color="auto"/>
      </w:divBdr>
      <w:divsChild>
        <w:div w:id="269317641">
          <w:marLeft w:val="0"/>
          <w:marRight w:val="0"/>
          <w:marTop w:val="0"/>
          <w:marBottom w:val="0"/>
          <w:divBdr>
            <w:top w:val="none" w:sz="0" w:space="0" w:color="auto"/>
            <w:left w:val="none" w:sz="0" w:space="0" w:color="auto"/>
            <w:bottom w:val="none" w:sz="0" w:space="0" w:color="auto"/>
            <w:right w:val="none" w:sz="0" w:space="0" w:color="auto"/>
          </w:divBdr>
          <w:divsChild>
            <w:div w:id="1272978791">
              <w:marLeft w:val="0"/>
              <w:marRight w:val="0"/>
              <w:marTop w:val="0"/>
              <w:marBottom w:val="0"/>
              <w:divBdr>
                <w:top w:val="none" w:sz="0" w:space="0" w:color="auto"/>
                <w:left w:val="none" w:sz="0" w:space="0" w:color="auto"/>
                <w:bottom w:val="none" w:sz="0" w:space="0" w:color="auto"/>
                <w:right w:val="none" w:sz="0" w:space="0" w:color="auto"/>
              </w:divBdr>
              <w:divsChild>
                <w:div w:id="23678910">
                  <w:marLeft w:val="0"/>
                  <w:marRight w:val="0"/>
                  <w:marTop w:val="0"/>
                  <w:marBottom w:val="0"/>
                  <w:divBdr>
                    <w:top w:val="none" w:sz="0" w:space="0" w:color="auto"/>
                    <w:left w:val="none" w:sz="0" w:space="0" w:color="auto"/>
                    <w:bottom w:val="none" w:sz="0" w:space="0" w:color="auto"/>
                    <w:right w:val="none" w:sz="0" w:space="0" w:color="auto"/>
                  </w:divBdr>
                  <w:divsChild>
                    <w:div w:id="138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845">
      <w:bodyDiv w:val="1"/>
      <w:marLeft w:val="0"/>
      <w:marRight w:val="0"/>
      <w:marTop w:val="0"/>
      <w:marBottom w:val="0"/>
      <w:divBdr>
        <w:top w:val="none" w:sz="0" w:space="0" w:color="auto"/>
        <w:left w:val="none" w:sz="0" w:space="0" w:color="auto"/>
        <w:bottom w:val="none" w:sz="0" w:space="0" w:color="auto"/>
        <w:right w:val="none" w:sz="0" w:space="0" w:color="auto"/>
      </w:divBdr>
    </w:div>
    <w:div w:id="1891845230">
      <w:bodyDiv w:val="1"/>
      <w:marLeft w:val="0"/>
      <w:marRight w:val="0"/>
      <w:marTop w:val="0"/>
      <w:marBottom w:val="0"/>
      <w:divBdr>
        <w:top w:val="none" w:sz="0" w:space="0" w:color="auto"/>
        <w:left w:val="none" w:sz="0" w:space="0" w:color="auto"/>
        <w:bottom w:val="none" w:sz="0" w:space="0" w:color="auto"/>
        <w:right w:val="none" w:sz="0" w:space="0" w:color="auto"/>
      </w:divBdr>
    </w:div>
    <w:div w:id="1893493705">
      <w:bodyDiv w:val="1"/>
      <w:marLeft w:val="0"/>
      <w:marRight w:val="0"/>
      <w:marTop w:val="0"/>
      <w:marBottom w:val="0"/>
      <w:divBdr>
        <w:top w:val="none" w:sz="0" w:space="0" w:color="auto"/>
        <w:left w:val="none" w:sz="0" w:space="0" w:color="auto"/>
        <w:bottom w:val="none" w:sz="0" w:space="0" w:color="auto"/>
        <w:right w:val="none" w:sz="0" w:space="0" w:color="auto"/>
      </w:divBdr>
      <w:divsChild>
        <w:div w:id="1377197916">
          <w:marLeft w:val="0"/>
          <w:marRight w:val="0"/>
          <w:marTop w:val="0"/>
          <w:marBottom w:val="0"/>
          <w:divBdr>
            <w:top w:val="none" w:sz="0" w:space="0" w:color="auto"/>
            <w:left w:val="none" w:sz="0" w:space="0" w:color="auto"/>
            <w:bottom w:val="none" w:sz="0" w:space="0" w:color="auto"/>
            <w:right w:val="none" w:sz="0" w:space="0" w:color="auto"/>
          </w:divBdr>
          <w:divsChild>
            <w:div w:id="1501655791">
              <w:marLeft w:val="0"/>
              <w:marRight w:val="0"/>
              <w:marTop w:val="0"/>
              <w:marBottom w:val="0"/>
              <w:divBdr>
                <w:top w:val="none" w:sz="0" w:space="0" w:color="auto"/>
                <w:left w:val="none" w:sz="0" w:space="0" w:color="auto"/>
                <w:bottom w:val="none" w:sz="0" w:space="0" w:color="auto"/>
                <w:right w:val="none" w:sz="0" w:space="0" w:color="auto"/>
              </w:divBdr>
              <w:divsChild>
                <w:div w:id="380180537">
                  <w:marLeft w:val="0"/>
                  <w:marRight w:val="0"/>
                  <w:marTop w:val="0"/>
                  <w:marBottom w:val="0"/>
                  <w:divBdr>
                    <w:top w:val="none" w:sz="0" w:space="0" w:color="auto"/>
                    <w:left w:val="none" w:sz="0" w:space="0" w:color="auto"/>
                    <w:bottom w:val="none" w:sz="0" w:space="0" w:color="auto"/>
                    <w:right w:val="none" w:sz="0" w:space="0" w:color="auto"/>
                  </w:divBdr>
                  <w:divsChild>
                    <w:div w:id="27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
    <w:div w:id="20875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01DE-EC30-435D-B384-E1B7B252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BA9B37-2B0C-4661-B607-EE066F27B825}">
  <ds:schemaRefs>
    <ds:schemaRef ds:uri="http://schemas.microsoft.com/sharepoint/v3/contenttype/forms"/>
  </ds:schemaRefs>
</ds:datastoreItem>
</file>

<file path=customXml/itemProps3.xml><?xml version="1.0" encoding="utf-8"?>
<ds:datastoreItem xmlns:ds="http://schemas.openxmlformats.org/officeDocument/2006/customXml" ds:itemID="{171D653C-848F-4B67-8E90-16FF8F48E555}">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EAAD469-7005-DD46-B2C0-80312406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6136</Words>
  <Characters>34981</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Zasitko</dc:creator>
  <cp:keywords/>
  <dc:description/>
  <cp:lastModifiedBy>Steven McAuley</cp:lastModifiedBy>
  <cp:revision>2</cp:revision>
  <cp:lastPrinted>2019-05-30T02:56:00Z</cp:lastPrinted>
  <dcterms:created xsi:type="dcterms:W3CDTF">2019-06-04T15:17:00Z</dcterms:created>
  <dcterms:modified xsi:type="dcterms:W3CDTF">2019-06-04T15:17:00Z</dcterms:modified>
</cp:coreProperties>
</file>