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E069E" w:rsidRPr="000B0A96">
        <w:rPr>
          <w:rFonts w:ascii="Arial" w:hAnsi="Arial"/>
          <w:b/>
          <w:bCs/>
          <w:u w:val="single"/>
        </w:rPr>
        <w:t>Dizun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0A53A47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095CD6">
        <w:rPr>
          <w:rFonts w:ascii="Arial" w:hAnsi="Arial"/>
          <w:b/>
          <w:bCs/>
          <w:u w:val="single"/>
        </w:rPr>
        <w:t>4</w:t>
      </w:r>
      <w:r w:rsidR="00244616">
        <w:rPr>
          <w:rFonts w:ascii="Arial" w:hAnsi="Arial"/>
          <w:b/>
          <w:bCs/>
          <w:u w:val="single"/>
        </w:rPr>
        <w:t>1,605,88</w:t>
      </w:r>
      <w:r w:rsidR="006431ED">
        <w:rPr>
          <w:rFonts w:ascii="Arial" w:hAnsi="Arial"/>
          <w:b/>
          <w:bCs/>
          <w:u w:val="single"/>
        </w:rPr>
        <w:t>1</w:t>
      </w:r>
      <w:r>
        <w:rPr>
          <w:rFonts w:ascii="Arial" w:hAnsi="Arial"/>
          <w:color w:val="000000"/>
          <w:u w:val="single"/>
        </w:rPr>
        <w:tab/>
      </w:r>
      <w:r>
        <w:rPr>
          <w:rFonts w:ascii="Arial" w:hAnsi="Arial"/>
          <w:color w:val="000000"/>
          <w:u w:val="single"/>
        </w:rPr>
        <w:tab/>
      </w:r>
    </w:p>
    <w:p w14:paraId="1535FFA9" w14:textId="5644686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81768">
        <w:rPr>
          <w:rFonts w:ascii="Arial" w:hAnsi="Arial"/>
          <w:b/>
          <w:bCs/>
          <w:u w:val="single"/>
        </w:rPr>
        <w:t>Ju</w:t>
      </w:r>
      <w:r w:rsidR="00095CD6">
        <w:rPr>
          <w:rFonts w:ascii="Arial" w:hAnsi="Arial"/>
          <w:b/>
          <w:bCs/>
          <w:u w:val="single"/>
        </w:rPr>
        <w:t>ly</w:t>
      </w:r>
      <w:r w:rsidR="0095071E">
        <w:rPr>
          <w:rFonts w:ascii="Arial" w:hAnsi="Arial"/>
          <w:b/>
          <w:bCs/>
          <w:u w:val="single"/>
        </w:rPr>
        <w:t xml:space="preserve"> 2020</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3BAEB52" w14:textId="77777777" w:rsidR="00E351C1" w:rsidRDefault="00E351C1">
      <w:pPr>
        <w:rPr>
          <w:rFonts w:ascii="Arial" w:hAnsi="Arial"/>
          <w:b/>
          <w:sz w:val="24"/>
          <w:lang w:val="en-GB"/>
        </w:rPr>
      </w:pPr>
      <w:r>
        <w:rPr>
          <w:rFonts w:ascii="Arial" w:hAnsi="Arial"/>
          <w:b/>
        </w:rPr>
        <w:br w:type="page"/>
      </w:r>
    </w:p>
    <w:p w14:paraId="518A3387" w14:textId="740AF737" w:rsidR="00640E94" w:rsidRDefault="00640E94">
      <w:pPr>
        <w:pStyle w:val="List"/>
        <w:keepLines/>
        <w:spacing w:before="120"/>
        <w:ind w:left="0" w:firstLine="0"/>
        <w:rPr>
          <w:rFonts w:ascii="Arial" w:hAnsi="Arial"/>
          <w:b/>
        </w:rPr>
      </w:pPr>
      <w:r>
        <w:rPr>
          <w:rFonts w:ascii="Arial" w:hAnsi="Arial"/>
          <w:b/>
        </w:rPr>
        <w:lastRenderedPageBreak/>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2E7C32" w14:textId="33BF8016" w:rsidR="00FE069E" w:rsidRDefault="00095CD6" w:rsidP="009C178C">
      <w:pPr>
        <w:widowControl w:val="0"/>
        <w:autoSpaceDE w:val="0"/>
        <w:autoSpaceDN w:val="0"/>
        <w:adjustRightInd w:val="0"/>
        <w:spacing w:before="120" w:line="239" w:lineRule="auto"/>
        <w:ind w:left="720"/>
        <w:jc w:val="both"/>
        <w:rPr>
          <w:rFonts w:ascii="Arial" w:hAnsi="Arial"/>
          <w:b/>
          <w:bCs/>
          <w:sz w:val="24"/>
          <w:lang w:val="en-GB"/>
        </w:rPr>
      </w:pPr>
      <w:r>
        <w:rPr>
          <w:rFonts w:ascii="Arial" w:hAnsi="Arial"/>
          <w:b/>
          <w:bCs/>
          <w:sz w:val="24"/>
          <w:lang w:val="en-GB"/>
        </w:rPr>
        <w:t>On July 27, 2020 the Company entered into a letter of intent whereby the Company will issue 250,000,000 common shares for 100% of the issued and outstanding shares of Maitri Health Corp</w:t>
      </w:r>
      <w:r w:rsidR="00DB028F">
        <w:rPr>
          <w:rFonts w:ascii="Arial" w:hAnsi="Arial"/>
          <w:b/>
          <w:bCs/>
          <w:sz w:val="24"/>
          <w:lang w:val="en-GB"/>
        </w:rPr>
        <w:t>.</w:t>
      </w:r>
      <w:r w:rsidR="008F17B4">
        <w:rPr>
          <w:rFonts w:ascii="Arial" w:hAnsi="Arial"/>
          <w:b/>
          <w:bCs/>
          <w:sz w:val="24"/>
          <w:lang w:val="en-GB"/>
        </w:rPr>
        <w:t xml:space="preserve"> (“Maitri”).</w:t>
      </w:r>
      <w:r>
        <w:rPr>
          <w:rFonts w:ascii="Arial" w:hAnsi="Arial"/>
          <w:b/>
          <w:bCs/>
          <w:sz w:val="24"/>
          <w:lang w:val="en-GB"/>
        </w:rPr>
        <w:t xml:space="preserve">  </w:t>
      </w:r>
      <w:r w:rsidRPr="00095CD6">
        <w:rPr>
          <w:rFonts w:ascii="Arial" w:hAnsi="Arial"/>
          <w:b/>
          <w:bCs/>
          <w:sz w:val="24"/>
        </w:rPr>
        <w:t xml:space="preserve">Maitri is a </w:t>
      </w:r>
      <w:proofErr w:type="spellStart"/>
      <w:r w:rsidRPr="00095CD6">
        <w:rPr>
          <w:rFonts w:ascii="Arial" w:hAnsi="Arial"/>
          <w:b/>
          <w:bCs/>
          <w:sz w:val="24"/>
        </w:rPr>
        <w:t>co</w:t>
      </w:r>
      <w:r w:rsidR="008F17B4">
        <w:rPr>
          <w:rFonts w:ascii="Arial" w:hAnsi="Arial"/>
          <w:b/>
          <w:bCs/>
          <w:sz w:val="24"/>
        </w:rPr>
        <w:noBreakHyphen/>
      </w:r>
      <w:r w:rsidRPr="00095CD6">
        <w:rPr>
          <w:rFonts w:ascii="Arial" w:hAnsi="Arial"/>
          <w:b/>
          <w:bCs/>
          <w:sz w:val="24"/>
        </w:rPr>
        <w:t>ordinated</w:t>
      </w:r>
      <w:proofErr w:type="spellEnd"/>
      <w:r w:rsidRPr="00095CD6">
        <w:rPr>
          <w:rFonts w:ascii="Arial" w:hAnsi="Arial"/>
          <w:b/>
          <w:bCs/>
          <w:sz w:val="24"/>
        </w:rPr>
        <w:t xml:space="preserve"> global platform that delivers reliable, high-quality health care supplies with transparent supply chains. The COVID-19 pandemic has exposed a need for a new way to manufacture and manage health care and PPE (personal protective equipment) materials. Businesses need new protocols to keep workers safe and health care needs to equip first responders. Created by industry leaders, Maitri's mission is to bring a stable supply of materials to enable businesses and health care to function efficiently. Maitri is securing strategic on-shore manufacturing and licensing agreements. Clients of Maitri have a system that ensures medical supplies are available, reliable, consistent and sustainable. With advanced protocols for production, logistics, advanced technology and strict quality control, Maitri will ensure its global community is able to navigate every biomedical emergency.</w:t>
      </w:r>
    </w:p>
    <w:p w14:paraId="13B27604" w14:textId="77777777" w:rsidR="006431ED" w:rsidRPr="00FE069E" w:rsidRDefault="006431ED" w:rsidP="006431ED">
      <w:pPr>
        <w:widowControl w:val="0"/>
        <w:autoSpaceDE w:val="0"/>
        <w:autoSpaceDN w:val="0"/>
        <w:adjustRightInd w:val="0"/>
        <w:spacing w:line="239" w:lineRule="auto"/>
        <w:ind w:left="720"/>
        <w:rPr>
          <w:rFonts w:ascii="Arial" w:hAnsi="Arial"/>
          <w:b/>
          <w:bCs/>
          <w:sz w:val="24"/>
          <w:lang w:val="en-GB"/>
        </w:rPr>
      </w:pPr>
    </w:p>
    <w:p w14:paraId="425EA520" w14:textId="77777777" w:rsidR="00640E94" w:rsidRDefault="00640E94" w:rsidP="006431ED">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5526E91" w14:textId="54A1A588" w:rsidR="00095CD6" w:rsidRDefault="00095CD6" w:rsidP="001E5D6E">
      <w:pPr>
        <w:widowControl w:val="0"/>
        <w:overflowPunct w:val="0"/>
        <w:autoSpaceDE w:val="0"/>
        <w:autoSpaceDN w:val="0"/>
        <w:adjustRightInd w:val="0"/>
        <w:spacing w:before="120" w:line="226" w:lineRule="auto"/>
        <w:ind w:left="720"/>
        <w:jc w:val="both"/>
        <w:rPr>
          <w:rFonts w:ascii="Arial" w:hAnsi="Arial"/>
          <w:b/>
          <w:bCs/>
          <w:sz w:val="24"/>
          <w:lang w:val="en-GB"/>
        </w:rPr>
      </w:pPr>
      <w:r>
        <w:rPr>
          <w:rFonts w:ascii="Arial" w:hAnsi="Arial"/>
          <w:b/>
          <w:bCs/>
          <w:sz w:val="24"/>
          <w:lang w:val="en-GB"/>
        </w:rPr>
        <w:t>The Company entered into a letter of intent with Maitri Health Corp. (see #1 above) and completed a non-brokered private placement for gross proceeds of $750,000.</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rsidP="006431ED">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73EA568" w14:textId="77777777" w:rsidR="00FE069E"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rsidP="006431ED">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83A2B05" w14:textId="77777777" w:rsidR="00B712C7" w:rsidRPr="00FE069E" w:rsidRDefault="00B712C7" w:rsidP="006431ED">
      <w:pPr>
        <w:widowControl w:val="0"/>
        <w:overflowPunct w:val="0"/>
        <w:autoSpaceDE w:val="0"/>
        <w:autoSpaceDN w:val="0"/>
        <w:adjustRightInd w:val="0"/>
        <w:spacing w:before="100" w:beforeAutospacing="1"/>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6431ED">
      <w:pPr>
        <w:pStyle w:val="List"/>
        <w:spacing w:before="0"/>
        <w:jc w:val="both"/>
        <w:rPr>
          <w:rFonts w:ascii="Arial" w:hAnsi="Arial"/>
        </w:rPr>
      </w:pPr>
    </w:p>
    <w:p w14:paraId="31036D86" w14:textId="77777777" w:rsidR="00640E94" w:rsidRDefault="00640E94" w:rsidP="006431ED">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EBB526"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D41A719"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0E14E3A3" w14:textId="6F880662" w:rsidR="00B712C7"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069C0E2" w14:textId="77777777" w:rsidR="006431ED" w:rsidRPr="00FE069E" w:rsidRDefault="006431ED" w:rsidP="006431ED">
      <w:pPr>
        <w:widowControl w:val="0"/>
        <w:overflowPunct w:val="0"/>
        <w:autoSpaceDE w:val="0"/>
        <w:autoSpaceDN w:val="0"/>
        <w:adjustRightInd w:val="0"/>
        <w:ind w:left="720"/>
        <w:jc w:val="both"/>
        <w:rPr>
          <w:rFonts w:ascii="Arial" w:hAnsi="Arial"/>
          <w:b/>
          <w:bCs/>
          <w:sz w:val="24"/>
          <w:lang w:val="en-GB"/>
        </w:rPr>
      </w:pPr>
    </w:p>
    <w:p w14:paraId="52E82162" w14:textId="77777777" w:rsidR="00640E94" w:rsidRDefault="00640E94" w:rsidP="006431ED">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44115A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6431ED">
      <w:pPr>
        <w:pStyle w:val="List"/>
        <w:spacing w:before="0"/>
        <w:jc w:val="both"/>
        <w:rPr>
          <w:rFonts w:ascii="Arial" w:hAnsi="Arial"/>
        </w:rPr>
      </w:pPr>
    </w:p>
    <w:p w14:paraId="29D8EB25" w14:textId="77777777" w:rsidR="00640E94" w:rsidRDefault="00640E94" w:rsidP="006431ED">
      <w:pPr>
        <w:pStyle w:val="List"/>
        <w:numPr>
          <w:ilvl w:val="0"/>
          <w:numId w:val="28"/>
        </w:numPr>
        <w:spacing w:before="0"/>
        <w:jc w:val="both"/>
        <w:rPr>
          <w:rFonts w:ascii="Arial" w:hAnsi="Arial"/>
        </w:rPr>
      </w:pPr>
      <w:r>
        <w:rPr>
          <w:rFonts w:ascii="Arial" w:hAnsi="Arial"/>
        </w:rPr>
        <w:t>Describe the acquisition of new customers or loss of customers.</w:t>
      </w:r>
    </w:p>
    <w:p w14:paraId="0096DB37"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6431ED">
      <w:pPr>
        <w:pStyle w:val="List"/>
        <w:spacing w:before="0"/>
        <w:jc w:val="both"/>
        <w:rPr>
          <w:rFonts w:ascii="Arial" w:hAnsi="Arial"/>
        </w:rPr>
      </w:pPr>
    </w:p>
    <w:p w14:paraId="456AD629" w14:textId="77777777" w:rsidR="00640E94" w:rsidRDefault="00640E94" w:rsidP="006431ED">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80CB85"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6431ED">
      <w:pPr>
        <w:pStyle w:val="List"/>
        <w:spacing w:before="0"/>
        <w:jc w:val="both"/>
        <w:rPr>
          <w:rFonts w:ascii="Arial" w:hAnsi="Arial"/>
        </w:rPr>
      </w:pPr>
    </w:p>
    <w:p w14:paraId="3A4208D7" w14:textId="77777777" w:rsidR="00640E94" w:rsidRDefault="00640E94" w:rsidP="006431ED">
      <w:pPr>
        <w:pStyle w:val="List"/>
        <w:numPr>
          <w:ilvl w:val="0"/>
          <w:numId w:val="28"/>
        </w:numPr>
        <w:spacing w:before="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F4F9C2D"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6431ED">
      <w:pPr>
        <w:pStyle w:val="List"/>
        <w:spacing w:before="0"/>
        <w:jc w:val="both"/>
        <w:rPr>
          <w:rFonts w:ascii="Arial" w:hAnsi="Arial"/>
        </w:rPr>
      </w:pPr>
    </w:p>
    <w:p w14:paraId="171F91C1" w14:textId="77777777" w:rsidR="00640E94" w:rsidRDefault="00640E94" w:rsidP="006431ED">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4C5E86C4"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6431ED">
      <w:pPr>
        <w:pStyle w:val="List"/>
        <w:spacing w:before="0"/>
        <w:jc w:val="both"/>
        <w:rPr>
          <w:rFonts w:ascii="Arial" w:hAnsi="Arial"/>
        </w:rPr>
      </w:pPr>
    </w:p>
    <w:p w14:paraId="7A1F7EB6" w14:textId="27D5E125" w:rsidR="00640E94" w:rsidRDefault="00640E94" w:rsidP="006431ED">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966F4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6431ED">
      <w:pPr>
        <w:pStyle w:val="List"/>
        <w:spacing w:before="0"/>
        <w:jc w:val="both"/>
        <w:rPr>
          <w:rFonts w:ascii="Arial" w:hAnsi="Arial"/>
        </w:rPr>
      </w:pPr>
    </w:p>
    <w:p w14:paraId="033F0013" w14:textId="77777777" w:rsidR="00640E94" w:rsidRDefault="00640E94" w:rsidP="006431ED">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4CAA264D" w14:textId="77777777" w:rsidR="00FE069E" w:rsidRPr="00FE069E" w:rsidRDefault="00FE069E" w:rsidP="006431ED">
      <w:pPr>
        <w:widowControl w:val="0"/>
        <w:overflowPunct w:val="0"/>
        <w:autoSpaceDE w:val="0"/>
        <w:autoSpaceDN w:val="0"/>
        <w:adjustRightInd w:val="0"/>
        <w:spacing w:before="120"/>
        <w:ind w:left="720"/>
        <w:jc w:val="both"/>
        <w:rPr>
          <w:rFonts w:ascii="Arial" w:hAnsi="Arial"/>
          <w:b/>
          <w:bCs/>
          <w:sz w:val="24"/>
          <w:lang w:val="en-GB"/>
        </w:rPr>
      </w:pPr>
      <w:r w:rsidRPr="00FE069E">
        <w:rPr>
          <w:rFonts w:ascii="Arial" w:hAnsi="Arial"/>
          <w:b/>
          <w:bCs/>
          <w:sz w:val="24"/>
          <w:lang w:val="en-GB"/>
        </w:rPr>
        <w:t xml:space="preserve">None. </w:t>
      </w:r>
    </w:p>
    <w:p w14:paraId="368C400D" w14:textId="0B86FC40" w:rsidR="006431ED" w:rsidRDefault="006431ED" w:rsidP="00FE069E">
      <w:pPr>
        <w:pStyle w:val="List"/>
        <w:spacing w:before="120"/>
        <w:jc w:val="both"/>
        <w:rPr>
          <w:rFonts w:ascii="Arial" w:hAnsi="Arial"/>
        </w:rPr>
      </w:pPr>
      <w:r>
        <w:rPr>
          <w:rFonts w:ascii="Arial" w:hAnsi="Arial"/>
        </w:rPr>
        <w:br w:type="page"/>
      </w:r>
    </w:p>
    <w:p w14:paraId="5487D9A6"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7777777" w:rsidR="00640E94" w:rsidRDefault="00640E94">
      <w:pPr>
        <w:pStyle w:val="List"/>
        <w:spacing w:before="120"/>
        <w:ind w:left="0" w:firstLine="0"/>
        <w:jc w:val="both"/>
        <w:rPr>
          <w:rFonts w:ascii="Arial" w:hAnsi="Arial"/>
        </w:rPr>
      </w:pPr>
    </w:p>
    <w:tbl>
      <w:tblPr>
        <w:tblW w:w="88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1570"/>
        <w:gridCol w:w="3544"/>
        <w:gridCol w:w="2068"/>
      </w:tblGrid>
      <w:tr w:rsidR="00640E94" w14:paraId="0471CADD" w14:textId="77777777" w:rsidTr="001E5D6E">
        <w:tc>
          <w:tcPr>
            <w:tcW w:w="1690" w:type="dxa"/>
          </w:tcPr>
          <w:p w14:paraId="2EE83B3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1570" w:type="dxa"/>
          </w:tcPr>
          <w:p w14:paraId="1E3381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544" w:type="dxa"/>
          </w:tcPr>
          <w:p w14:paraId="39007A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068" w:type="dxa"/>
          </w:tcPr>
          <w:p w14:paraId="627382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F17B4" w14:paraId="4AD86B22" w14:textId="77777777" w:rsidTr="009676DE">
        <w:tc>
          <w:tcPr>
            <w:tcW w:w="1690" w:type="dxa"/>
          </w:tcPr>
          <w:p w14:paraId="1C8025D4" w14:textId="17FD4B8F" w:rsidR="008F17B4" w:rsidRPr="00067FC5" w:rsidRDefault="008F17B4" w:rsidP="00B712C7">
            <w:pPr>
              <w:widowControl w:val="0"/>
              <w:overflowPunct w:val="0"/>
              <w:autoSpaceDE w:val="0"/>
              <w:autoSpaceDN w:val="0"/>
              <w:adjustRightInd w:val="0"/>
              <w:jc w:val="both"/>
              <w:rPr>
                <w:rFonts w:ascii="Arial" w:hAnsi="Arial"/>
                <w:sz w:val="18"/>
                <w:szCs w:val="14"/>
              </w:rPr>
            </w:pPr>
            <w:r w:rsidRPr="00067FC5">
              <w:rPr>
                <w:rFonts w:ascii="Arial" w:hAnsi="Arial"/>
                <w:sz w:val="18"/>
                <w:szCs w:val="14"/>
                <w:lang w:val="en-GB"/>
              </w:rPr>
              <w:t>Common Shares</w:t>
            </w:r>
          </w:p>
        </w:tc>
        <w:tc>
          <w:tcPr>
            <w:tcW w:w="1570" w:type="dxa"/>
          </w:tcPr>
          <w:p w14:paraId="7B37E990" w14:textId="4BC1D2ED" w:rsidR="008F17B4" w:rsidRPr="00067FC5" w:rsidRDefault="008F17B4">
            <w:pPr>
              <w:pStyle w:val="List"/>
              <w:tabs>
                <w:tab w:val="left" w:pos="360"/>
              </w:tabs>
              <w:spacing w:before="0" w:line="280" w:lineRule="exact"/>
              <w:ind w:left="0" w:firstLine="0"/>
              <w:jc w:val="both"/>
              <w:rPr>
                <w:rFonts w:ascii="Arial" w:hAnsi="Arial"/>
                <w:sz w:val="18"/>
                <w:szCs w:val="14"/>
              </w:rPr>
            </w:pPr>
            <w:r>
              <w:rPr>
                <w:rFonts w:ascii="Arial" w:hAnsi="Arial"/>
                <w:sz w:val="18"/>
                <w:szCs w:val="14"/>
              </w:rPr>
              <w:t>30,000,000</w:t>
            </w:r>
          </w:p>
        </w:tc>
        <w:tc>
          <w:tcPr>
            <w:tcW w:w="3544" w:type="dxa"/>
            <w:vMerge w:val="restart"/>
          </w:tcPr>
          <w:p w14:paraId="7A871F42" w14:textId="77777777" w:rsidR="008F17B4" w:rsidRPr="008F17B4" w:rsidRDefault="008F17B4" w:rsidP="001E5D6E">
            <w:pPr>
              <w:pStyle w:val="List"/>
              <w:tabs>
                <w:tab w:val="left" w:pos="360"/>
              </w:tabs>
              <w:spacing w:before="0" w:line="280" w:lineRule="exact"/>
              <w:ind w:left="0" w:firstLine="0"/>
              <w:rPr>
                <w:rFonts w:ascii="Arial" w:hAnsi="Arial"/>
                <w:sz w:val="18"/>
                <w:szCs w:val="14"/>
              </w:rPr>
            </w:pPr>
            <w:r w:rsidRPr="008F17B4">
              <w:rPr>
                <w:rFonts w:ascii="Arial" w:hAnsi="Arial"/>
                <w:sz w:val="18"/>
                <w:szCs w:val="14"/>
              </w:rPr>
              <w:t xml:space="preserve">Pursuant to the Private Placement, Dizun issued 30,000,000 Units at a price of $0.025 per Unit for aggregate gross proceeds of $750,000. </w:t>
            </w:r>
          </w:p>
          <w:p w14:paraId="2CC7126D" w14:textId="16448551" w:rsidR="008F17B4" w:rsidRPr="008F17B4" w:rsidRDefault="008F17B4" w:rsidP="001E5D6E">
            <w:pPr>
              <w:pStyle w:val="List"/>
              <w:tabs>
                <w:tab w:val="left" w:pos="360"/>
              </w:tabs>
              <w:spacing w:before="120" w:line="280" w:lineRule="exact"/>
              <w:ind w:left="0" w:firstLine="0"/>
              <w:rPr>
                <w:rFonts w:ascii="Arial" w:hAnsi="Arial"/>
                <w:sz w:val="18"/>
                <w:szCs w:val="14"/>
              </w:rPr>
            </w:pPr>
            <w:r w:rsidRPr="008F17B4">
              <w:rPr>
                <w:rFonts w:ascii="Arial" w:hAnsi="Arial"/>
                <w:sz w:val="18"/>
                <w:szCs w:val="14"/>
              </w:rPr>
              <w:t>Each Unit consists of one common share in the capital of Dizun (a "Dizun Share") and one Dizun Share purchase warrant (a "Warrant"). Each Warrant will entitle the holder to purchase one additional Dizun Share at an exercise price of $0.025 per share for a period of two years from the date of issuance</w:t>
            </w:r>
            <w:r>
              <w:rPr>
                <w:rFonts w:ascii="Arial" w:hAnsi="Arial"/>
                <w:sz w:val="18"/>
                <w:szCs w:val="14"/>
              </w:rPr>
              <w:t xml:space="preserve"> (expiring on July 23, 2022)</w:t>
            </w:r>
            <w:r w:rsidRPr="008F17B4">
              <w:rPr>
                <w:rFonts w:ascii="Arial" w:hAnsi="Arial"/>
                <w:sz w:val="18"/>
                <w:szCs w:val="14"/>
              </w:rPr>
              <w:t>.</w:t>
            </w:r>
          </w:p>
          <w:p w14:paraId="0A90FB44" w14:textId="77777777" w:rsidR="008F17B4" w:rsidRDefault="008F17B4" w:rsidP="001E5D6E">
            <w:pPr>
              <w:pStyle w:val="List"/>
              <w:tabs>
                <w:tab w:val="left" w:pos="360"/>
              </w:tabs>
              <w:spacing w:before="0" w:line="280" w:lineRule="exact"/>
              <w:ind w:left="0" w:firstLine="0"/>
              <w:rPr>
                <w:rFonts w:ascii="Arial" w:hAnsi="Arial"/>
                <w:sz w:val="18"/>
                <w:szCs w:val="14"/>
              </w:rPr>
            </w:pPr>
            <w:r w:rsidRPr="008F17B4">
              <w:rPr>
                <w:rFonts w:ascii="Arial" w:hAnsi="Arial"/>
                <w:sz w:val="18"/>
                <w:szCs w:val="14"/>
              </w:rPr>
              <w:t xml:space="preserve">The Private Placement is subject to the approval of the Exchange and the securities will be subject to a four-month hold period under securities laws. </w:t>
            </w:r>
          </w:p>
          <w:p w14:paraId="0A207851" w14:textId="77777777" w:rsidR="008F17B4" w:rsidRPr="00067FC5" w:rsidRDefault="008F17B4" w:rsidP="001E5D6E">
            <w:pPr>
              <w:pStyle w:val="List"/>
              <w:tabs>
                <w:tab w:val="left" w:pos="360"/>
              </w:tabs>
              <w:spacing w:before="0" w:line="280" w:lineRule="exact"/>
              <w:ind w:left="0" w:firstLine="0"/>
              <w:rPr>
                <w:rFonts w:ascii="Arial" w:hAnsi="Arial"/>
                <w:sz w:val="18"/>
                <w:szCs w:val="14"/>
              </w:rPr>
            </w:pPr>
            <w:r w:rsidRPr="008F17B4">
              <w:rPr>
                <w:rFonts w:ascii="Arial" w:hAnsi="Arial"/>
                <w:sz w:val="18"/>
                <w:szCs w:val="14"/>
              </w:rPr>
              <w:t>In connection with the Private Placement, Dizun paid a cash finder's fee of $1,850 and issued 70,000 Finder’s Warrants. The Finder's Warrants have the same terms as the Warrants and will be subject to a four-month hold period under securities laws.</w:t>
            </w:r>
          </w:p>
          <w:p w14:paraId="2B083851" w14:textId="58582E91" w:rsidR="008F17B4" w:rsidRPr="00067FC5" w:rsidRDefault="008F17B4" w:rsidP="009676DE">
            <w:pPr>
              <w:pStyle w:val="List"/>
              <w:tabs>
                <w:tab w:val="left" w:pos="360"/>
              </w:tabs>
              <w:spacing w:before="0" w:line="280" w:lineRule="exact"/>
              <w:ind w:left="0"/>
              <w:jc w:val="both"/>
              <w:rPr>
                <w:rFonts w:ascii="Arial" w:hAnsi="Arial"/>
                <w:sz w:val="18"/>
                <w:szCs w:val="14"/>
              </w:rPr>
            </w:pPr>
          </w:p>
        </w:tc>
        <w:tc>
          <w:tcPr>
            <w:tcW w:w="2068" w:type="dxa"/>
          </w:tcPr>
          <w:p w14:paraId="756550C4" w14:textId="64419FF3" w:rsidR="008F17B4" w:rsidRPr="00067FC5" w:rsidRDefault="008F17B4" w:rsidP="001E5D6E">
            <w:pPr>
              <w:pStyle w:val="List"/>
              <w:tabs>
                <w:tab w:val="left" w:pos="360"/>
              </w:tabs>
              <w:spacing w:before="0" w:line="280" w:lineRule="exact"/>
              <w:ind w:left="0" w:firstLine="0"/>
              <w:rPr>
                <w:rFonts w:ascii="Arial" w:hAnsi="Arial"/>
                <w:sz w:val="18"/>
                <w:szCs w:val="14"/>
              </w:rPr>
            </w:pPr>
            <w:r>
              <w:rPr>
                <w:rFonts w:ascii="Arial" w:hAnsi="Arial"/>
                <w:sz w:val="18"/>
                <w:szCs w:val="14"/>
              </w:rPr>
              <w:t>Repayment of accounts payable, loans payable and general working capital purposes.</w:t>
            </w:r>
          </w:p>
        </w:tc>
      </w:tr>
      <w:tr w:rsidR="008F17B4" w14:paraId="0547F503" w14:textId="77777777" w:rsidTr="009676DE">
        <w:tc>
          <w:tcPr>
            <w:tcW w:w="1690" w:type="dxa"/>
          </w:tcPr>
          <w:p w14:paraId="6B92E1F9" w14:textId="320A1E06" w:rsidR="008F17B4" w:rsidRPr="00067FC5" w:rsidRDefault="008F17B4">
            <w:pPr>
              <w:pStyle w:val="List"/>
              <w:tabs>
                <w:tab w:val="left" w:pos="360"/>
              </w:tabs>
              <w:spacing w:before="0" w:line="280" w:lineRule="exact"/>
              <w:ind w:left="0" w:firstLine="0"/>
              <w:jc w:val="both"/>
              <w:rPr>
                <w:rFonts w:ascii="Arial" w:hAnsi="Arial"/>
                <w:sz w:val="18"/>
                <w:szCs w:val="14"/>
              </w:rPr>
            </w:pPr>
            <w:r>
              <w:rPr>
                <w:rFonts w:ascii="Arial" w:hAnsi="Arial"/>
                <w:sz w:val="18"/>
                <w:szCs w:val="14"/>
              </w:rPr>
              <w:t>Warrants</w:t>
            </w:r>
          </w:p>
        </w:tc>
        <w:tc>
          <w:tcPr>
            <w:tcW w:w="1570" w:type="dxa"/>
          </w:tcPr>
          <w:p w14:paraId="7CF3F980" w14:textId="36AD39FC" w:rsidR="008F17B4" w:rsidRPr="00067FC5" w:rsidRDefault="008F17B4">
            <w:pPr>
              <w:pStyle w:val="List"/>
              <w:tabs>
                <w:tab w:val="left" w:pos="360"/>
              </w:tabs>
              <w:spacing w:before="0" w:line="280" w:lineRule="exact"/>
              <w:ind w:left="0" w:firstLine="0"/>
              <w:jc w:val="both"/>
              <w:rPr>
                <w:rFonts w:ascii="Arial" w:hAnsi="Arial"/>
                <w:sz w:val="18"/>
                <w:szCs w:val="14"/>
              </w:rPr>
            </w:pPr>
            <w:r>
              <w:rPr>
                <w:rFonts w:ascii="Arial" w:hAnsi="Arial"/>
                <w:sz w:val="18"/>
                <w:szCs w:val="14"/>
              </w:rPr>
              <w:t>30,000,000</w:t>
            </w:r>
          </w:p>
        </w:tc>
        <w:tc>
          <w:tcPr>
            <w:tcW w:w="3544" w:type="dxa"/>
            <w:vMerge/>
          </w:tcPr>
          <w:p w14:paraId="36B7A101" w14:textId="13A3B341" w:rsidR="008F17B4" w:rsidRPr="00067FC5" w:rsidRDefault="008F17B4">
            <w:pPr>
              <w:pStyle w:val="List"/>
              <w:tabs>
                <w:tab w:val="left" w:pos="360"/>
              </w:tabs>
              <w:spacing w:before="0" w:line="280" w:lineRule="exact"/>
              <w:ind w:left="0" w:firstLine="0"/>
              <w:jc w:val="both"/>
              <w:rPr>
                <w:rFonts w:ascii="Arial" w:hAnsi="Arial"/>
                <w:sz w:val="18"/>
                <w:szCs w:val="14"/>
              </w:rPr>
            </w:pPr>
          </w:p>
        </w:tc>
        <w:tc>
          <w:tcPr>
            <w:tcW w:w="2068" w:type="dxa"/>
          </w:tcPr>
          <w:p w14:paraId="3DA886CB" w14:textId="77777777" w:rsidR="008F17B4" w:rsidRPr="00067FC5" w:rsidRDefault="008F17B4">
            <w:pPr>
              <w:pStyle w:val="List"/>
              <w:tabs>
                <w:tab w:val="left" w:pos="360"/>
              </w:tabs>
              <w:spacing w:before="0" w:line="280" w:lineRule="exact"/>
              <w:ind w:left="0" w:firstLine="0"/>
              <w:jc w:val="both"/>
              <w:rPr>
                <w:rFonts w:ascii="Arial" w:hAnsi="Arial"/>
                <w:sz w:val="18"/>
                <w:szCs w:val="14"/>
              </w:rPr>
            </w:pPr>
          </w:p>
        </w:tc>
      </w:tr>
      <w:tr w:rsidR="00640E94" w14:paraId="1D6875F8" w14:textId="77777777" w:rsidTr="001E5D6E">
        <w:tc>
          <w:tcPr>
            <w:tcW w:w="1690" w:type="dxa"/>
          </w:tcPr>
          <w:p w14:paraId="348F30B5" w14:textId="77777777" w:rsidR="00640E94" w:rsidRDefault="00640E94">
            <w:pPr>
              <w:pStyle w:val="List"/>
              <w:tabs>
                <w:tab w:val="left" w:pos="360"/>
              </w:tabs>
              <w:spacing w:before="0" w:line="280" w:lineRule="exact"/>
              <w:ind w:left="0" w:firstLine="0"/>
              <w:jc w:val="both"/>
              <w:rPr>
                <w:rFonts w:ascii="Arial" w:hAnsi="Arial"/>
              </w:rPr>
            </w:pPr>
          </w:p>
        </w:tc>
        <w:tc>
          <w:tcPr>
            <w:tcW w:w="1570" w:type="dxa"/>
          </w:tcPr>
          <w:p w14:paraId="744C6791" w14:textId="77777777" w:rsidR="00640E94" w:rsidRDefault="00640E94">
            <w:pPr>
              <w:pStyle w:val="List"/>
              <w:tabs>
                <w:tab w:val="left" w:pos="360"/>
              </w:tabs>
              <w:spacing w:before="0" w:line="280" w:lineRule="exact"/>
              <w:ind w:left="0" w:firstLine="0"/>
              <w:jc w:val="both"/>
              <w:rPr>
                <w:rFonts w:ascii="Arial" w:hAnsi="Arial"/>
              </w:rPr>
            </w:pPr>
          </w:p>
        </w:tc>
        <w:tc>
          <w:tcPr>
            <w:tcW w:w="3544" w:type="dxa"/>
          </w:tcPr>
          <w:p w14:paraId="322E2162" w14:textId="77777777" w:rsidR="00640E94" w:rsidRDefault="00640E94">
            <w:pPr>
              <w:pStyle w:val="List"/>
              <w:tabs>
                <w:tab w:val="left" w:pos="360"/>
              </w:tabs>
              <w:spacing w:before="0" w:line="280" w:lineRule="exact"/>
              <w:ind w:left="0" w:firstLine="0"/>
              <w:jc w:val="both"/>
              <w:rPr>
                <w:rFonts w:ascii="Arial" w:hAnsi="Arial"/>
              </w:rPr>
            </w:pPr>
          </w:p>
        </w:tc>
        <w:tc>
          <w:tcPr>
            <w:tcW w:w="2068" w:type="dxa"/>
          </w:tcPr>
          <w:p w14:paraId="2EC3823F" w14:textId="77777777" w:rsidR="00640E94" w:rsidRDefault="00640E94">
            <w:pPr>
              <w:pStyle w:val="List"/>
              <w:tabs>
                <w:tab w:val="left" w:pos="360"/>
              </w:tabs>
              <w:spacing w:before="0" w:line="280" w:lineRule="exact"/>
              <w:ind w:left="0" w:firstLine="0"/>
              <w:jc w:val="both"/>
              <w:rPr>
                <w:rFonts w:ascii="Arial" w:hAnsi="Arial"/>
              </w:rPr>
            </w:pP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6431ED">
      <w:pPr>
        <w:pStyle w:val="List"/>
        <w:tabs>
          <w:tab w:val="left" w:pos="360"/>
        </w:tabs>
        <w:spacing w:before="0"/>
        <w:ind w:left="720" w:firstLine="0"/>
        <w:jc w:val="both"/>
        <w:rPr>
          <w:rFonts w:ascii="Arial" w:hAnsi="Arial"/>
          <w:i/>
        </w:rPr>
      </w:pPr>
    </w:p>
    <w:p w14:paraId="247D6B4A"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1251F0A2" w14:textId="45E4B8F5" w:rsidR="00B712C7" w:rsidRPr="00FE069E" w:rsidRDefault="00FE145A"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6431ED">
      <w:pPr>
        <w:pStyle w:val="List"/>
        <w:keepNext/>
        <w:keepLines/>
        <w:spacing w:before="0"/>
        <w:jc w:val="both"/>
        <w:rPr>
          <w:rFonts w:ascii="Arial" w:hAnsi="Arial"/>
        </w:rPr>
      </w:pPr>
    </w:p>
    <w:p w14:paraId="686B44AE"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0E541925" w14:textId="77777777" w:rsidR="00EB43C9" w:rsidRPr="00FE069E" w:rsidRDefault="00EB43C9"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6431ED">
      <w:pPr>
        <w:pStyle w:val="List"/>
        <w:keepNext/>
        <w:keepLines/>
        <w:spacing w:before="0"/>
        <w:jc w:val="both"/>
        <w:rPr>
          <w:rFonts w:ascii="Arial" w:hAnsi="Arial"/>
        </w:rPr>
      </w:pPr>
    </w:p>
    <w:p w14:paraId="30635F61" w14:textId="77777777" w:rsidR="00640E94" w:rsidRDefault="00640E94" w:rsidP="006431ED">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419B1667" w14:textId="77777777" w:rsidR="00FE069E" w:rsidRPr="00FE069E" w:rsidRDefault="00FE069E" w:rsidP="00CB4894">
      <w:pPr>
        <w:widowControl w:val="0"/>
        <w:overflowPunct w:val="0"/>
        <w:autoSpaceDE w:val="0"/>
        <w:autoSpaceDN w:val="0"/>
        <w:adjustRightInd w:val="0"/>
        <w:spacing w:before="120"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36AEF79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67FC5">
        <w:rPr>
          <w:rFonts w:ascii="Arial" w:hAnsi="Arial"/>
          <w:b/>
          <w:bCs/>
          <w:u w:val="single"/>
        </w:rPr>
        <w:t>August 10</w:t>
      </w:r>
      <w:r w:rsidR="002A7DC8">
        <w:rPr>
          <w:rFonts w:ascii="Arial" w:hAnsi="Arial"/>
          <w:b/>
          <w:bCs/>
          <w:u w:val="single"/>
        </w:rPr>
        <w:t>, 2020</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r w:rsidRPr="000B0A96">
              <w:rPr>
                <w:rFonts w:ascii="Arial" w:hAnsi="Arial"/>
                <w:b/>
                <w:bCs/>
                <w:sz w:val="24"/>
                <w:lang w:val="en-GB"/>
              </w:rPr>
              <w:t>Dizun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442E09E9" w:rsidR="000B0A96" w:rsidRPr="000B0A96" w:rsidRDefault="00DB028F">
            <w:pPr>
              <w:pStyle w:val="BodyText"/>
              <w:spacing w:before="0"/>
              <w:rPr>
                <w:rFonts w:ascii="Arial" w:hAnsi="Arial"/>
                <w:b/>
                <w:bCs/>
              </w:rPr>
            </w:pPr>
            <w:r>
              <w:rPr>
                <w:rFonts w:ascii="Arial" w:hAnsi="Arial"/>
                <w:b/>
                <w:bCs/>
              </w:rPr>
              <w:t>Ju</w:t>
            </w:r>
            <w:r w:rsidR="00067FC5">
              <w:rPr>
                <w:rFonts w:ascii="Arial" w:hAnsi="Arial"/>
                <w:b/>
                <w:bCs/>
              </w:rPr>
              <w:t>ly</w:t>
            </w:r>
            <w:r w:rsidR="0095071E">
              <w:rPr>
                <w:rFonts w:ascii="Arial" w:hAnsi="Arial"/>
                <w:b/>
                <w:bCs/>
              </w:rPr>
              <w:t xml:space="preserve"> 2020</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64C561DC" w:rsidR="000B0A96" w:rsidRPr="000B0A96" w:rsidRDefault="002A7DC8">
            <w:pPr>
              <w:pStyle w:val="BodyText"/>
              <w:spacing w:before="0"/>
              <w:rPr>
                <w:rFonts w:ascii="Arial" w:hAnsi="Arial"/>
                <w:b/>
                <w:bCs/>
              </w:rPr>
            </w:pPr>
            <w:r>
              <w:rPr>
                <w:rFonts w:ascii="Arial" w:hAnsi="Arial"/>
                <w:b/>
                <w:bCs/>
              </w:rPr>
              <w:t>20</w:t>
            </w:r>
            <w:r w:rsidR="000B0A96" w:rsidRPr="000B0A96">
              <w:rPr>
                <w:rFonts w:ascii="Arial" w:hAnsi="Arial"/>
                <w:b/>
                <w:bCs/>
              </w:rPr>
              <w:t>/</w:t>
            </w:r>
            <w:r>
              <w:rPr>
                <w:rFonts w:ascii="Arial" w:hAnsi="Arial"/>
                <w:b/>
                <w:bCs/>
              </w:rPr>
              <w:t>0</w:t>
            </w:r>
            <w:r w:rsidR="00067FC5">
              <w:rPr>
                <w:rFonts w:ascii="Arial" w:hAnsi="Arial"/>
                <w:b/>
                <w:bCs/>
              </w:rPr>
              <w:t>8</w:t>
            </w:r>
            <w:r w:rsidR="000B0A96" w:rsidRPr="000B0A96">
              <w:rPr>
                <w:rFonts w:ascii="Arial" w:hAnsi="Arial"/>
                <w:b/>
                <w:bCs/>
              </w:rPr>
              <w:t>/</w:t>
            </w:r>
            <w:r w:rsidR="00067FC5">
              <w:rPr>
                <w:rFonts w:ascii="Arial" w:hAnsi="Arial"/>
                <w:b/>
                <w:bCs/>
              </w:rPr>
              <w:t>10</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33669913" w:rsidR="00640E94" w:rsidRDefault="00BA6D16" w:rsidP="000B0A96">
            <w:pPr>
              <w:pStyle w:val="BodyText"/>
              <w:spacing w:before="0"/>
              <w:rPr>
                <w:rFonts w:ascii="Arial" w:hAnsi="Arial"/>
              </w:rPr>
            </w:pPr>
            <w:r>
              <w:rPr>
                <w:rFonts w:ascii="Arial" w:hAnsi="Arial"/>
                <w:b/>
                <w:bCs/>
              </w:rPr>
              <w:t>m</w:t>
            </w:r>
            <w:r w:rsidR="00F371CC">
              <w:rPr>
                <w:rFonts w:ascii="Arial" w:hAnsi="Arial"/>
                <w:b/>
                <w:bCs/>
              </w:rPr>
              <w:t>artin</w:t>
            </w:r>
            <w:r w:rsidR="000B0A96" w:rsidRPr="000B0A96">
              <w:rPr>
                <w:rFonts w:ascii="Arial" w:hAnsi="Arial"/>
                <w:b/>
                <w:bCs/>
              </w:rPr>
              <w:t>@</w:t>
            </w:r>
            <w:r w:rsidR="00F371CC">
              <w:rPr>
                <w:rFonts w:ascii="Arial" w:hAnsi="Arial"/>
                <w:b/>
                <w:bCs/>
              </w:rPr>
              <w:t>nwcapital</w:t>
            </w:r>
            <w:r w:rsidR="000B0A96" w:rsidRPr="000B0A96">
              <w:rPr>
                <w:rFonts w:ascii="Arial" w:hAnsi="Arial"/>
                <w:b/>
                <w:bCs/>
              </w:rPr>
              <w:t>.ca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2D34" w14:textId="77777777" w:rsidR="00F8739C" w:rsidRDefault="00F8739C">
      <w:r>
        <w:separator/>
      </w:r>
    </w:p>
  </w:endnote>
  <w:endnote w:type="continuationSeparator" w:id="0">
    <w:p w14:paraId="30C7B73D" w14:textId="77777777" w:rsidR="00F8739C" w:rsidRDefault="00F8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C8757" w14:textId="77777777" w:rsidR="00F8739C" w:rsidRDefault="00F8739C">
      <w:r>
        <w:separator/>
      </w:r>
    </w:p>
  </w:footnote>
  <w:footnote w:type="continuationSeparator" w:id="0">
    <w:p w14:paraId="23EF2A78" w14:textId="77777777" w:rsidR="00F8739C" w:rsidRDefault="00F8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70945B16"/>
    <w:lvl w:ilvl="0" w:tplc="E220A156">
      <w:start w:val="1"/>
      <w:numFmt w:val="decimal"/>
      <w:lvlText w:val="(%1)"/>
      <w:lvlJc w:val="left"/>
      <w:pPr>
        <w:ind w:left="1080" w:hanging="360"/>
      </w:pPr>
      <w:rPr>
        <w:rFonts w:hint="default"/>
        <w:vertAlign w:val="superscrip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67FC5"/>
    <w:rsid w:val="00095CD6"/>
    <w:rsid w:val="000A1AB1"/>
    <w:rsid w:val="000B0A96"/>
    <w:rsid w:val="001E5D6E"/>
    <w:rsid w:val="00202566"/>
    <w:rsid w:val="00244616"/>
    <w:rsid w:val="002A7DC8"/>
    <w:rsid w:val="002C281E"/>
    <w:rsid w:val="002F00EB"/>
    <w:rsid w:val="003669A9"/>
    <w:rsid w:val="00371A64"/>
    <w:rsid w:val="00387FA8"/>
    <w:rsid w:val="004B268F"/>
    <w:rsid w:val="005453C8"/>
    <w:rsid w:val="005618EC"/>
    <w:rsid w:val="005F6D8F"/>
    <w:rsid w:val="00620E7F"/>
    <w:rsid w:val="00633ED3"/>
    <w:rsid w:val="00635E9A"/>
    <w:rsid w:val="00640E94"/>
    <w:rsid w:val="006431ED"/>
    <w:rsid w:val="00681768"/>
    <w:rsid w:val="006D1A06"/>
    <w:rsid w:val="008B7E92"/>
    <w:rsid w:val="008F17B4"/>
    <w:rsid w:val="00922A46"/>
    <w:rsid w:val="0095071E"/>
    <w:rsid w:val="009C178C"/>
    <w:rsid w:val="00A47914"/>
    <w:rsid w:val="00AD26D5"/>
    <w:rsid w:val="00AE1124"/>
    <w:rsid w:val="00B712C7"/>
    <w:rsid w:val="00BA6D16"/>
    <w:rsid w:val="00C27A18"/>
    <w:rsid w:val="00C6383E"/>
    <w:rsid w:val="00CB4894"/>
    <w:rsid w:val="00D14AE5"/>
    <w:rsid w:val="00D661E6"/>
    <w:rsid w:val="00DB028F"/>
    <w:rsid w:val="00E351C1"/>
    <w:rsid w:val="00E36141"/>
    <w:rsid w:val="00E83E58"/>
    <w:rsid w:val="00E87302"/>
    <w:rsid w:val="00E97691"/>
    <w:rsid w:val="00EB0EC8"/>
    <w:rsid w:val="00EB43C9"/>
    <w:rsid w:val="00F371CC"/>
    <w:rsid w:val="00F8739C"/>
    <w:rsid w:val="00FE069E"/>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2004-05-10T18:28:00Z</cp:lastPrinted>
  <dcterms:created xsi:type="dcterms:W3CDTF">2020-08-11T04:42:00Z</dcterms:created>
  <dcterms:modified xsi:type="dcterms:W3CDTF">2020-08-11T04:42:00Z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