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5E85" w14:textId="77777777" w:rsidR="00C55125" w:rsidRDefault="00C55125" w:rsidP="00C55125">
      <w:pPr>
        <w:jc w:val="center"/>
      </w:pPr>
      <w:r w:rsidRPr="006B4246">
        <w:rPr>
          <w:b/>
          <w:i/>
          <w:sz w:val="20"/>
        </w:rPr>
        <w:t>THIS NEWS RELEASE IS NOT FOR DISTRIBUTION TO U.S. NEWSWIRE SERVICES FOR DISSEMINATION IN THE UNITED STATES</w:t>
      </w:r>
    </w:p>
    <w:p w14:paraId="6E46F665" w14:textId="77777777" w:rsidR="00C55125" w:rsidRDefault="00C55125" w:rsidP="00C55125">
      <w:r>
        <w:rPr>
          <w:noProof/>
          <w:lang w:val="en-US"/>
        </w:rPr>
        <w:drawing>
          <wp:inline distT="0" distB="0" distL="0" distR="0" wp14:anchorId="3B0D6153" wp14:editId="0B5B8FC3">
            <wp:extent cx="890594" cy="1714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nsionfive logo 2019.png"/>
                    <pic:cNvPicPr/>
                  </pic:nvPicPr>
                  <pic:blipFill>
                    <a:blip r:embed="rId8">
                      <a:extLst>
                        <a:ext uri="{28A0092B-C50C-407E-A947-70E740481C1C}">
                          <a14:useLocalDpi xmlns:a14="http://schemas.microsoft.com/office/drawing/2010/main" val="0"/>
                        </a:ext>
                      </a:extLst>
                    </a:blip>
                    <a:stretch>
                      <a:fillRect/>
                    </a:stretch>
                  </pic:blipFill>
                  <pic:spPr>
                    <a:xfrm>
                      <a:off x="0" y="0"/>
                      <a:ext cx="890594" cy="171451"/>
                    </a:xfrm>
                    <a:prstGeom prst="rect">
                      <a:avLst/>
                    </a:prstGeom>
                  </pic:spPr>
                </pic:pic>
              </a:graphicData>
            </a:graphic>
          </wp:inline>
        </w:drawing>
      </w:r>
    </w:p>
    <w:p w14:paraId="23729241" w14:textId="380158DF" w:rsidR="00C55125" w:rsidRPr="00426F65" w:rsidRDefault="00C55125" w:rsidP="00C55125">
      <w:pPr>
        <w:jc w:val="center"/>
        <w:rPr>
          <w:b/>
          <w:bCs/>
          <w:i/>
        </w:rPr>
      </w:pPr>
      <w:r>
        <w:rPr>
          <w:b/>
          <w:bCs/>
        </w:rPr>
        <w:t xml:space="preserve">Dimension Five Technologies Inc. Announces Execution of Definitive Agreement for Acquisition of </w:t>
      </w:r>
      <w:proofErr w:type="spellStart"/>
      <w:r w:rsidR="001A0008">
        <w:rPr>
          <w:b/>
          <w:bCs/>
        </w:rPr>
        <w:t>Aduro</w:t>
      </w:r>
      <w:proofErr w:type="spellEnd"/>
      <w:r w:rsidR="001A0008">
        <w:rPr>
          <w:b/>
          <w:bCs/>
        </w:rPr>
        <w:t xml:space="preserve"> Energy</w:t>
      </w:r>
      <w:r>
        <w:rPr>
          <w:b/>
          <w:bCs/>
        </w:rPr>
        <w:t xml:space="preserve"> Inc.</w:t>
      </w:r>
      <w:r w:rsidR="002546B5">
        <w:rPr>
          <w:b/>
          <w:bCs/>
        </w:rPr>
        <w:t xml:space="preserve"> and </w:t>
      </w:r>
      <w:r w:rsidR="001671A6">
        <w:rPr>
          <w:b/>
          <w:bCs/>
        </w:rPr>
        <w:t>the A</w:t>
      </w:r>
      <w:r w:rsidR="002546B5">
        <w:rPr>
          <w:b/>
          <w:bCs/>
        </w:rPr>
        <w:t xml:space="preserve">ppointment of </w:t>
      </w:r>
      <w:r w:rsidR="001671A6">
        <w:rPr>
          <w:b/>
          <w:bCs/>
        </w:rPr>
        <w:t>N</w:t>
      </w:r>
      <w:r w:rsidR="002546B5">
        <w:rPr>
          <w:b/>
          <w:bCs/>
        </w:rPr>
        <w:t>ew Chief Financial Officer</w:t>
      </w:r>
      <w:r w:rsidR="00F51412">
        <w:rPr>
          <w:b/>
          <w:bCs/>
        </w:rPr>
        <w:t xml:space="preserve"> and Secretary</w:t>
      </w:r>
      <w:r>
        <w:rPr>
          <w:b/>
          <w:bCs/>
        </w:rPr>
        <w:br/>
      </w:r>
      <w:r>
        <w:rPr>
          <w:b/>
          <w:bCs/>
        </w:rPr>
        <w:br/>
      </w:r>
      <w:r w:rsidRPr="00683093">
        <w:rPr>
          <w:b/>
          <w:bCs/>
          <w:i/>
        </w:rPr>
        <w:t>Acquisition will constitute a “</w:t>
      </w:r>
      <w:r>
        <w:rPr>
          <w:b/>
          <w:bCs/>
          <w:i/>
        </w:rPr>
        <w:t>f</w:t>
      </w:r>
      <w:r w:rsidRPr="00683093">
        <w:rPr>
          <w:b/>
          <w:bCs/>
          <w:i/>
        </w:rPr>
        <w:t xml:space="preserve">undamental </w:t>
      </w:r>
      <w:r>
        <w:rPr>
          <w:b/>
          <w:bCs/>
          <w:i/>
        </w:rPr>
        <w:t>c</w:t>
      </w:r>
      <w:r w:rsidRPr="00683093">
        <w:rPr>
          <w:b/>
          <w:bCs/>
          <w:i/>
        </w:rPr>
        <w:t>hange</w:t>
      </w:r>
      <w:r w:rsidRPr="00426F65">
        <w:rPr>
          <w:b/>
          <w:bCs/>
          <w:i/>
        </w:rPr>
        <w:t>” under the policies of the CSE</w:t>
      </w:r>
    </w:p>
    <w:p w14:paraId="7D6198AF" w14:textId="7DFD50FB" w:rsidR="00C55125" w:rsidRPr="00B86DBA" w:rsidRDefault="00C55125" w:rsidP="00C55125">
      <w:pPr>
        <w:spacing w:before="240" w:after="0" w:line="240" w:lineRule="auto"/>
        <w:jc w:val="both"/>
        <w:rPr>
          <w:bCs/>
        </w:rPr>
      </w:pPr>
      <w:r>
        <w:rPr>
          <w:bCs/>
        </w:rPr>
        <w:t xml:space="preserve">Vancouver, BC, </w:t>
      </w:r>
      <w:r w:rsidR="001A0008">
        <w:rPr>
          <w:bCs/>
        </w:rPr>
        <w:t>October</w:t>
      </w:r>
      <w:r w:rsidR="006D1805">
        <w:rPr>
          <w:bCs/>
        </w:rPr>
        <w:t xml:space="preserve"> 23</w:t>
      </w:r>
      <w:r>
        <w:rPr>
          <w:bCs/>
        </w:rPr>
        <w:t>, 2020</w:t>
      </w:r>
      <w:r w:rsidRPr="003E2941">
        <w:rPr>
          <w:bCs/>
        </w:rPr>
        <w:t xml:space="preserve"> – </w:t>
      </w:r>
      <w:r w:rsidRPr="00544538">
        <w:rPr>
          <w:b/>
          <w:bCs/>
        </w:rPr>
        <w:t xml:space="preserve">Dimension Five Technologies Inc. (CSE: DFT) </w:t>
      </w:r>
      <w:r w:rsidRPr="00B86DBA">
        <w:rPr>
          <w:bCs/>
        </w:rPr>
        <w:t>(the “Company” or “Dimension Five”) is pleased to announce that</w:t>
      </w:r>
      <w:r w:rsidR="00C603A7" w:rsidRPr="00B86DBA">
        <w:rPr>
          <w:bCs/>
        </w:rPr>
        <w:t>, further to its news release dated July 14, 2020,</w:t>
      </w:r>
      <w:r w:rsidRPr="00B86DBA">
        <w:rPr>
          <w:bCs/>
        </w:rPr>
        <w:t xml:space="preserve"> </w:t>
      </w:r>
      <w:r w:rsidR="00C603A7" w:rsidRPr="00B86DBA">
        <w:rPr>
          <w:bCs/>
        </w:rPr>
        <w:t>the Company</w:t>
      </w:r>
      <w:r w:rsidRPr="00B86DBA">
        <w:rPr>
          <w:bCs/>
        </w:rPr>
        <w:t xml:space="preserve"> has entered into a definitive </w:t>
      </w:r>
      <w:r w:rsidR="006C5366" w:rsidRPr="00B86DBA">
        <w:rPr>
          <w:bCs/>
        </w:rPr>
        <w:t>securities</w:t>
      </w:r>
      <w:r w:rsidRPr="00B86DBA">
        <w:rPr>
          <w:bCs/>
        </w:rPr>
        <w:t xml:space="preserve"> exchange agreement dated </w:t>
      </w:r>
      <w:r w:rsidR="001A0008" w:rsidRPr="00B86DBA">
        <w:rPr>
          <w:bCs/>
        </w:rPr>
        <w:t>October</w:t>
      </w:r>
      <w:r w:rsidRPr="00B86DBA">
        <w:rPr>
          <w:bCs/>
        </w:rPr>
        <w:t xml:space="preserve"> </w:t>
      </w:r>
      <w:r w:rsidR="006D1805" w:rsidRPr="00B86DBA">
        <w:rPr>
          <w:bCs/>
        </w:rPr>
        <w:t>22</w:t>
      </w:r>
      <w:r w:rsidRPr="00B86DBA">
        <w:rPr>
          <w:bCs/>
        </w:rPr>
        <w:t>, 2020 (the “Agreement</w:t>
      </w:r>
      <w:r w:rsidR="00272A08" w:rsidRPr="00B86DBA">
        <w:rPr>
          <w:bCs/>
        </w:rPr>
        <w:t xml:space="preserve">”) with </w:t>
      </w:r>
      <w:proofErr w:type="spellStart"/>
      <w:r w:rsidR="00272A08" w:rsidRPr="00B86DBA">
        <w:rPr>
          <w:bCs/>
        </w:rPr>
        <w:t>Aduro</w:t>
      </w:r>
      <w:proofErr w:type="spellEnd"/>
      <w:r w:rsidR="00272A08" w:rsidRPr="00B86DBA">
        <w:rPr>
          <w:bCs/>
        </w:rPr>
        <w:t xml:space="preserve"> Energy Inc. (</w:t>
      </w:r>
      <w:r w:rsidRPr="00B86DBA">
        <w:rPr>
          <w:bCs/>
        </w:rPr>
        <w:t>“</w:t>
      </w:r>
      <w:proofErr w:type="spellStart"/>
      <w:r w:rsidRPr="00B86DBA">
        <w:rPr>
          <w:bCs/>
        </w:rPr>
        <w:t>Aduro</w:t>
      </w:r>
      <w:proofErr w:type="spellEnd"/>
      <w:r w:rsidRPr="00B86DBA">
        <w:rPr>
          <w:bCs/>
        </w:rPr>
        <w:t xml:space="preserve"> Energy”), a private company incorporated </w:t>
      </w:r>
      <w:r w:rsidR="001A0008" w:rsidRPr="00B86DBA">
        <w:rPr>
          <w:bCs/>
        </w:rPr>
        <w:t>under the federal laws of Canada</w:t>
      </w:r>
      <w:r w:rsidRPr="00B86DBA">
        <w:rPr>
          <w:bCs/>
        </w:rPr>
        <w:t xml:space="preserve"> and </w:t>
      </w:r>
      <w:r w:rsidR="007D18A4" w:rsidRPr="00B86DBA">
        <w:rPr>
          <w:bCs/>
        </w:rPr>
        <w:t xml:space="preserve">all of </w:t>
      </w:r>
      <w:r w:rsidRPr="00B86DBA">
        <w:rPr>
          <w:bCs/>
        </w:rPr>
        <w:t xml:space="preserve">the </w:t>
      </w:r>
      <w:r w:rsidR="001A0008" w:rsidRPr="00B86DBA">
        <w:rPr>
          <w:bCs/>
        </w:rPr>
        <w:t>securityholders</w:t>
      </w:r>
      <w:r w:rsidRPr="00B86DBA">
        <w:rPr>
          <w:bCs/>
        </w:rPr>
        <w:t xml:space="preserve"> of </w:t>
      </w:r>
      <w:proofErr w:type="spellStart"/>
      <w:r w:rsidRPr="00B86DBA">
        <w:rPr>
          <w:bCs/>
        </w:rPr>
        <w:t>Aduro</w:t>
      </w:r>
      <w:proofErr w:type="spellEnd"/>
      <w:r w:rsidRPr="00B86DBA">
        <w:rPr>
          <w:bCs/>
        </w:rPr>
        <w:t xml:space="preserve"> Energy (the “Target </w:t>
      </w:r>
      <w:r w:rsidR="001A0008" w:rsidRPr="00B86DBA">
        <w:rPr>
          <w:bCs/>
        </w:rPr>
        <w:t>Vendors</w:t>
      </w:r>
      <w:r w:rsidRPr="00B86DBA">
        <w:rPr>
          <w:bCs/>
        </w:rPr>
        <w:t xml:space="preserve">”), whereby </w:t>
      </w:r>
      <w:r w:rsidR="00C603A7" w:rsidRPr="00B86DBA">
        <w:rPr>
          <w:bCs/>
        </w:rPr>
        <w:t>Dimension Five</w:t>
      </w:r>
      <w:r w:rsidRPr="00B86DBA">
        <w:rPr>
          <w:bCs/>
        </w:rPr>
        <w:t xml:space="preserve"> has agreed to acquire all of the issued and outstanding </w:t>
      </w:r>
      <w:r w:rsidR="001A0008" w:rsidRPr="00B86DBA">
        <w:rPr>
          <w:bCs/>
        </w:rPr>
        <w:t>shares</w:t>
      </w:r>
      <w:r w:rsidRPr="00B86DBA">
        <w:rPr>
          <w:bCs/>
        </w:rPr>
        <w:t xml:space="preserve"> </w:t>
      </w:r>
      <w:r w:rsidR="001A0008" w:rsidRPr="00B86DBA">
        <w:rPr>
          <w:bCs/>
        </w:rPr>
        <w:t xml:space="preserve">(the “Target Shares”) </w:t>
      </w:r>
      <w:r w:rsidRPr="00B86DBA">
        <w:rPr>
          <w:bCs/>
        </w:rPr>
        <w:t xml:space="preserve">of </w:t>
      </w:r>
      <w:proofErr w:type="spellStart"/>
      <w:r w:rsidRPr="00B86DBA">
        <w:rPr>
          <w:bCs/>
        </w:rPr>
        <w:t>Aduro</w:t>
      </w:r>
      <w:proofErr w:type="spellEnd"/>
      <w:r w:rsidRPr="00B86DBA">
        <w:rPr>
          <w:bCs/>
        </w:rPr>
        <w:t xml:space="preserve"> Energy (the “Acquisition”).</w:t>
      </w:r>
    </w:p>
    <w:p w14:paraId="242B5FF2" w14:textId="77777777" w:rsidR="00C55125" w:rsidRPr="00B86DBA" w:rsidRDefault="00C55125" w:rsidP="00C55125">
      <w:pPr>
        <w:spacing w:before="240" w:after="0" w:line="240" w:lineRule="auto"/>
        <w:jc w:val="both"/>
        <w:rPr>
          <w:bCs/>
        </w:rPr>
      </w:pPr>
      <w:r w:rsidRPr="00B86DBA">
        <w:rPr>
          <w:bCs/>
        </w:rPr>
        <w:t>The Acquisition, an arm’s length transaction, will constitute a “fundamental change” for the Company under the policies of the Canadian Securities Exchange (the “CSE”).</w:t>
      </w:r>
    </w:p>
    <w:p w14:paraId="2F0C8FD2" w14:textId="2A6E4CE1" w:rsidR="00C55125" w:rsidRPr="00CA7ED4" w:rsidRDefault="00C55125" w:rsidP="00C55125">
      <w:pPr>
        <w:spacing w:before="240" w:after="0" w:line="240" w:lineRule="auto"/>
        <w:jc w:val="both"/>
        <w:rPr>
          <w:b/>
          <w:bCs/>
          <w:u w:val="single"/>
        </w:rPr>
      </w:pPr>
      <w:r w:rsidRPr="00CA7ED4">
        <w:rPr>
          <w:b/>
          <w:bCs/>
          <w:u w:val="single"/>
        </w:rPr>
        <w:t>The Transaction</w:t>
      </w:r>
    </w:p>
    <w:p w14:paraId="698E3D59" w14:textId="77777777" w:rsidR="004A2007" w:rsidRPr="00B86DBA" w:rsidRDefault="00C55125" w:rsidP="004A2007">
      <w:pPr>
        <w:spacing w:before="240" w:after="0" w:line="240" w:lineRule="auto"/>
        <w:jc w:val="both"/>
        <w:rPr>
          <w:bCs/>
        </w:rPr>
      </w:pPr>
      <w:r w:rsidRPr="00B86DBA">
        <w:rPr>
          <w:bCs/>
        </w:rPr>
        <w:t xml:space="preserve">The Acquisition is </w:t>
      </w:r>
      <w:r w:rsidR="001A0008" w:rsidRPr="00B86DBA">
        <w:rPr>
          <w:bCs/>
        </w:rPr>
        <w:t xml:space="preserve">structured as </w:t>
      </w:r>
      <w:r w:rsidRPr="00B86DBA">
        <w:rPr>
          <w:bCs/>
        </w:rPr>
        <w:t xml:space="preserve">a </w:t>
      </w:r>
      <w:r w:rsidR="0018209D" w:rsidRPr="00B86DBA">
        <w:rPr>
          <w:bCs/>
        </w:rPr>
        <w:t>securities</w:t>
      </w:r>
      <w:r w:rsidRPr="00B86DBA">
        <w:rPr>
          <w:bCs/>
        </w:rPr>
        <w:t xml:space="preserve"> exchange pursuant to which Dimension Five </w:t>
      </w:r>
      <w:r w:rsidR="00B34590" w:rsidRPr="00B86DBA">
        <w:rPr>
          <w:bCs/>
        </w:rPr>
        <w:t>has agreed to</w:t>
      </w:r>
      <w:r w:rsidR="001A0008" w:rsidRPr="00B86DBA">
        <w:rPr>
          <w:bCs/>
        </w:rPr>
        <w:t xml:space="preserve"> </w:t>
      </w:r>
      <w:r w:rsidRPr="00B86DBA">
        <w:rPr>
          <w:bCs/>
        </w:rPr>
        <w:t xml:space="preserve">purchase all of the shares of </w:t>
      </w:r>
      <w:proofErr w:type="spellStart"/>
      <w:r w:rsidRPr="00B86DBA">
        <w:rPr>
          <w:bCs/>
        </w:rPr>
        <w:t>Aduro</w:t>
      </w:r>
      <w:proofErr w:type="spellEnd"/>
      <w:r w:rsidRPr="00B86DBA">
        <w:rPr>
          <w:bCs/>
        </w:rPr>
        <w:t xml:space="preserve"> Energy from the</w:t>
      </w:r>
      <w:r w:rsidR="00272A08" w:rsidRPr="00B86DBA">
        <w:rPr>
          <w:bCs/>
        </w:rPr>
        <w:t xml:space="preserve"> Target </w:t>
      </w:r>
      <w:r w:rsidR="001A0008" w:rsidRPr="00B86DBA">
        <w:rPr>
          <w:bCs/>
        </w:rPr>
        <w:t>Vendors</w:t>
      </w:r>
      <w:r w:rsidRPr="00B86DBA">
        <w:rPr>
          <w:bCs/>
        </w:rPr>
        <w:t xml:space="preserve">, </w:t>
      </w:r>
      <w:r w:rsidR="001A0008" w:rsidRPr="00B86DBA">
        <w:rPr>
          <w:bCs/>
        </w:rPr>
        <w:t xml:space="preserve">such that following closing of the Acquisition (the “Closing”) all of the Target Shares of </w:t>
      </w:r>
      <w:proofErr w:type="spellStart"/>
      <w:r w:rsidR="001A0008" w:rsidRPr="00B86DBA">
        <w:rPr>
          <w:bCs/>
        </w:rPr>
        <w:t>Aduro</w:t>
      </w:r>
      <w:proofErr w:type="spellEnd"/>
      <w:r w:rsidR="001A0008" w:rsidRPr="00B86DBA">
        <w:rPr>
          <w:bCs/>
        </w:rPr>
        <w:t xml:space="preserve"> Energy, which will represent all of the issued and outstanding securities of </w:t>
      </w:r>
      <w:proofErr w:type="spellStart"/>
      <w:r w:rsidR="001A0008" w:rsidRPr="00B86DBA">
        <w:rPr>
          <w:bCs/>
        </w:rPr>
        <w:t>Aduro</w:t>
      </w:r>
      <w:proofErr w:type="spellEnd"/>
      <w:r w:rsidR="001A0008" w:rsidRPr="00B86DBA">
        <w:rPr>
          <w:bCs/>
        </w:rPr>
        <w:t xml:space="preserve"> Energy</w:t>
      </w:r>
      <w:r w:rsidR="00E45685" w:rsidRPr="00B86DBA">
        <w:rPr>
          <w:bCs/>
        </w:rPr>
        <w:t>,</w:t>
      </w:r>
      <w:r w:rsidR="001A0008" w:rsidRPr="00B86DBA">
        <w:rPr>
          <w:bCs/>
        </w:rPr>
        <w:t xml:space="preserve"> other than certain convertible promissory notes</w:t>
      </w:r>
      <w:r w:rsidR="00984757" w:rsidRPr="00B86DBA">
        <w:rPr>
          <w:bCs/>
        </w:rPr>
        <w:t>, as amended</w:t>
      </w:r>
      <w:r w:rsidR="001A0008" w:rsidRPr="00B86DBA">
        <w:rPr>
          <w:bCs/>
        </w:rPr>
        <w:t xml:space="preserve"> (the “Target Convertible Notes”), will be owned by Dimension Five. </w:t>
      </w:r>
    </w:p>
    <w:p w14:paraId="40871AF6" w14:textId="77777777" w:rsidR="004A2007" w:rsidRPr="00B86DBA" w:rsidRDefault="00C55125" w:rsidP="004A2007">
      <w:pPr>
        <w:spacing w:before="240" w:after="0" w:line="240" w:lineRule="auto"/>
        <w:jc w:val="both"/>
        <w:rPr>
          <w:bCs/>
        </w:rPr>
      </w:pPr>
      <w:r w:rsidRPr="00B86DBA">
        <w:rPr>
          <w:bCs/>
        </w:rPr>
        <w:t xml:space="preserve">In consideration for the Acquisition, the Company </w:t>
      </w:r>
      <w:r w:rsidR="00B34590" w:rsidRPr="00B86DBA">
        <w:rPr>
          <w:bCs/>
        </w:rPr>
        <w:t>has agreed to</w:t>
      </w:r>
      <w:r w:rsidR="00307774" w:rsidRPr="00B86DBA">
        <w:rPr>
          <w:bCs/>
        </w:rPr>
        <w:t>,</w:t>
      </w:r>
      <w:r w:rsidR="001A0008" w:rsidRPr="00B86DBA">
        <w:rPr>
          <w:bCs/>
        </w:rPr>
        <w:t xml:space="preserve"> at Closing</w:t>
      </w:r>
      <w:r w:rsidR="00307774" w:rsidRPr="00B86DBA">
        <w:rPr>
          <w:bCs/>
        </w:rPr>
        <w:t>, a</w:t>
      </w:r>
      <w:r w:rsidR="001A0008" w:rsidRPr="00B86DBA">
        <w:rPr>
          <w:bCs/>
        </w:rPr>
        <w:t>llot and issue an aggregate of 40,000,000 common shares in the capital of Dimension Five (each, a “Consideration Share”)</w:t>
      </w:r>
      <w:r w:rsidR="00625DA4" w:rsidRPr="00B86DBA">
        <w:rPr>
          <w:bCs/>
        </w:rPr>
        <w:t xml:space="preserve"> at a deemed price of $0.05 per Consideration Share</w:t>
      </w:r>
      <w:r w:rsidR="001A0008" w:rsidRPr="00B86DBA">
        <w:rPr>
          <w:bCs/>
        </w:rPr>
        <w:t xml:space="preserve">, </w:t>
      </w:r>
      <w:r w:rsidR="00625DA4" w:rsidRPr="00B86DBA">
        <w:rPr>
          <w:bCs/>
        </w:rPr>
        <w:t>to the Target Vendors</w:t>
      </w:r>
      <w:r w:rsidR="00C603A7" w:rsidRPr="00B86DBA">
        <w:rPr>
          <w:bCs/>
        </w:rPr>
        <w:t>,</w:t>
      </w:r>
      <w:r w:rsidR="00625DA4" w:rsidRPr="00B86DBA">
        <w:rPr>
          <w:bCs/>
        </w:rPr>
        <w:t xml:space="preserve"> and also create and issue </w:t>
      </w:r>
      <w:r w:rsidRPr="00B86DBA">
        <w:rPr>
          <w:bCs/>
        </w:rPr>
        <w:t>an aggregate of 80,000,000 special warrants</w:t>
      </w:r>
      <w:r w:rsidR="000D18D9" w:rsidRPr="00B86DBA">
        <w:rPr>
          <w:bCs/>
        </w:rPr>
        <w:t xml:space="preserve"> (the “Special Warrants”), </w:t>
      </w:r>
      <w:r w:rsidR="00D05912" w:rsidRPr="00B86DBA">
        <w:rPr>
          <w:bCs/>
        </w:rPr>
        <w:t xml:space="preserve">at a deemed price equal to the greater of </w:t>
      </w:r>
      <w:r w:rsidR="00D05912" w:rsidRPr="00B86DBA">
        <w:rPr>
          <w:rFonts w:cstheme="minorHAnsi"/>
          <w:bCs/>
        </w:rPr>
        <w:t>(</w:t>
      </w:r>
      <w:proofErr w:type="spellStart"/>
      <w:r w:rsidR="00D05912" w:rsidRPr="00B86DBA">
        <w:rPr>
          <w:rFonts w:cstheme="minorHAnsi"/>
          <w:bCs/>
        </w:rPr>
        <w:t>i</w:t>
      </w:r>
      <w:proofErr w:type="spellEnd"/>
      <w:r w:rsidR="00D05912" w:rsidRPr="00B86DBA">
        <w:rPr>
          <w:rFonts w:cstheme="minorHAnsi"/>
          <w:bCs/>
        </w:rPr>
        <w:t xml:space="preserve">) 0.65 times the volume weighted average </w:t>
      </w:r>
      <w:r w:rsidR="00E45685" w:rsidRPr="00B86DBA">
        <w:rPr>
          <w:rFonts w:cstheme="minorHAnsi"/>
          <w:bCs/>
        </w:rPr>
        <w:t xml:space="preserve">trading price of the </w:t>
      </w:r>
      <w:r w:rsidR="00D05912" w:rsidRPr="00B86DBA">
        <w:rPr>
          <w:rFonts w:cstheme="minorHAnsi"/>
          <w:bCs/>
        </w:rPr>
        <w:t>shares of the Company for the five trading days prior to the</w:t>
      </w:r>
      <w:r w:rsidR="00625DA4" w:rsidRPr="00B86DBA">
        <w:rPr>
          <w:rFonts w:cstheme="minorHAnsi"/>
          <w:bCs/>
        </w:rPr>
        <w:t>ir</w:t>
      </w:r>
      <w:r w:rsidR="00D05912" w:rsidRPr="00B86DBA">
        <w:rPr>
          <w:rFonts w:cstheme="minorHAnsi"/>
          <w:bCs/>
        </w:rPr>
        <w:t xml:space="preserve"> date </w:t>
      </w:r>
      <w:r w:rsidR="00625DA4" w:rsidRPr="00B86DBA">
        <w:rPr>
          <w:rFonts w:cstheme="minorHAnsi"/>
          <w:bCs/>
        </w:rPr>
        <w:t>of distribution</w:t>
      </w:r>
      <w:r w:rsidR="00D05912" w:rsidRPr="00B86DBA">
        <w:rPr>
          <w:rFonts w:cstheme="minorHAnsi"/>
          <w:bCs/>
        </w:rPr>
        <w:t>, and (ii) $0.05</w:t>
      </w:r>
      <w:r w:rsidR="009038DB" w:rsidRPr="00B86DBA">
        <w:rPr>
          <w:rFonts w:cstheme="minorHAnsi"/>
          <w:bCs/>
        </w:rPr>
        <w:t xml:space="preserve"> (the “</w:t>
      </w:r>
      <w:r w:rsidR="00CA48A7" w:rsidRPr="00B86DBA">
        <w:rPr>
          <w:rFonts w:cstheme="minorHAnsi"/>
          <w:bCs/>
        </w:rPr>
        <w:t xml:space="preserve">Purchaser </w:t>
      </w:r>
      <w:r w:rsidR="009038DB" w:rsidRPr="00B86DBA">
        <w:rPr>
          <w:rFonts w:cstheme="minorHAnsi"/>
          <w:bCs/>
        </w:rPr>
        <w:t>Discounted Share Price”)</w:t>
      </w:r>
      <w:r w:rsidR="00CA48A7" w:rsidRPr="00B86DBA">
        <w:rPr>
          <w:rFonts w:cstheme="minorHAnsi"/>
          <w:bCs/>
        </w:rPr>
        <w:t xml:space="preserve">. The Special </w:t>
      </w:r>
      <w:r w:rsidR="00984757" w:rsidRPr="00B86DBA">
        <w:rPr>
          <w:bCs/>
        </w:rPr>
        <w:t xml:space="preserve">Warrants </w:t>
      </w:r>
      <w:r w:rsidR="000D18D9" w:rsidRPr="00B86DBA">
        <w:rPr>
          <w:bCs/>
        </w:rPr>
        <w:t xml:space="preserve">will be held in trust by a special warrant trustee </w:t>
      </w:r>
      <w:r w:rsidR="00984757" w:rsidRPr="00B86DBA">
        <w:rPr>
          <w:bCs/>
        </w:rPr>
        <w:t xml:space="preserve">(the “Special Warrant Trustee”) </w:t>
      </w:r>
      <w:r w:rsidR="000D18D9" w:rsidRPr="00B86DBA">
        <w:rPr>
          <w:bCs/>
        </w:rPr>
        <w:t xml:space="preserve">until </w:t>
      </w:r>
      <w:r w:rsidR="00625DA4" w:rsidRPr="00B86DBA">
        <w:rPr>
          <w:bCs/>
        </w:rPr>
        <w:t xml:space="preserve">distributed upon </w:t>
      </w:r>
      <w:r w:rsidR="000D18D9" w:rsidRPr="00B86DBA">
        <w:rPr>
          <w:bCs/>
        </w:rPr>
        <w:t xml:space="preserve">the achievement </w:t>
      </w:r>
      <w:r w:rsidR="00307774" w:rsidRPr="00B86DBA">
        <w:rPr>
          <w:bCs/>
        </w:rPr>
        <w:t xml:space="preserve">by the </w:t>
      </w:r>
      <w:r w:rsidR="00625DA4" w:rsidRPr="00B86DBA">
        <w:rPr>
          <w:bCs/>
        </w:rPr>
        <w:t>Company following completion of the Acquisition</w:t>
      </w:r>
      <w:r w:rsidR="00307774" w:rsidRPr="00B86DBA">
        <w:rPr>
          <w:bCs/>
        </w:rPr>
        <w:t xml:space="preserve"> (the “Resulting Issuer”) </w:t>
      </w:r>
      <w:r w:rsidR="000D18D9" w:rsidRPr="00B86DBA">
        <w:rPr>
          <w:bCs/>
        </w:rPr>
        <w:t xml:space="preserve">of certain milestones </w:t>
      </w:r>
      <w:r w:rsidR="00D05912" w:rsidRPr="00B86DBA">
        <w:rPr>
          <w:bCs/>
        </w:rPr>
        <w:t xml:space="preserve">in the development of </w:t>
      </w:r>
      <w:proofErr w:type="spellStart"/>
      <w:r w:rsidR="00D05912" w:rsidRPr="00B86DBA">
        <w:rPr>
          <w:bCs/>
        </w:rPr>
        <w:t>Aduro</w:t>
      </w:r>
      <w:proofErr w:type="spellEnd"/>
      <w:r w:rsidR="00D05912" w:rsidRPr="00B86DBA">
        <w:rPr>
          <w:bCs/>
        </w:rPr>
        <w:t xml:space="preserve"> Energy’s business </w:t>
      </w:r>
      <w:r w:rsidR="00307774" w:rsidRPr="00B86DBA">
        <w:rPr>
          <w:bCs/>
        </w:rPr>
        <w:t xml:space="preserve">(the “Milestones”) </w:t>
      </w:r>
      <w:r w:rsidR="00984757" w:rsidRPr="00B86DBA">
        <w:rPr>
          <w:bCs/>
        </w:rPr>
        <w:t xml:space="preserve">as </w:t>
      </w:r>
      <w:r w:rsidR="00307774" w:rsidRPr="00B86DBA">
        <w:rPr>
          <w:bCs/>
        </w:rPr>
        <w:t xml:space="preserve">set out </w:t>
      </w:r>
      <w:r w:rsidR="000D18D9" w:rsidRPr="00B86DBA">
        <w:rPr>
          <w:bCs/>
        </w:rPr>
        <w:t>in the Agreement</w:t>
      </w:r>
      <w:r w:rsidR="00307774" w:rsidRPr="00B86DBA">
        <w:rPr>
          <w:bCs/>
        </w:rPr>
        <w:t xml:space="preserve">. </w:t>
      </w:r>
    </w:p>
    <w:p w14:paraId="2D87D16D" w14:textId="5010EEC2" w:rsidR="004A2007" w:rsidRPr="00B86DBA" w:rsidRDefault="00625DA4" w:rsidP="004A2007">
      <w:pPr>
        <w:spacing w:before="240" w:after="0" w:line="240" w:lineRule="auto"/>
        <w:jc w:val="both"/>
        <w:rPr>
          <w:bCs/>
        </w:rPr>
      </w:pPr>
      <w:r w:rsidRPr="00B86DBA">
        <w:rPr>
          <w:bCs/>
        </w:rPr>
        <w:t>The first Milestone (the “First Milestone”), which must be achieved within 2 years of the Closing</w:t>
      </w:r>
      <w:r w:rsidR="004A2007" w:rsidRPr="00B86DBA">
        <w:rPr>
          <w:bCs/>
        </w:rPr>
        <w:t>,</w:t>
      </w:r>
      <w:r w:rsidRPr="00B86DBA">
        <w:rPr>
          <w:bCs/>
        </w:rPr>
        <w:t xml:space="preserve"> </w:t>
      </w:r>
      <w:r w:rsidR="004A2007" w:rsidRPr="00B86DBA">
        <w:rPr>
          <w:bCs/>
        </w:rPr>
        <w:t>means</w:t>
      </w:r>
      <w:r w:rsidRPr="00B86DBA">
        <w:rPr>
          <w:bCs/>
        </w:rPr>
        <w:t xml:space="preserve"> the Resulting Issuer operating </w:t>
      </w:r>
      <w:r w:rsidR="004A2007" w:rsidRPr="00B86DBA">
        <w:rPr>
          <w:bCs/>
          <w:lang w:val="en-US"/>
        </w:rPr>
        <w:t xml:space="preserve">a pre-pilot reactor system (the “Show Room Unit”) capable of successfully demonstrating the obtaining of “product”, meaning </w:t>
      </w:r>
      <w:r w:rsidR="004A2007" w:rsidRPr="00B86DBA">
        <w:rPr>
          <w:bCs/>
        </w:rPr>
        <w:t>lighter petroleum oil obtained by upgrading heavier petroleum feedstocks or its components, or deoxygenated hydrocarbons obtained from upgrading renewable oil feedstocks, or liquid hydrocarbons obtained by upgrading of certain plastic or rubber feedstocks</w:t>
      </w:r>
      <w:r w:rsidR="004A2007" w:rsidRPr="00B86DBA">
        <w:rPr>
          <w:bCs/>
          <w:lang w:val="en-US"/>
        </w:rPr>
        <w:t xml:space="preserve"> (the “Product”), by application of </w:t>
      </w:r>
      <w:r w:rsidR="00D03981" w:rsidRPr="00B86DBA">
        <w:rPr>
          <w:bCs/>
          <w:lang w:val="en-US"/>
        </w:rPr>
        <w:t xml:space="preserve">the </w:t>
      </w:r>
      <w:proofErr w:type="spellStart"/>
      <w:r w:rsidR="004A2007" w:rsidRPr="00B86DBA">
        <w:rPr>
          <w:bCs/>
          <w:lang w:val="en-US"/>
        </w:rPr>
        <w:t>Aduro</w:t>
      </w:r>
      <w:proofErr w:type="spellEnd"/>
      <w:r w:rsidR="004A2007" w:rsidRPr="00B86DBA">
        <w:rPr>
          <w:bCs/>
          <w:lang w:val="en-US"/>
        </w:rPr>
        <w:t xml:space="preserve"> Energy technology (the “Technology”). The operation of the Show Room Unit to obtain Product by application of the Technology must be independently </w:t>
      </w:r>
      <w:r w:rsidR="004A2007" w:rsidRPr="00B86DBA">
        <w:rPr>
          <w:bCs/>
        </w:rPr>
        <w:t xml:space="preserve">validated by Professor Paul Charpentier or such other independent third party agreed upon by the Company and </w:t>
      </w:r>
      <w:proofErr w:type="spellStart"/>
      <w:r w:rsidR="004A2007" w:rsidRPr="00B86DBA">
        <w:rPr>
          <w:bCs/>
        </w:rPr>
        <w:t>Aduro</w:t>
      </w:r>
      <w:proofErr w:type="spellEnd"/>
      <w:r w:rsidR="004A2007" w:rsidRPr="00B86DBA">
        <w:rPr>
          <w:bCs/>
        </w:rPr>
        <w:t xml:space="preserve"> Energy</w:t>
      </w:r>
      <w:r w:rsidRPr="00B86DBA">
        <w:rPr>
          <w:bCs/>
        </w:rPr>
        <w:t xml:space="preserve">. </w:t>
      </w:r>
    </w:p>
    <w:p w14:paraId="13C1F0D3" w14:textId="5FC698F8" w:rsidR="004A2007" w:rsidRPr="00B86DBA" w:rsidRDefault="00625DA4" w:rsidP="004A2007">
      <w:pPr>
        <w:spacing w:before="240" w:after="0" w:line="240" w:lineRule="auto"/>
        <w:jc w:val="both"/>
        <w:rPr>
          <w:bCs/>
        </w:rPr>
      </w:pPr>
      <w:r w:rsidRPr="00B86DBA">
        <w:rPr>
          <w:bCs/>
        </w:rPr>
        <w:lastRenderedPageBreak/>
        <w:t xml:space="preserve">The second Milestone (the “Second Milestone”) requires achievement of </w:t>
      </w:r>
      <w:r w:rsidR="004A2007" w:rsidRPr="00B86DBA">
        <w:rPr>
          <w:bCs/>
        </w:rPr>
        <w:t>any one or more of following</w:t>
      </w:r>
      <w:r w:rsidRPr="00B86DBA">
        <w:rPr>
          <w:bCs/>
        </w:rPr>
        <w:t xml:space="preserve"> </w:t>
      </w:r>
      <w:r w:rsidR="00984757" w:rsidRPr="00B86DBA">
        <w:rPr>
          <w:bCs/>
        </w:rPr>
        <w:t xml:space="preserve">additional </w:t>
      </w:r>
      <w:r w:rsidRPr="00B86DBA">
        <w:rPr>
          <w:bCs/>
        </w:rPr>
        <w:t>business objectives</w:t>
      </w:r>
      <w:r w:rsidR="00984757" w:rsidRPr="00B86DBA">
        <w:rPr>
          <w:bCs/>
        </w:rPr>
        <w:t xml:space="preserve"> </w:t>
      </w:r>
      <w:r w:rsidR="004A2007" w:rsidRPr="00B86DBA">
        <w:rPr>
          <w:bCs/>
        </w:rPr>
        <w:t xml:space="preserve">within 4 years of Closing: </w:t>
      </w:r>
    </w:p>
    <w:p w14:paraId="1E9F5619" w14:textId="77777777"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 xml:space="preserve">A completed financial transaction with an institution which clearly has the capacity to finance </w:t>
      </w:r>
      <w:proofErr w:type="spellStart"/>
      <w:r w:rsidRPr="00B86DBA">
        <w:rPr>
          <w:bCs/>
        </w:rPr>
        <w:t>Aduro</w:t>
      </w:r>
      <w:proofErr w:type="spellEnd"/>
      <w:r w:rsidRPr="00B86DBA">
        <w:rPr>
          <w:bCs/>
        </w:rPr>
        <w:t xml:space="preserve"> Energy’s majority owned commercial operation of a manufacturing plant producing Product for commercial sale;</w:t>
      </w:r>
      <w:bookmarkStart w:id="0" w:name="_DV_M143"/>
      <w:bookmarkEnd w:id="0"/>
      <w:r w:rsidRPr="00B86DBA">
        <w:rPr>
          <w:bCs/>
        </w:rPr>
        <w:t xml:space="preserve"> </w:t>
      </w:r>
    </w:p>
    <w:p w14:paraId="49613A01" w14:textId="61B6B8A6"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 xml:space="preserve">Product produced by a manufacturing plant owned in part by </w:t>
      </w:r>
      <w:proofErr w:type="spellStart"/>
      <w:r w:rsidRPr="00B86DBA">
        <w:rPr>
          <w:bCs/>
        </w:rPr>
        <w:t>Aduro</w:t>
      </w:r>
      <w:proofErr w:type="spellEnd"/>
      <w:r w:rsidRPr="00B86DBA">
        <w:rPr>
          <w:bCs/>
        </w:rPr>
        <w:t xml:space="preserve"> Energy where </w:t>
      </w:r>
      <w:proofErr w:type="spellStart"/>
      <w:r w:rsidRPr="00B86DBA">
        <w:rPr>
          <w:bCs/>
        </w:rPr>
        <w:t>Aduro</w:t>
      </w:r>
      <w:proofErr w:type="spellEnd"/>
      <w:r w:rsidRPr="00B86DBA">
        <w:rPr>
          <w:bCs/>
        </w:rPr>
        <w:t xml:space="preserve"> Energy’s portion of the plant’s equity is at least $2,000,000 greater than </w:t>
      </w:r>
      <w:proofErr w:type="spellStart"/>
      <w:r w:rsidRPr="00B86DBA">
        <w:rPr>
          <w:bCs/>
        </w:rPr>
        <w:t>Aduro</w:t>
      </w:r>
      <w:proofErr w:type="spellEnd"/>
      <w:r w:rsidRPr="00B86DBA">
        <w:rPr>
          <w:bCs/>
        </w:rPr>
        <w:t xml:space="preserve"> Energy’s investment;</w:t>
      </w:r>
      <w:bookmarkStart w:id="1" w:name="_DV_M144"/>
      <w:bookmarkEnd w:id="1"/>
      <w:r w:rsidRPr="00B86DBA">
        <w:rPr>
          <w:bCs/>
        </w:rPr>
        <w:t xml:space="preserve"> </w:t>
      </w:r>
    </w:p>
    <w:p w14:paraId="22B212EE" w14:textId="77777777"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 xml:space="preserve">A third party entering into a licence agreement with </w:t>
      </w:r>
      <w:proofErr w:type="spellStart"/>
      <w:r w:rsidRPr="00B86DBA">
        <w:rPr>
          <w:bCs/>
        </w:rPr>
        <w:t>Aduro</w:t>
      </w:r>
      <w:proofErr w:type="spellEnd"/>
      <w:r w:rsidRPr="00B86DBA">
        <w:rPr>
          <w:bCs/>
        </w:rPr>
        <w:t xml:space="preserve"> Energy in respect of the Technology which </w:t>
      </w:r>
      <w:proofErr w:type="spellStart"/>
      <w:r w:rsidRPr="00B86DBA">
        <w:rPr>
          <w:bCs/>
        </w:rPr>
        <w:t>Aduro</w:t>
      </w:r>
      <w:proofErr w:type="spellEnd"/>
      <w:r w:rsidRPr="00B86DBA">
        <w:rPr>
          <w:bCs/>
        </w:rPr>
        <w:t xml:space="preserve"> Energy and such third party estimate will generate at least $5,000,000 in revenue for </w:t>
      </w:r>
      <w:proofErr w:type="spellStart"/>
      <w:r w:rsidRPr="00B86DBA">
        <w:rPr>
          <w:bCs/>
        </w:rPr>
        <w:t>Aduro</w:t>
      </w:r>
      <w:proofErr w:type="spellEnd"/>
      <w:r w:rsidRPr="00B86DBA">
        <w:rPr>
          <w:bCs/>
        </w:rPr>
        <w:t xml:space="preserve"> Energy over a three year period;</w:t>
      </w:r>
      <w:bookmarkStart w:id="2" w:name="_DV_M145"/>
      <w:bookmarkEnd w:id="2"/>
      <w:r w:rsidRPr="00B86DBA">
        <w:rPr>
          <w:bCs/>
        </w:rPr>
        <w:t xml:space="preserve"> </w:t>
      </w:r>
    </w:p>
    <w:p w14:paraId="52E1F423" w14:textId="77777777"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A third party equity investment in the Resulting Issuer of at least $3,000,000 at a company pre-money valuation of $40,000,000 or more;</w:t>
      </w:r>
      <w:bookmarkStart w:id="3" w:name="_DV_M146"/>
      <w:bookmarkEnd w:id="3"/>
      <w:r w:rsidRPr="00B86DBA">
        <w:rPr>
          <w:bCs/>
        </w:rPr>
        <w:t xml:space="preserve"> </w:t>
      </w:r>
    </w:p>
    <w:p w14:paraId="7365C8AF" w14:textId="77777777"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The total market capitalization of the Resulting Issuer remaining at or above $65,000,000 for 19 out of any 20 consecutive trading days;</w:t>
      </w:r>
      <w:bookmarkStart w:id="4" w:name="_DV_M147"/>
      <w:bookmarkEnd w:id="4"/>
      <w:r w:rsidRPr="00B86DBA">
        <w:rPr>
          <w:bCs/>
        </w:rPr>
        <w:t xml:space="preserve"> </w:t>
      </w:r>
    </w:p>
    <w:p w14:paraId="61197D37" w14:textId="77777777" w:rsidR="004A2007" w:rsidRPr="00B86DBA" w:rsidRDefault="004A2007" w:rsidP="004A2007">
      <w:pPr>
        <w:pStyle w:val="ListParagraph"/>
        <w:numPr>
          <w:ilvl w:val="0"/>
          <w:numId w:val="5"/>
        </w:numPr>
        <w:spacing w:before="240" w:after="0" w:line="240" w:lineRule="auto"/>
        <w:jc w:val="both"/>
        <w:rPr>
          <w:bCs/>
        </w:rPr>
      </w:pPr>
      <w:r w:rsidRPr="00B86DBA">
        <w:rPr>
          <w:bCs/>
        </w:rPr>
        <w:t>The Resulting Issuer having completed a public offering or private placement raising at least $4,000,000 at a minimum price per share of $0.35, or a combination of grants, $0.35 share offering and other financing transaction raising at least $4,000,000; or</w:t>
      </w:r>
      <w:bookmarkStart w:id="5" w:name="_DV_M148"/>
      <w:bookmarkEnd w:id="5"/>
      <w:r w:rsidRPr="00B86DBA">
        <w:rPr>
          <w:bCs/>
        </w:rPr>
        <w:t xml:space="preserve"> </w:t>
      </w:r>
    </w:p>
    <w:p w14:paraId="2408D56D" w14:textId="19027F42" w:rsidR="004A2007" w:rsidRPr="00B86DBA" w:rsidRDefault="004A2007" w:rsidP="004A2007">
      <w:pPr>
        <w:pStyle w:val="ListParagraph"/>
        <w:numPr>
          <w:ilvl w:val="0"/>
          <w:numId w:val="5"/>
        </w:numPr>
        <w:spacing w:before="240" w:after="100" w:afterAutospacing="1" w:line="240" w:lineRule="auto"/>
        <w:jc w:val="both"/>
        <w:rPr>
          <w:bCs/>
        </w:rPr>
      </w:pPr>
      <w:r w:rsidRPr="00B86DBA">
        <w:rPr>
          <w:bCs/>
        </w:rPr>
        <w:t>A third party enters into an agreement to acquire all of the issued and outstanding Resulting Issuer Shares at a minimum value of $1.00 per share.</w:t>
      </w:r>
    </w:p>
    <w:p w14:paraId="42F46F99" w14:textId="60E75E9F" w:rsidR="000D18D9" w:rsidRPr="00B86DBA" w:rsidRDefault="00307774" w:rsidP="00307774">
      <w:pPr>
        <w:spacing w:before="240" w:after="0" w:line="240" w:lineRule="auto"/>
        <w:jc w:val="both"/>
        <w:rPr>
          <w:bCs/>
        </w:rPr>
      </w:pPr>
      <w:r w:rsidRPr="00B86DBA">
        <w:rPr>
          <w:bCs/>
        </w:rPr>
        <w:t>The Special Warrants</w:t>
      </w:r>
      <w:r w:rsidR="00625DA4" w:rsidRPr="00B86DBA">
        <w:rPr>
          <w:bCs/>
        </w:rPr>
        <w:t>, which will be divided equally into two classes</w:t>
      </w:r>
      <w:r w:rsidR="00984757" w:rsidRPr="00B86DBA">
        <w:rPr>
          <w:bCs/>
        </w:rPr>
        <w:t xml:space="preserve"> (respectively, the “Class A Special Warrants” and the “Class B Special Warrants”)</w:t>
      </w:r>
      <w:r w:rsidR="00625DA4" w:rsidRPr="00B86DBA">
        <w:rPr>
          <w:bCs/>
        </w:rPr>
        <w:t xml:space="preserve">, will be </w:t>
      </w:r>
      <w:r w:rsidR="000D18D9" w:rsidRPr="00B86DBA">
        <w:rPr>
          <w:bCs/>
        </w:rPr>
        <w:t xml:space="preserve">distributed </w:t>
      </w:r>
      <w:r w:rsidR="00984757" w:rsidRPr="00B86DBA">
        <w:rPr>
          <w:bCs/>
        </w:rPr>
        <w:t xml:space="preserve">by the Special Warrant Trustee </w:t>
      </w:r>
      <w:r w:rsidR="00625DA4" w:rsidRPr="00B86DBA">
        <w:rPr>
          <w:bCs/>
        </w:rPr>
        <w:t>upon achievement of th</w:t>
      </w:r>
      <w:r w:rsidR="00984757" w:rsidRPr="00B86DBA">
        <w:rPr>
          <w:bCs/>
        </w:rPr>
        <w:t>e</w:t>
      </w:r>
      <w:r w:rsidR="00625DA4" w:rsidRPr="00B86DBA">
        <w:rPr>
          <w:bCs/>
        </w:rPr>
        <w:t xml:space="preserve"> </w:t>
      </w:r>
      <w:r w:rsidR="00984757" w:rsidRPr="00B86DBA">
        <w:rPr>
          <w:bCs/>
        </w:rPr>
        <w:t xml:space="preserve">First Milestone, in the case of the Class A Special Warrants, </w:t>
      </w:r>
      <w:r w:rsidR="000D18D9" w:rsidRPr="00B86DBA">
        <w:rPr>
          <w:bCs/>
        </w:rPr>
        <w:t>to</w:t>
      </w:r>
      <w:r w:rsidR="00D5776E" w:rsidRPr="00B86DBA">
        <w:rPr>
          <w:bCs/>
        </w:rPr>
        <w:t>: (</w:t>
      </w:r>
      <w:proofErr w:type="spellStart"/>
      <w:r w:rsidR="00D5776E" w:rsidRPr="00B86DBA">
        <w:rPr>
          <w:bCs/>
        </w:rPr>
        <w:t>i</w:t>
      </w:r>
      <w:proofErr w:type="spellEnd"/>
      <w:r w:rsidR="00D5776E" w:rsidRPr="00B86DBA">
        <w:rPr>
          <w:bCs/>
        </w:rPr>
        <w:t>)</w:t>
      </w:r>
      <w:r w:rsidR="000D18D9" w:rsidRPr="00B86DBA">
        <w:rPr>
          <w:bCs/>
        </w:rPr>
        <w:t xml:space="preserve"> </w:t>
      </w:r>
      <w:r w:rsidR="00D5776E" w:rsidRPr="00B86DBA">
        <w:rPr>
          <w:bCs/>
        </w:rPr>
        <w:t xml:space="preserve">the </w:t>
      </w:r>
      <w:r w:rsidR="000D18D9" w:rsidRPr="00B86DBA">
        <w:rPr>
          <w:bCs/>
        </w:rPr>
        <w:t>holders of the Target Convertible Notes</w:t>
      </w:r>
      <w:r w:rsidR="009038DB" w:rsidRPr="00B86DBA">
        <w:rPr>
          <w:bCs/>
        </w:rPr>
        <w:t>,</w:t>
      </w:r>
      <w:r w:rsidR="000D18D9" w:rsidRPr="00B86DBA">
        <w:rPr>
          <w:bCs/>
        </w:rPr>
        <w:t xml:space="preserve"> </w:t>
      </w:r>
      <w:r w:rsidR="009038DB" w:rsidRPr="00B86DBA">
        <w:rPr>
          <w:bCs/>
        </w:rPr>
        <w:t xml:space="preserve">in accordance with a formula </w:t>
      </w:r>
      <w:r w:rsidR="00180C41" w:rsidRPr="00B86DBA">
        <w:rPr>
          <w:bCs/>
        </w:rPr>
        <w:t xml:space="preserve">(the “Special Warrants Formula”) </w:t>
      </w:r>
      <w:r w:rsidR="009038DB" w:rsidRPr="00B86DBA">
        <w:rPr>
          <w:bCs/>
        </w:rPr>
        <w:t>set out the in the Agreement to determine the number of Class A Special Warrants to be issued in exchange for each Target Convertible Note</w:t>
      </w:r>
      <w:r w:rsidR="00180C41" w:rsidRPr="00B86DBA">
        <w:rPr>
          <w:bCs/>
        </w:rPr>
        <w:t xml:space="preserve">, and </w:t>
      </w:r>
      <w:r w:rsidR="00D5776E" w:rsidRPr="00B86DBA">
        <w:rPr>
          <w:bCs/>
        </w:rPr>
        <w:t xml:space="preserve">(ii) </w:t>
      </w:r>
      <w:r w:rsidR="00180C41" w:rsidRPr="00B86DBA">
        <w:rPr>
          <w:bCs/>
        </w:rPr>
        <w:t>the Target Vendors</w:t>
      </w:r>
      <w:r w:rsidR="002A2CBB" w:rsidRPr="00B86DBA">
        <w:rPr>
          <w:bCs/>
        </w:rPr>
        <w:t xml:space="preserve"> pro rata in relation to their proportionate number of Consideration Shares</w:t>
      </w:r>
      <w:r w:rsidR="00180C41" w:rsidRPr="00B86DBA">
        <w:rPr>
          <w:bCs/>
        </w:rPr>
        <w:t>. The Special Warrants Formula</w:t>
      </w:r>
      <w:r w:rsidR="009038DB" w:rsidRPr="00B86DBA">
        <w:rPr>
          <w:bCs/>
        </w:rPr>
        <w:t xml:space="preserve"> shall be equal to the principal a</w:t>
      </w:r>
      <w:r w:rsidR="00180C41" w:rsidRPr="00B86DBA">
        <w:rPr>
          <w:bCs/>
        </w:rPr>
        <w:t xml:space="preserve">mount </w:t>
      </w:r>
      <w:r w:rsidR="009038DB" w:rsidRPr="00B86DBA">
        <w:rPr>
          <w:bCs/>
        </w:rPr>
        <w:t xml:space="preserve">plus unpaid interest </w:t>
      </w:r>
      <w:r w:rsidR="00180C41" w:rsidRPr="00B86DBA">
        <w:rPr>
          <w:bCs/>
        </w:rPr>
        <w:t xml:space="preserve">under </w:t>
      </w:r>
      <w:r w:rsidR="00D5776E" w:rsidRPr="00B86DBA">
        <w:rPr>
          <w:bCs/>
        </w:rPr>
        <w:t>each</w:t>
      </w:r>
      <w:r w:rsidR="00180C41" w:rsidRPr="00B86DBA">
        <w:rPr>
          <w:bCs/>
        </w:rPr>
        <w:t xml:space="preserve"> Target Convertible Note </w:t>
      </w:r>
      <w:r w:rsidR="009038DB" w:rsidRPr="00B86DBA">
        <w:rPr>
          <w:bCs/>
        </w:rPr>
        <w:t xml:space="preserve">divided by the </w:t>
      </w:r>
      <w:r w:rsidR="00CA48A7" w:rsidRPr="00B86DBA">
        <w:rPr>
          <w:bCs/>
        </w:rPr>
        <w:t xml:space="preserve">Purchaser </w:t>
      </w:r>
      <w:r w:rsidR="009038DB" w:rsidRPr="00B86DBA">
        <w:rPr>
          <w:bCs/>
        </w:rPr>
        <w:t>Discounted Share Price. T</w:t>
      </w:r>
      <w:r w:rsidR="00984757" w:rsidRPr="00B86DBA">
        <w:rPr>
          <w:bCs/>
        </w:rPr>
        <w:t>he Class B Special Warrants</w:t>
      </w:r>
      <w:r w:rsidR="009038DB" w:rsidRPr="00B86DBA">
        <w:rPr>
          <w:bCs/>
        </w:rPr>
        <w:t xml:space="preserve"> will be distributed, </w:t>
      </w:r>
      <w:r w:rsidR="00984757" w:rsidRPr="00B86DBA">
        <w:rPr>
          <w:bCs/>
        </w:rPr>
        <w:t>on achievement of the First Milestone,</w:t>
      </w:r>
      <w:r w:rsidR="00D05912" w:rsidRPr="00B86DBA">
        <w:rPr>
          <w:bCs/>
        </w:rPr>
        <w:t xml:space="preserve"> </w:t>
      </w:r>
      <w:r w:rsidR="00625DA4" w:rsidRPr="00B86DBA">
        <w:rPr>
          <w:bCs/>
        </w:rPr>
        <w:t>to</w:t>
      </w:r>
      <w:r w:rsidR="00D05912" w:rsidRPr="00B86DBA">
        <w:rPr>
          <w:bCs/>
        </w:rPr>
        <w:t xml:space="preserve"> the Target Vendors pro rata in relation to the </w:t>
      </w:r>
      <w:r w:rsidR="002A2CBB" w:rsidRPr="00B86DBA">
        <w:rPr>
          <w:bCs/>
        </w:rPr>
        <w:t xml:space="preserve">their proportionate </w:t>
      </w:r>
      <w:r w:rsidR="00D05912" w:rsidRPr="00B86DBA">
        <w:rPr>
          <w:bCs/>
        </w:rPr>
        <w:t>number of Consideration Shares</w:t>
      </w:r>
      <w:r w:rsidR="00625DA4" w:rsidRPr="00B86DBA">
        <w:rPr>
          <w:bCs/>
        </w:rPr>
        <w:t xml:space="preserve">. The Special Warrants will be exchanged for shares in the Resulting Issuer </w:t>
      </w:r>
      <w:r w:rsidR="00C603A7" w:rsidRPr="00B86DBA">
        <w:rPr>
          <w:bCs/>
        </w:rPr>
        <w:t xml:space="preserve">(the “Special Warrant Shares”) </w:t>
      </w:r>
      <w:r w:rsidR="00625DA4" w:rsidRPr="00B86DBA">
        <w:rPr>
          <w:bCs/>
        </w:rPr>
        <w:t>on a one-for-one basis</w:t>
      </w:r>
      <w:r w:rsidR="00984757" w:rsidRPr="00B86DBA">
        <w:rPr>
          <w:bCs/>
        </w:rPr>
        <w:t xml:space="preserve"> on the occurrence of the First Milestone, in the case of the Class A Special Warrants, and on the occurrence of the Second Milestone, in the case of the Class B Special Warrants</w:t>
      </w:r>
      <w:r w:rsidR="00D05912" w:rsidRPr="00B86DBA">
        <w:rPr>
          <w:bCs/>
        </w:rPr>
        <w:t xml:space="preserve">. </w:t>
      </w:r>
    </w:p>
    <w:p w14:paraId="5D636C1B" w14:textId="7FD7DA8E" w:rsidR="00625DA4" w:rsidRPr="00B86DBA" w:rsidRDefault="000D18D9" w:rsidP="000D18D9">
      <w:pPr>
        <w:spacing w:before="240" w:after="0" w:line="240" w:lineRule="auto"/>
        <w:jc w:val="both"/>
        <w:rPr>
          <w:bCs/>
        </w:rPr>
      </w:pPr>
      <w:r w:rsidRPr="00B86DBA">
        <w:rPr>
          <w:bCs/>
        </w:rPr>
        <w:t xml:space="preserve">The Agreement includes </w:t>
      </w:r>
      <w:r w:rsidR="00625DA4" w:rsidRPr="00B86DBA">
        <w:rPr>
          <w:bCs/>
        </w:rPr>
        <w:t xml:space="preserve">a </w:t>
      </w:r>
      <w:r w:rsidRPr="00B86DBA">
        <w:rPr>
          <w:bCs/>
        </w:rPr>
        <w:t xml:space="preserve">protection plan in respect of the First Milestone (the “First Milestone Protection Plan”), pursuant to which if within 3 months of completing the First Milestone the </w:t>
      </w:r>
      <w:r w:rsidR="00625DA4" w:rsidRPr="00B86DBA">
        <w:rPr>
          <w:bCs/>
        </w:rPr>
        <w:t>Resulting Issuer has</w:t>
      </w:r>
      <w:r w:rsidRPr="00B86DBA">
        <w:rPr>
          <w:bCs/>
        </w:rPr>
        <w:t xml:space="preserve"> not completed a financing </w:t>
      </w:r>
      <w:r w:rsidR="00625DA4" w:rsidRPr="00B86DBA">
        <w:rPr>
          <w:bCs/>
        </w:rPr>
        <w:t xml:space="preserve">(the “First Financing”) </w:t>
      </w:r>
      <w:r w:rsidRPr="00B86DBA">
        <w:rPr>
          <w:bCs/>
        </w:rPr>
        <w:t xml:space="preserve">resulting in gross proceeds of at least $2.5 million at a share price of </w:t>
      </w:r>
      <w:r w:rsidR="00625DA4" w:rsidRPr="00B86DBA">
        <w:rPr>
          <w:bCs/>
        </w:rPr>
        <w:t xml:space="preserve">at least </w:t>
      </w:r>
      <w:r w:rsidRPr="00B86DBA">
        <w:rPr>
          <w:bCs/>
        </w:rPr>
        <w:t>$0.18 per share</w:t>
      </w:r>
      <w:r w:rsidR="00625DA4" w:rsidRPr="00B86DBA">
        <w:rPr>
          <w:bCs/>
        </w:rPr>
        <w:t>,</w:t>
      </w:r>
      <w:r w:rsidRPr="00B86DBA">
        <w:rPr>
          <w:bCs/>
        </w:rPr>
        <w:t xml:space="preserve"> then </w:t>
      </w:r>
      <w:r w:rsidR="00984757" w:rsidRPr="00B86DBA">
        <w:rPr>
          <w:bCs/>
        </w:rPr>
        <w:t xml:space="preserve">a total of </w:t>
      </w:r>
      <w:r w:rsidR="00625DA4" w:rsidRPr="00B86DBA">
        <w:rPr>
          <w:rFonts w:ascii="Calibri" w:hAnsi="Calibri"/>
          <w:bCs/>
        </w:rPr>
        <w:t xml:space="preserve">9,708,000 </w:t>
      </w:r>
      <w:r w:rsidRPr="00B86DBA">
        <w:rPr>
          <w:rFonts w:ascii="Calibri" w:hAnsi="Calibri"/>
          <w:bCs/>
        </w:rPr>
        <w:t>common shares of the Resulting Issuer and/or options to acquire common shares of the Resulting Issuer</w:t>
      </w:r>
      <w:r w:rsidR="00625DA4" w:rsidRPr="00B86DBA">
        <w:rPr>
          <w:rFonts w:ascii="Calibri" w:hAnsi="Calibri"/>
          <w:bCs/>
        </w:rPr>
        <w:t xml:space="preserve"> </w:t>
      </w:r>
      <w:r w:rsidR="00625DA4" w:rsidRPr="00B86DBA">
        <w:rPr>
          <w:bCs/>
        </w:rPr>
        <w:t xml:space="preserve">(the “First Milestone Restricted Shares”), which are </w:t>
      </w:r>
      <w:r w:rsidRPr="00B86DBA">
        <w:rPr>
          <w:rFonts w:ascii="Calibri" w:hAnsi="Calibri"/>
          <w:bCs/>
        </w:rPr>
        <w:t xml:space="preserve">held by the </w:t>
      </w:r>
      <w:proofErr w:type="spellStart"/>
      <w:r w:rsidRPr="00B86DBA">
        <w:rPr>
          <w:rFonts w:ascii="Calibri" w:hAnsi="Calibri"/>
          <w:bCs/>
        </w:rPr>
        <w:t>Zimtu</w:t>
      </w:r>
      <w:proofErr w:type="spellEnd"/>
      <w:r w:rsidRPr="00B86DBA">
        <w:rPr>
          <w:rFonts w:ascii="Calibri" w:hAnsi="Calibri"/>
          <w:bCs/>
        </w:rPr>
        <w:t xml:space="preserve"> </w:t>
      </w:r>
      <w:r w:rsidR="00625DA4" w:rsidRPr="00B86DBA">
        <w:rPr>
          <w:rFonts w:ascii="Calibri" w:hAnsi="Calibri"/>
          <w:bCs/>
        </w:rPr>
        <w:t xml:space="preserve">Capital Corp. </w:t>
      </w:r>
      <w:r w:rsidR="00E45685" w:rsidRPr="00B86DBA">
        <w:rPr>
          <w:rFonts w:ascii="Calibri" w:hAnsi="Calibri"/>
          <w:bCs/>
        </w:rPr>
        <w:t>(“</w:t>
      </w:r>
      <w:proofErr w:type="spellStart"/>
      <w:r w:rsidR="00E45685" w:rsidRPr="00B86DBA">
        <w:rPr>
          <w:rFonts w:ascii="Calibri" w:hAnsi="Calibri"/>
          <w:bCs/>
        </w:rPr>
        <w:t>Zimtu</w:t>
      </w:r>
      <w:proofErr w:type="spellEnd"/>
      <w:r w:rsidR="00E45685" w:rsidRPr="00B86DBA">
        <w:rPr>
          <w:rFonts w:ascii="Calibri" w:hAnsi="Calibri"/>
          <w:bCs/>
        </w:rPr>
        <w:t xml:space="preserve">”) </w:t>
      </w:r>
      <w:r w:rsidR="00625DA4" w:rsidRPr="00B86DBA">
        <w:rPr>
          <w:rFonts w:ascii="Calibri" w:hAnsi="Calibri"/>
          <w:bCs/>
        </w:rPr>
        <w:t>and/or its subsidiaries or affiliates</w:t>
      </w:r>
      <w:r w:rsidRPr="00B86DBA">
        <w:rPr>
          <w:bCs/>
        </w:rPr>
        <w:t xml:space="preserve"> </w:t>
      </w:r>
      <w:r w:rsidR="00625DA4" w:rsidRPr="00B86DBA">
        <w:rPr>
          <w:bCs/>
        </w:rPr>
        <w:t>(the “</w:t>
      </w:r>
      <w:proofErr w:type="spellStart"/>
      <w:r w:rsidR="00625DA4" w:rsidRPr="00B86DBA">
        <w:rPr>
          <w:bCs/>
        </w:rPr>
        <w:t>Zimtu</w:t>
      </w:r>
      <w:proofErr w:type="spellEnd"/>
      <w:r w:rsidR="00625DA4" w:rsidRPr="00B86DBA">
        <w:rPr>
          <w:bCs/>
        </w:rPr>
        <w:t xml:space="preserve"> Group”), will </w:t>
      </w:r>
      <w:r w:rsidRPr="00B86DBA">
        <w:rPr>
          <w:bCs/>
        </w:rPr>
        <w:t xml:space="preserve">be purchased </w:t>
      </w:r>
      <w:r w:rsidR="00C603A7" w:rsidRPr="00B86DBA">
        <w:rPr>
          <w:bCs/>
        </w:rPr>
        <w:t xml:space="preserve">and cancelled </w:t>
      </w:r>
      <w:r w:rsidRPr="00B86DBA">
        <w:rPr>
          <w:bCs/>
        </w:rPr>
        <w:t xml:space="preserve">by the Company for an aggregate </w:t>
      </w:r>
      <w:r w:rsidR="00C603A7" w:rsidRPr="00B86DBA">
        <w:rPr>
          <w:bCs/>
        </w:rPr>
        <w:t>amount</w:t>
      </w:r>
      <w:r w:rsidR="00625DA4" w:rsidRPr="00B86DBA">
        <w:rPr>
          <w:bCs/>
        </w:rPr>
        <w:t xml:space="preserve"> of $1.00, subject to </w:t>
      </w:r>
      <w:r w:rsidR="00C603A7" w:rsidRPr="00B86DBA">
        <w:rPr>
          <w:bCs/>
        </w:rPr>
        <w:t xml:space="preserve">a three month </w:t>
      </w:r>
      <w:r w:rsidR="00625DA4" w:rsidRPr="00B86DBA">
        <w:rPr>
          <w:bCs/>
        </w:rPr>
        <w:t>extension for additional closings of the First Financing, and subject to a formula for reduction of the number of First Milestone Restricted Shares to be purchased if less than $2.5 million but more than $1.25 million</w:t>
      </w:r>
      <w:r w:rsidR="00C603A7" w:rsidRPr="00B86DBA">
        <w:rPr>
          <w:bCs/>
        </w:rPr>
        <w:t xml:space="preserve"> is raised in the First Financing</w:t>
      </w:r>
      <w:r w:rsidR="00625DA4" w:rsidRPr="00B86DBA">
        <w:rPr>
          <w:bCs/>
        </w:rPr>
        <w:t xml:space="preserve">, </w:t>
      </w:r>
      <w:r w:rsidR="00625DA4" w:rsidRPr="00B86DBA">
        <w:rPr>
          <w:rFonts w:ascii="Calibri" w:hAnsi="Calibri" w:cs="Times New Roman"/>
          <w:bCs/>
          <w:lang w:val="en-GB"/>
        </w:rPr>
        <w:t xml:space="preserve">in which </w:t>
      </w:r>
      <w:r w:rsidR="00C603A7" w:rsidRPr="00B86DBA">
        <w:rPr>
          <w:rFonts w:ascii="Calibri" w:hAnsi="Calibri" w:cs="Times New Roman"/>
          <w:bCs/>
          <w:lang w:val="en-GB"/>
        </w:rPr>
        <w:t>case the number of First Milestone Restricted Shares to be purchased is reduced in proportion to the amount actually raised</w:t>
      </w:r>
      <w:r w:rsidR="00625DA4" w:rsidRPr="00B86DBA">
        <w:rPr>
          <w:rFonts w:ascii="Calibri" w:hAnsi="Calibri" w:cs="Times New Roman"/>
          <w:bCs/>
          <w:lang w:val="en-GB"/>
        </w:rPr>
        <w:t xml:space="preserve">. However, if the Resulting Issuer determines before a certain date that it does not need to raise </w:t>
      </w:r>
      <w:r w:rsidR="00625DA4" w:rsidRPr="00B86DBA">
        <w:rPr>
          <w:rFonts w:ascii="Calibri" w:hAnsi="Calibri" w:cs="Times New Roman"/>
          <w:bCs/>
          <w:lang w:val="en-GB"/>
        </w:rPr>
        <w:lastRenderedPageBreak/>
        <w:t xml:space="preserve">additional capital through issuances of securities requiring </w:t>
      </w:r>
      <w:proofErr w:type="spellStart"/>
      <w:r w:rsidR="00625DA4" w:rsidRPr="00B86DBA">
        <w:rPr>
          <w:rFonts w:ascii="Calibri" w:hAnsi="Calibri" w:cs="Times New Roman"/>
          <w:bCs/>
          <w:lang w:val="en-GB"/>
        </w:rPr>
        <w:t>Zimtu</w:t>
      </w:r>
      <w:proofErr w:type="spellEnd"/>
      <w:r w:rsidR="00625DA4" w:rsidRPr="00B86DBA">
        <w:rPr>
          <w:rFonts w:ascii="Calibri" w:hAnsi="Calibri" w:cs="Times New Roman"/>
          <w:bCs/>
          <w:lang w:val="en-GB"/>
        </w:rPr>
        <w:t xml:space="preserve"> to act as broker or finder, then no First Milestone Restricted Shares </w:t>
      </w:r>
      <w:r w:rsidR="00C603A7" w:rsidRPr="00B86DBA">
        <w:rPr>
          <w:rFonts w:ascii="Calibri" w:hAnsi="Calibri" w:cs="Times New Roman"/>
          <w:bCs/>
          <w:lang w:val="en-GB"/>
        </w:rPr>
        <w:t>will</w:t>
      </w:r>
      <w:r w:rsidR="00625DA4" w:rsidRPr="00B86DBA">
        <w:rPr>
          <w:rFonts w:ascii="Calibri" w:hAnsi="Calibri" w:cs="Times New Roman"/>
          <w:bCs/>
          <w:lang w:val="en-GB"/>
        </w:rPr>
        <w:t xml:space="preserve"> be repurchased.</w:t>
      </w:r>
    </w:p>
    <w:p w14:paraId="626E67D6" w14:textId="2074B5E3" w:rsidR="000D18D9" w:rsidRPr="00B86DBA" w:rsidRDefault="000D18D9" w:rsidP="000D18D9">
      <w:pPr>
        <w:spacing w:before="240" w:after="0" w:line="240" w:lineRule="auto"/>
        <w:jc w:val="both"/>
        <w:rPr>
          <w:bCs/>
        </w:rPr>
      </w:pPr>
      <w:r w:rsidRPr="00B86DBA">
        <w:rPr>
          <w:bCs/>
        </w:rPr>
        <w:t>The Agreement also includes a protection plan in respect of the Second Milestone (the “Second Milestone</w:t>
      </w:r>
      <w:r w:rsidR="00625DA4" w:rsidRPr="00B86DBA">
        <w:rPr>
          <w:bCs/>
        </w:rPr>
        <w:t xml:space="preserve"> Protection Plan</w:t>
      </w:r>
      <w:r w:rsidRPr="00B86DBA">
        <w:rPr>
          <w:bCs/>
        </w:rPr>
        <w:t xml:space="preserve">”), pursuant to which if within 3 months of completing the Second Milestone the </w:t>
      </w:r>
      <w:r w:rsidR="00625DA4" w:rsidRPr="00B86DBA">
        <w:rPr>
          <w:bCs/>
        </w:rPr>
        <w:t>R</w:t>
      </w:r>
      <w:r w:rsidRPr="00B86DBA">
        <w:rPr>
          <w:bCs/>
        </w:rPr>
        <w:t xml:space="preserve">esulting </w:t>
      </w:r>
      <w:r w:rsidR="00625DA4" w:rsidRPr="00B86DBA">
        <w:rPr>
          <w:bCs/>
        </w:rPr>
        <w:t>I</w:t>
      </w:r>
      <w:r w:rsidRPr="00B86DBA">
        <w:rPr>
          <w:bCs/>
        </w:rPr>
        <w:t>ssuer has not completed a second financing</w:t>
      </w:r>
      <w:r w:rsidR="00625DA4" w:rsidRPr="00B86DBA">
        <w:rPr>
          <w:bCs/>
        </w:rPr>
        <w:t xml:space="preserve"> (the “Second Financing”)</w:t>
      </w:r>
      <w:r w:rsidRPr="00B86DBA">
        <w:rPr>
          <w:bCs/>
        </w:rPr>
        <w:t xml:space="preserve"> resulting in gross proceeds of $4.5 million at a share price of </w:t>
      </w:r>
      <w:r w:rsidR="00625DA4" w:rsidRPr="00B86DBA">
        <w:rPr>
          <w:bCs/>
        </w:rPr>
        <w:t>at least $0.30 per share, then (</w:t>
      </w:r>
      <w:proofErr w:type="spellStart"/>
      <w:r w:rsidR="00625DA4" w:rsidRPr="00B86DBA">
        <w:rPr>
          <w:bCs/>
        </w:rPr>
        <w:t>i</w:t>
      </w:r>
      <w:proofErr w:type="spellEnd"/>
      <w:r w:rsidR="00625DA4" w:rsidRPr="00B86DBA">
        <w:rPr>
          <w:bCs/>
        </w:rPr>
        <w:t xml:space="preserve">) </w:t>
      </w:r>
      <w:r w:rsidR="00625DA4" w:rsidRPr="00B86DBA">
        <w:rPr>
          <w:rFonts w:ascii="Calibri" w:hAnsi="Calibri"/>
          <w:bCs/>
          <w:spacing w:val="-3"/>
        </w:rPr>
        <w:t>if any of the First Milestone Restricted Shares were purchased by the Resulting Issuer, 907,150 common shares of the Resulting Issuer and/or options to acquire common shares of the Resulting Issuer</w:t>
      </w:r>
      <w:r w:rsidR="00C603A7" w:rsidRPr="00B86DBA">
        <w:rPr>
          <w:rFonts w:ascii="Calibri" w:hAnsi="Calibri"/>
          <w:bCs/>
          <w:spacing w:val="-3"/>
        </w:rPr>
        <w:t>,</w:t>
      </w:r>
      <w:r w:rsidR="00625DA4" w:rsidRPr="00B86DBA">
        <w:rPr>
          <w:rFonts w:ascii="Calibri" w:hAnsi="Calibri"/>
          <w:bCs/>
          <w:spacing w:val="-3"/>
        </w:rPr>
        <w:t xml:space="preserve"> </w:t>
      </w:r>
      <w:r w:rsidR="00C603A7" w:rsidRPr="00B86DBA">
        <w:rPr>
          <w:rFonts w:ascii="Calibri" w:hAnsi="Calibri"/>
          <w:bCs/>
          <w:spacing w:val="-3"/>
        </w:rPr>
        <w:t xml:space="preserve">which are </w:t>
      </w:r>
      <w:r w:rsidR="00625DA4" w:rsidRPr="00B86DBA">
        <w:rPr>
          <w:rFonts w:ascii="Calibri" w:hAnsi="Calibri"/>
          <w:bCs/>
          <w:spacing w:val="-3"/>
        </w:rPr>
        <w:t xml:space="preserve">held by the </w:t>
      </w:r>
      <w:proofErr w:type="spellStart"/>
      <w:r w:rsidR="00625DA4" w:rsidRPr="00B86DBA">
        <w:rPr>
          <w:rFonts w:ascii="Calibri" w:hAnsi="Calibri"/>
          <w:bCs/>
          <w:spacing w:val="-3"/>
        </w:rPr>
        <w:t>Zimtu</w:t>
      </w:r>
      <w:proofErr w:type="spellEnd"/>
      <w:r w:rsidR="00625DA4" w:rsidRPr="00B86DBA">
        <w:rPr>
          <w:rFonts w:ascii="Calibri" w:hAnsi="Calibri"/>
          <w:bCs/>
          <w:spacing w:val="-3"/>
        </w:rPr>
        <w:t xml:space="preserve"> Group</w:t>
      </w:r>
      <w:r w:rsidR="00C603A7" w:rsidRPr="00B86DBA">
        <w:rPr>
          <w:rFonts w:ascii="Calibri" w:hAnsi="Calibri"/>
          <w:bCs/>
          <w:spacing w:val="-3"/>
        </w:rPr>
        <w:t>,</w:t>
      </w:r>
      <w:r w:rsidR="00625DA4" w:rsidRPr="00B86DBA">
        <w:rPr>
          <w:rFonts w:ascii="Calibri" w:hAnsi="Calibri"/>
          <w:bCs/>
          <w:spacing w:val="-3"/>
        </w:rPr>
        <w:t xml:space="preserve"> and (ii) if none of the First Milestone Restricted Shares have not been purchased by the Resulting Issuer, 6,307,000 common shares of the Resulting Issuer and/or options to acquire common shares of the Resulting Issuer </w:t>
      </w:r>
      <w:r w:rsidR="00625DA4" w:rsidRPr="00B86DBA">
        <w:rPr>
          <w:bCs/>
        </w:rPr>
        <w:t>(the “Second Milestone Restricted Shares</w:t>
      </w:r>
      <w:r w:rsidR="00625DA4" w:rsidRPr="00B86DBA">
        <w:rPr>
          <w:rFonts w:ascii="Calibri" w:hAnsi="Calibri"/>
          <w:bCs/>
          <w:spacing w:val="-3"/>
        </w:rPr>
        <w:t>”)</w:t>
      </w:r>
      <w:r w:rsidR="00C603A7" w:rsidRPr="00B86DBA">
        <w:rPr>
          <w:rFonts w:ascii="Calibri" w:hAnsi="Calibri"/>
          <w:bCs/>
          <w:spacing w:val="-3"/>
        </w:rPr>
        <w:t>,</w:t>
      </w:r>
      <w:r w:rsidR="00625DA4" w:rsidRPr="00B86DBA">
        <w:rPr>
          <w:rFonts w:ascii="Calibri" w:hAnsi="Calibri"/>
          <w:bCs/>
          <w:spacing w:val="-3"/>
        </w:rPr>
        <w:t xml:space="preserve"> which are held by the </w:t>
      </w:r>
      <w:proofErr w:type="spellStart"/>
      <w:r w:rsidR="00625DA4" w:rsidRPr="00B86DBA">
        <w:rPr>
          <w:rFonts w:ascii="Calibri" w:hAnsi="Calibri"/>
          <w:bCs/>
          <w:spacing w:val="-3"/>
        </w:rPr>
        <w:t>Zimtu</w:t>
      </w:r>
      <w:proofErr w:type="spellEnd"/>
      <w:r w:rsidR="00625DA4" w:rsidRPr="00B86DBA">
        <w:rPr>
          <w:rFonts w:ascii="Calibri" w:hAnsi="Calibri"/>
          <w:bCs/>
          <w:spacing w:val="-3"/>
        </w:rPr>
        <w:t xml:space="preserve"> Group,</w:t>
      </w:r>
      <w:r w:rsidRPr="00B86DBA">
        <w:rPr>
          <w:bCs/>
        </w:rPr>
        <w:t xml:space="preserve"> </w:t>
      </w:r>
      <w:r w:rsidR="00625DA4" w:rsidRPr="00B86DBA">
        <w:rPr>
          <w:bCs/>
        </w:rPr>
        <w:t>will</w:t>
      </w:r>
      <w:r w:rsidRPr="00B86DBA">
        <w:rPr>
          <w:bCs/>
        </w:rPr>
        <w:t xml:space="preserve"> be purchased</w:t>
      </w:r>
      <w:r w:rsidR="00C603A7" w:rsidRPr="00B86DBA">
        <w:rPr>
          <w:bCs/>
        </w:rPr>
        <w:t xml:space="preserve"> and cancelled</w:t>
      </w:r>
      <w:r w:rsidRPr="00B86DBA">
        <w:rPr>
          <w:bCs/>
        </w:rPr>
        <w:t xml:space="preserve"> by the </w:t>
      </w:r>
      <w:r w:rsidR="00625DA4" w:rsidRPr="00B86DBA">
        <w:rPr>
          <w:bCs/>
        </w:rPr>
        <w:t>R</w:t>
      </w:r>
      <w:r w:rsidRPr="00B86DBA">
        <w:rPr>
          <w:bCs/>
        </w:rPr>
        <w:t xml:space="preserve">esulting </w:t>
      </w:r>
      <w:r w:rsidR="00625DA4" w:rsidRPr="00B86DBA">
        <w:rPr>
          <w:bCs/>
        </w:rPr>
        <w:t>I</w:t>
      </w:r>
      <w:r w:rsidRPr="00B86DBA">
        <w:rPr>
          <w:bCs/>
        </w:rPr>
        <w:t xml:space="preserve">ssuer, subject to </w:t>
      </w:r>
      <w:r w:rsidR="00C603A7" w:rsidRPr="00B86DBA">
        <w:rPr>
          <w:bCs/>
        </w:rPr>
        <w:t>a three month</w:t>
      </w:r>
      <w:r w:rsidRPr="00B86DBA">
        <w:rPr>
          <w:bCs/>
        </w:rPr>
        <w:t xml:space="preserve"> extension to close the </w:t>
      </w:r>
      <w:r w:rsidR="00625DA4" w:rsidRPr="00B86DBA">
        <w:rPr>
          <w:bCs/>
        </w:rPr>
        <w:t>S</w:t>
      </w:r>
      <w:r w:rsidRPr="00B86DBA">
        <w:rPr>
          <w:bCs/>
        </w:rPr>
        <w:t xml:space="preserve">econd </w:t>
      </w:r>
      <w:r w:rsidR="00625DA4" w:rsidRPr="00B86DBA">
        <w:rPr>
          <w:bCs/>
        </w:rPr>
        <w:t>F</w:t>
      </w:r>
      <w:r w:rsidRPr="00B86DBA">
        <w:rPr>
          <w:bCs/>
        </w:rPr>
        <w:t xml:space="preserve">inancing in additional closings, and subject to </w:t>
      </w:r>
      <w:r w:rsidR="00625DA4" w:rsidRPr="00B86DBA">
        <w:rPr>
          <w:bCs/>
        </w:rPr>
        <w:t xml:space="preserve">formula for </w:t>
      </w:r>
      <w:r w:rsidRPr="00B86DBA">
        <w:rPr>
          <w:bCs/>
        </w:rPr>
        <w:t>reduction of the number of Second Milestone Restricted Shares to be purchased if less than $4.5 million but more than $2.5 million</w:t>
      </w:r>
      <w:r w:rsidR="00C603A7" w:rsidRPr="00B86DBA">
        <w:rPr>
          <w:bCs/>
        </w:rPr>
        <w:t xml:space="preserve"> is raised in the Second Financing</w:t>
      </w:r>
      <w:r w:rsidRPr="00B86DBA">
        <w:rPr>
          <w:bCs/>
        </w:rPr>
        <w:t xml:space="preserve">, </w:t>
      </w:r>
      <w:r w:rsidR="00C603A7" w:rsidRPr="00B86DBA">
        <w:rPr>
          <w:rFonts w:ascii="Calibri" w:hAnsi="Calibri" w:cs="Times New Roman"/>
          <w:bCs/>
          <w:lang w:val="en-GB"/>
        </w:rPr>
        <w:t xml:space="preserve">in which case the number of Second Milestone Restricted Shares to be purchased is reduced in proportion to the amount actually raised. </w:t>
      </w:r>
      <w:r w:rsidRPr="00B86DBA">
        <w:rPr>
          <w:rFonts w:ascii="Calibri" w:hAnsi="Calibri" w:cs="Times New Roman"/>
          <w:bCs/>
          <w:lang w:val="en-GB"/>
        </w:rPr>
        <w:t xml:space="preserve">However, if the Resulting Issuer determines </w:t>
      </w:r>
      <w:r w:rsidR="00625DA4" w:rsidRPr="00B86DBA">
        <w:rPr>
          <w:rFonts w:ascii="Calibri" w:hAnsi="Calibri" w:cs="Times New Roman"/>
          <w:bCs/>
          <w:lang w:val="en-GB"/>
        </w:rPr>
        <w:t xml:space="preserve">before a certain date that </w:t>
      </w:r>
      <w:r w:rsidRPr="00B86DBA">
        <w:rPr>
          <w:rFonts w:ascii="Calibri" w:hAnsi="Calibri" w:cs="Times New Roman"/>
          <w:bCs/>
          <w:lang w:val="en-GB"/>
        </w:rPr>
        <w:t xml:space="preserve">it does not need to raise additional capital through issuances of securities requiring </w:t>
      </w:r>
      <w:proofErr w:type="spellStart"/>
      <w:r w:rsidRPr="00B86DBA">
        <w:rPr>
          <w:rFonts w:ascii="Calibri" w:hAnsi="Calibri" w:cs="Times New Roman"/>
          <w:bCs/>
          <w:lang w:val="en-GB"/>
        </w:rPr>
        <w:t>Zimtu</w:t>
      </w:r>
      <w:proofErr w:type="spellEnd"/>
      <w:r w:rsidRPr="00B86DBA">
        <w:rPr>
          <w:rFonts w:ascii="Calibri" w:hAnsi="Calibri" w:cs="Times New Roman"/>
          <w:bCs/>
          <w:lang w:val="en-GB"/>
        </w:rPr>
        <w:t xml:space="preserve"> to act as broker or finder, </w:t>
      </w:r>
      <w:r w:rsidR="00625DA4" w:rsidRPr="00B86DBA">
        <w:rPr>
          <w:rFonts w:ascii="Calibri" w:hAnsi="Calibri" w:cs="Times New Roman"/>
          <w:bCs/>
          <w:lang w:val="en-GB"/>
        </w:rPr>
        <w:t xml:space="preserve">then </w:t>
      </w:r>
      <w:r w:rsidRPr="00B86DBA">
        <w:rPr>
          <w:rFonts w:ascii="Calibri" w:hAnsi="Calibri" w:cs="Times New Roman"/>
          <w:bCs/>
          <w:lang w:val="en-GB"/>
        </w:rPr>
        <w:t xml:space="preserve">no Second Milestone Restricted Shares </w:t>
      </w:r>
      <w:r w:rsidR="00C603A7" w:rsidRPr="00B86DBA">
        <w:rPr>
          <w:rFonts w:ascii="Calibri" w:hAnsi="Calibri" w:cs="Times New Roman"/>
          <w:bCs/>
          <w:lang w:val="en-GB"/>
        </w:rPr>
        <w:t>will</w:t>
      </w:r>
      <w:r w:rsidRPr="00B86DBA">
        <w:rPr>
          <w:rFonts w:ascii="Calibri" w:hAnsi="Calibri" w:cs="Times New Roman"/>
          <w:bCs/>
          <w:lang w:val="en-GB"/>
        </w:rPr>
        <w:t xml:space="preserve"> be repurchased. </w:t>
      </w:r>
    </w:p>
    <w:p w14:paraId="213E439E" w14:textId="50D87182" w:rsidR="00C55125" w:rsidRPr="00B86DBA" w:rsidRDefault="00C55125" w:rsidP="000D18D9">
      <w:pPr>
        <w:spacing w:before="240" w:after="0" w:line="240" w:lineRule="auto"/>
        <w:jc w:val="both"/>
        <w:rPr>
          <w:bCs/>
        </w:rPr>
      </w:pPr>
      <w:r w:rsidRPr="00B86DBA">
        <w:rPr>
          <w:bCs/>
        </w:rPr>
        <w:t xml:space="preserve">In connection with </w:t>
      </w:r>
      <w:r w:rsidR="000D18D9" w:rsidRPr="00B86DBA">
        <w:rPr>
          <w:bCs/>
        </w:rPr>
        <w:t>and prior to the Closing</w:t>
      </w:r>
      <w:r w:rsidR="00C603A7" w:rsidRPr="00B86DBA">
        <w:rPr>
          <w:bCs/>
        </w:rPr>
        <w:t xml:space="preserve"> of the Acquisition</w:t>
      </w:r>
      <w:r w:rsidRPr="00B86DBA">
        <w:rPr>
          <w:bCs/>
        </w:rPr>
        <w:t xml:space="preserve">, the Company </w:t>
      </w:r>
      <w:r w:rsidR="000D18D9" w:rsidRPr="00B86DBA">
        <w:rPr>
          <w:bCs/>
        </w:rPr>
        <w:t>will advance a</w:t>
      </w:r>
      <w:r w:rsidRPr="00B86DBA">
        <w:rPr>
          <w:bCs/>
        </w:rPr>
        <w:t xml:space="preserve">n unsecured bridge loan in the amount of </w:t>
      </w:r>
      <w:r w:rsidR="000D18D9" w:rsidRPr="00B86DBA">
        <w:rPr>
          <w:bCs/>
        </w:rPr>
        <w:t xml:space="preserve">up to </w:t>
      </w:r>
      <w:r w:rsidRPr="00B86DBA">
        <w:rPr>
          <w:bCs/>
        </w:rPr>
        <w:t xml:space="preserve">$150,000 to </w:t>
      </w:r>
      <w:proofErr w:type="spellStart"/>
      <w:r w:rsidRPr="00B86DBA">
        <w:rPr>
          <w:bCs/>
        </w:rPr>
        <w:t>Aduro</w:t>
      </w:r>
      <w:proofErr w:type="spellEnd"/>
      <w:r w:rsidRPr="00B86DBA">
        <w:rPr>
          <w:bCs/>
        </w:rPr>
        <w:t xml:space="preserve"> Energy (the “Bridge Loan”)</w:t>
      </w:r>
      <w:r w:rsidR="000D18D9" w:rsidRPr="00B86DBA">
        <w:rPr>
          <w:bCs/>
        </w:rPr>
        <w:t>. On Closing, the Bridge Loan will be deemed to be an inter-company loan.</w:t>
      </w:r>
      <w:r w:rsidR="00C603A7" w:rsidRPr="00B86DBA">
        <w:rPr>
          <w:bCs/>
        </w:rPr>
        <w:t xml:space="preserve"> The proceeds of the Bridge Loan will be used by </w:t>
      </w:r>
      <w:proofErr w:type="spellStart"/>
      <w:r w:rsidR="00C603A7" w:rsidRPr="00B86DBA">
        <w:rPr>
          <w:bCs/>
        </w:rPr>
        <w:t>Aduro</w:t>
      </w:r>
      <w:proofErr w:type="spellEnd"/>
      <w:r w:rsidR="00C603A7" w:rsidRPr="00B86DBA">
        <w:rPr>
          <w:bCs/>
        </w:rPr>
        <w:t xml:space="preserve"> Energy for working capital to operate its business until completion of the Acquisition.</w:t>
      </w:r>
    </w:p>
    <w:p w14:paraId="6EFF723B" w14:textId="77777777" w:rsidR="00C55125" w:rsidRPr="00B21688" w:rsidRDefault="00C55125" w:rsidP="00C55125">
      <w:pPr>
        <w:spacing w:before="240" w:after="0" w:line="240" w:lineRule="auto"/>
        <w:jc w:val="both"/>
        <w:rPr>
          <w:bCs/>
          <w:u w:val="single"/>
        </w:rPr>
      </w:pPr>
      <w:r w:rsidRPr="00B21688">
        <w:rPr>
          <w:bCs/>
          <w:u w:val="single"/>
        </w:rPr>
        <w:t xml:space="preserve">Conditions </w:t>
      </w:r>
      <w:r>
        <w:rPr>
          <w:bCs/>
          <w:u w:val="single"/>
        </w:rPr>
        <w:t xml:space="preserve">to </w:t>
      </w:r>
      <w:r w:rsidRPr="00B21688">
        <w:rPr>
          <w:bCs/>
          <w:u w:val="single"/>
        </w:rPr>
        <w:t>the Acquisition</w:t>
      </w:r>
    </w:p>
    <w:p w14:paraId="58CE43A8" w14:textId="6B36F806" w:rsidR="00C55125" w:rsidRPr="00B86DBA" w:rsidRDefault="00C55125" w:rsidP="00C55125">
      <w:pPr>
        <w:spacing w:before="240" w:after="0" w:line="240" w:lineRule="auto"/>
        <w:jc w:val="both"/>
        <w:rPr>
          <w:bCs/>
        </w:rPr>
      </w:pPr>
      <w:r w:rsidRPr="00B86DBA">
        <w:rPr>
          <w:bCs/>
        </w:rPr>
        <w:t>Completion of the Acquisition remains subject to</w:t>
      </w:r>
      <w:r w:rsidR="00C603A7" w:rsidRPr="00B86DBA">
        <w:rPr>
          <w:bCs/>
        </w:rPr>
        <w:t xml:space="preserve"> a number of conditions including</w:t>
      </w:r>
      <w:r w:rsidR="000D18D9" w:rsidRPr="00B86DBA">
        <w:rPr>
          <w:bCs/>
        </w:rPr>
        <w:t xml:space="preserve">, among other things: completion </w:t>
      </w:r>
      <w:r w:rsidR="00C603A7" w:rsidRPr="00B86DBA">
        <w:rPr>
          <w:bCs/>
        </w:rPr>
        <w:t xml:space="preserve">by </w:t>
      </w:r>
      <w:proofErr w:type="spellStart"/>
      <w:r w:rsidR="00C603A7" w:rsidRPr="00B86DBA">
        <w:rPr>
          <w:bCs/>
        </w:rPr>
        <w:t>Aduro</w:t>
      </w:r>
      <w:proofErr w:type="spellEnd"/>
      <w:r w:rsidR="00C603A7" w:rsidRPr="00B86DBA">
        <w:rPr>
          <w:bCs/>
        </w:rPr>
        <w:t xml:space="preserve"> Energy and the Company of</w:t>
      </w:r>
      <w:r w:rsidR="000D18D9" w:rsidRPr="00B86DBA">
        <w:rPr>
          <w:bCs/>
        </w:rPr>
        <w:t xml:space="preserve"> </w:t>
      </w:r>
      <w:r w:rsidR="00C603A7" w:rsidRPr="00B86DBA">
        <w:rPr>
          <w:bCs/>
        </w:rPr>
        <w:t xml:space="preserve">a satisfactory </w:t>
      </w:r>
      <w:r w:rsidR="000D18D9" w:rsidRPr="00B86DBA">
        <w:rPr>
          <w:bCs/>
        </w:rPr>
        <w:t xml:space="preserve">due diligence review </w:t>
      </w:r>
      <w:r w:rsidR="00C603A7" w:rsidRPr="00B86DBA">
        <w:rPr>
          <w:bCs/>
        </w:rPr>
        <w:t>of the other party, respectively</w:t>
      </w:r>
      <w:r w:rsidR="000D18D9" w:rsidRPr="00B86DBA">
        <w:rPr>
          <w:bCs/>
        </w:rPr>
        <w:t>;</w:t>
      </w:r>
      <w:r w:rsidRPr="00B86DBA">
        <w:rPr>
          <w:bCs/>
        </w:rPr>
        <w:t xml:space="preserve"> conditional </w:t>
      </w:r>
      <w:r w:rsidR="000D18D9" w:rsidRPr="00B86DBA">
        <w:rPr>
          <w:bCs/>
        </w:rPr>
        <w:t xml:space="preserve">approval of the CSE; </w:t>
      </w:r>
      <w:r w:rsidRPr="00B86DBA">
        <w:rPr>
          <w:bCs/>
        </w:rPr>
        <w:t>approval of a majority of the shareholders of the Company</w:t>
      </w:r>
      <w:r w:rsidR="000D18D9" w:rsidRPr="00B86DBA">
        <w:rPr>
          <w:bCs/>
        </w:rPr>
        <w:t xml:space="preserve"> in respect of the Transaction;</w:t>
      </w:r>
      <w:r w:rsidRPr="00B86DBA">
        <w:rPr>
          <w:bCs/>
        </w:rPr>
        <w:t xml:space="preserve"> </w:t>
      </w:r>
      <w:r w:rsidR="000D18D9" w:rsidRPr="00B86DBA">
        <w:rPr>
          <w:bCs/>
        </w:rPr>
        <w:t xml:space="preserve">the Company, </w:t>
      </w:r>
      <w:proofErr w:type="spellStart"/>
      <w:r w:rsidR="000D18D9" w:rsidRPr="00B86DBA">
        <w:rPr>
          <w:bCs/>
        </w:rPr>
        <w:t>Zimtu</w:t>
      </w:r>
      <w:proofErr w:type="spellEnd"/>
      <w:r w:rsidR="000D18D9" w:rsidRPr="00B86DBA">
        <w:rPr>
          <w:bCs/>
        </w:rPr>
        <w:t xml:space="preserve"> </w:t>
      </w:r>
      <w:r w:rsidR="002A2CBB" w:rsidRPr="00B86DBA">
        <w:rPr>
          <w:bCs/>
        </w:rPr>
        <w:t xml:space="preserve">and each member of the </w:t>
      </w:r>
      <w:proofErr w:type="spellStart"/>
      <w:r w:rsidR="002A2CBB" w:rsidRPr="00B86DBA">
        <w:rPr>
          <w:bCs/>
        </w:rPr>
        <w:t>Zimtu</w:t>
      </w:r>
      <w:proofErr w:type="spellEnd"/>
      <w:r w:rsidR="002A2CBB" w:rsidRPr="00B86DBA">
        <w:rPr>
          <w:bCs/>
        </w:rPr>
        <w:t xml:space="preserve"> Group who owns any First Milestone Restricted Shares or Second Milestone Restricted Shares </w:t>
      </w:r>
      <w:r w:rsidR="000D18D9" w:rsidRPr="00B86DBA">
        <w:rPr>
          <w:bCs/>
        </w:rPr>
        <w:t xml:space="preserve">entering into </w:t>
      </w:r>
      <w:r w:rsidR="00C603A7" w:rsidRPr="00B86DBA">
        <w:rPr>
          <w:rFonts w:ascii="Calibri" w:hAnsi="Calibri" w:cs="Times New Roman"/>
          <w:bCs/>
        </w:rPr>
        <w:t>an agreement</w:t>
      </w:r>
      <w:r w:rsidR="000E0352" w:rsidRPr="00B86DBA">
        <w:rPr>
          <w:rFonts w:ascii="Calibri" w:hAnsi="Calibri" w:cs="Times New Roman"/>
          <w:bCs/>
        </w:rPr>
        <w:t xml:space="preserve"> (the “Restricted Share Agreement”)</w:t>
      </w:r>
      <w:r w:rsidR="00C603A7" w:rsidRPr="00B86DBA">
        <w:rPr>
          <w:rFonts w:ascii="Calibri" w:hAnsi="Calibri" w:cs="Times New Roman"/>
          <w:bCs/>
        </w:rPr>
        <w:t xml:space="preserve"> with respect to the </w:t>
      </w:r>
      <w:r w:rsidR="007D18A4" w:rsidRPr="00B86DBA">
        <w:rPr>
          <w:rFonts w:ascii="Calibri" w:hAnsi="Calibri" w:cs="Times New Roman"/>
          <w:bCs/>
        </w:rPr>
        <w:t xml:space="preserve">First Milestone Protection Plan and the Second Milestone Protection Plan which will provide that </w:t>
      </w:r>
      <w:proofErr w:type="spellStart"/>
      <w:r w:rsidR="007D18A4" w:rsidRPr="00B86DBA">
        <w:rPr>
          <w:rFonts w:ascii="Calibri" w:hAnsi="Calibri" w:cs="Times New Roman"/>
          <w:bCs/>
        </w:rPr>
        <w:t>Zimtu</w:t>
      </w:r>
      <w:proofErr w:type="spellEnd"/>
      <w:r w:rsidR="007D18A4" w:rsidRPr="00B86DBA">
        <w:rPr>
          <w:rFonts w:ascii="Calibri" w:hAnsi="Calibri" w:cs="Times New Roman"/>
          <w:bCs/>
        </w:rPr>
        <w:t xml:space="preserve"> may choose the </w:t>
      </w:r>
      <w:r w:rsidR="00C603A7" w:rsidRPr="00B86DBA">
        <w:rPr>
          <w:rFonts w:ascii="Calibri" w:hAnsi="Calibri" w:cs="Times New Roman"/>
          <w:bCs/>
        </w:rPr>
        <w:t>mix of shares/options to be purchased for cancellation</w:t>
      </w:r>
      <w:r w:rsidR="007D18A4" w:rsidRPr="00B86DBA">
        <w:rPr>
          <w:rFonts w:ascii="Calibri" w:hAnsi="Calibri" w:cs="Times New Roman"/>
          <w:bCs/>
        </w:rPr>
        <w:t xml:space="preserve"> thereunder</w:t>
      </w:r>
      <w:r w:rsidR="000D18D9" w:rsidRPr="00B86DBA">
        <w:rPr>
          <w:bCs/>
        </w:rPr>
        <w:t>;</w:t>
      </w:r>
      <w:r w:rsidR="00C603A7" w:rsidRPr="00B86DBA">
        <w:rPr>
          <w:bCs/>
        </w:rPr>
        <w:t xml:space="preserve"> the Company having at least $400,000 in net cash and cash equivalents (such amount subject to be reduced by any amounts advanced under the Bridge Loan in excess of $100,000); and </w:t>
      </w:r>
      <w:r w:rsidRPr="00B86DBA">
        <w:rPr>
          <w:bCs/>
        </w:rPr>
        <w:t>other conditions which are customary for transactions of this nature.</w:t>
      </w:r>
    </w:p>
    <w:p w14:paraId="7C067864" w14:textId="42D7EFFA" w:rsidR="00C55125" w:rsidRPr="00B86DBA" w:rsidRDefault="00C55125" w:rsidP="00C55125">
      <w:pPr>
        <w:spacing w:before="240" w:after="0" w:line="240" w:lineRule="auto"/>
        <w:jc w:val="both"/>
        <w:rPr>
          <w:bCs/>
        </w:rPr>
      </w:pPr>
      <w:r w:rsidRPr="00B86DBA">
        <w:rPr>
          <w:bCs/>
        </w:rPr>
        <w:t xml:space="preserve">The issuance of the Consideration Shares </w:t>
      </w:r>
      <w:r w:rsidR="00625DA4" w:rsidRPr="00B86DBA">
        <w:rPr>
          <w:bCs/>
        </w:rPr>
        <w:t xml:space="preserve">and the Special Warrants, including the </w:t>
      </w:r>
      <w:r w:rsidR="00C603A7" w:rsidRPr="00B86DBA">
        <w:rPr>
          <w:bCs/>
        </w:rPr>
        <w:t>Special Warrant Shares to be issued in exchange for the Special Warrants</w:t>
      </w:r>
      <w:r w:rsidR="00625DA4" w:rsidRPr="00B86DBA">
        <w:rPr>
          <w:bCs/>
        </w:rPr>
        <w:t xml:space="preserve">, </w:t>
      </w:r>
      <w:r w:rsidRPr="00B86DBA">
        <w:rPr>
          <w:bCs/>
        </w:rPr>
        <w:t xml:space="preserve">will be completed pursuant to available exemptions under applicable </w:t>
      </w:r>
      <w:r w:rsidR="00625DA4" w:rsidRPr="00B86DBA">
        <w:rPr>
          <w:bCs/>
        </w:rPr>
        <w:t>securities laws</w:t>
      </w:r>
      <w:r w:rsidRPr="00B86DBA">
        <w:rPr>
          <w:bCs/>
        </w:rPr>
        <w:t xml:space="preserve">. Consideration Shares </w:t>
      </w:r>
      <w:r w:rsidR="00625DA4" w:rsidRPr="00B86DBA">
        <w:rPr>
          <w:bCs/>
        </w:rPr>
        <w:t xml:space="preserve">and Special Warrant Shares which are </w:t>
      </w:r>
      <w:r w:rsidRPr="00B86DBA">
        <w:rPr>
          <w:bCs/>
        </w:rPr>
        <w:t xml:space="preserve">issued </w:t>
      </w:r>
      <w:r w:rsidR="00625DA4" w:rsidRPr="00B86DBA">
        <w:rPr>
          <w:bCs/>
        </w:rPr>
        <w:t xml:space="preserve">to </w:t>
      </w:r>
      <w:r w:rsidRPr="00B86DBA">
        <w:rPr>
          <w:bCs/>
        </w:rPr>
        <w:t xml:space="preserve">any Related Party (as such term is defined in the policies of the CSE) of the Resulting Issuer will be subject to an escrow agreement (the “Escrow Agreement”), to be effective as of the Closing. The Escrow Agreement will provide, among other things, that all </w:t>
      </w:r>
      <w:r w:rsidR="00625DA4" w:rsidRPr="00B86DBA">
        <w:rPr>
          <w:bCs/>
        </w:rPr>
        <w:t xml:space="preserve">Consideration Shares and Special Warrant Shares </w:t>
      </w:r>
      <w:r w:rsidRPr="00B86DBA">
        <w:rPr>
          <w:bCs/>
        </w:rPr>
        <w:t xml:space="preserve">held by Related Parties of the Resulting Issuer will be deposited into escrow with an escrow agent, to be determined by the Company and </w:t>
      </w:r>
      <w:proofErr w:type="spellStart"/>
      <w:r w:rsidRPr="00B86DBA">
        <w:rPr>
          <w:bCs/>
        </w:rPr>
        <w:t>Aduro</w:t>
      </w:r>
      <w:proofErr w:type="spellEnd"/>
      <w:r w:rsidRPr="00B86DBA">
        <w:rPr>
          <w:bCs/>
        </w:rPr>
        <w:t xml:space="preserve"> Energy, at the Closing </w:t>
      </w:r>
      <w:r w:rsidR="00C603A7" w:rsidRPr="00B86DBA">
        <w:rPr>
          <w:bCs/>
        </w:rPr>
        <w:t xml:space="preserve">(or upon achievement of the Milestones, in the case of the Special Warrant Shares) </w:t>
      </w:r>
      <w:r w:rsidRPr="00B86DBA">
        <w:rPr>
          <w:bCs/>
        </w:rPr>
        <w:t xml:space="preserve">to be released from escrow as follows: 10% on the date of re-listing on the CSE (the “Re-Listing Date”); 15% on the date that is six months from the Re-Listing Date; </w:t>
      </w:r>
      <w:r w:rsidRPr="00B86DBA">
        <w:rPr>
          <w:bCs/>
        </w:rPr>
        <w:lastRenderedPageBreak/>
        <w:t>15% on the date that is 12 months from the Re-Listing Date; 15% on the date that is 18 months from the Re-Listing Date; 15% on the date that is 24 months from the Re-Listing Date; 15% on the date that is 30 months from the Re-Listing Date; and 15% on the date that is 36 months from the Re-Listing Date.</w:t>
      </w:r>
    </w:p>
    <w:p w14:paraId="1F4597E8" w14:textId="37676DE8" w:rsidR="00C55125" w:rsidRPr="00B86DBA" w:rsidRDefault="00C55125" w:rsidP="00C55125">
      <w:pPr>
        <w:spacing w:before="240" w:after="0" w:line="240" w:lineRule="auto"/>
        <w:jc w:val="both"/>
        <w:rPr>
          <w:bCs/>
        </w:rPr>
      </w:pPr>
      <w:r w:rsidRPr="00B86DBA">
        <w:rPr>
          <w:bCs/>
        </w:rPr>
        <w:t xml:space="preserve">No finder’s fee will be paid in connection with the Acquisition. Closing of the proposed Transaction is expected to be on or before </w:t>
      </w:r>
      <w:r w:rsidR="0064700D" w:rsidRPr="00B86DBA">
        <w:rPr>
          <w:bCs/>
        </w:rPr>
        <w:t>December 31</w:t>
      </w:r>
      <w:r w:rsidRPr="00B86DBA">
        <w:rPr>
          <w:bCs/>
        </w:rPr>
        <w:t>, 2020.</w:t>
      </w:r>
    </w:p>
    <w:p w14:paraId="1D262A31" w14:textId="42ED6E60" w:rsidR="007763FA" w:rsidRPr="00B86DBA" w:rsidRDefault="007763FA" w:rsidP="007763FA">
      <w:pPr>
        <w:spacing w:before="240" w:after="0" w:line="240" w:lineRule="auto"/>
        <w:jc w:val="both"/>
        <w:rPr>
          <w:bCs/>
        </w:rPr>
      </w:pPr>
      <w:r w:rsidRPr="00B86DBA">
        <w:rPr>
          <w:bCs/>
        </w:rPr>
        <w:t xml:space="preserve">It is expected that, upon completion of the Acquisition, the former Target </w:t>
      </w:r>
      <w:r w:rsidR="000D18D9" w:rsidRPr="00B86DBA">
        <w:rPr>
          <w:bCs/>
        </w:rPr>
        <w:t>Vendors</w:t>
      </w:r>
      <w:r w:rsidRPr="00B86DBA">
        <w:rPr>
          <w:bCs/>
        </w:rPr>
        <w:t xml:space="preserve"> will own approximately </w:t>
      </w:r>
      <w:r w:rsidR="0064700D" w:rsidRPr="00B86DBA">
        <w:rPr>
          <w:bCs/>
        </w:rPr>
        <w:t>63%</w:t>
      </w:r>
      <w:r w:rsidRPr="00B86DBA">
        <w:rPr>
          <w:bCs/>
        </w:rPr>
        <w:t xml:space="preserve"> of the issued and outstanding common shares of the Resulting Issuer</w:t>
      </w:r>
      <w:r w:rsidR="00C603A7" w:rsidRPr="00B86DBA">
        <w:rPr>
          <w:bCs/>
        </w:rPr>
        <w:t>,</w:t>
      </w:r>
      <w:r w:rsidR="0064700D" w:rsidRPr="00B86DBA">
        <w:rPr>
          <w:bCs/>
        </w:rPr>
        <w:t xml:space="preserve"> excluding distribution and conversion of the Special Warrants.</w:t>
      </w:r>
    </w:p>
    <w:p w14:paraId="171E1A54" w14:textId="77777777" w:rsidR="00D82D39" w:rsidRDefault="002546B5" w:rsidP="00D82D39">
      <w:pPr>
        <w:spacing w:before="240" w:after="0" w:line="240" w:lineRule="auto"/>
        <w:jc w:val="both"/>
        <w:rPr>
          <w:rFonts w:cs="Calibri"/>
        </w:rPr>
      </w:pPr>
      <w:r>
        <w:rPr>
          <w:rFonts w:cs="Calibri"/>
          <w:u w:val="single"/>
        </w:rPr>
        <w:t xml:space="preserve">Appointment of New Chief Financial Officer </w:t>
      </w:r>
      <w:r w:rsidRPr="00B86DBA">
        <w:rPr>
          <w:rFonts w:cs="Calibri"/>
          <w:u w:val="single"/>
        </w:rPr>
        <w:t>(“CFO”)</w:t>
      </w:r>
      <w:r w:rsidR="00F51412">
        <w:rPr>
          <w:rFonts w:cs="Calibri"/>
          <w:u w:val="single"/>
        </w:rPr>
        <w:t xml:space="preserve"> and Secretary</w:t>
      </w:r>
    </w:p>
    <w:p w14:paraId="3334D5B1" w14:textId="5C21BB84" w:rsidR="006D1805" w:rsidRPr="00D82D39" w:rsidRDefault="00230E6E" w:rsidP="00D82D39">
      <w:pPr>
        <w:spacing w:before="240" w:after="0" w:line="240" w:lineRule="auto"/>
        <w:jc w:val="both"/>
        <w:rPr>
          <w:rFonts w:cs="Calibri"/>
        </w:rPr>
      </w:pPr>
      <w:r w:rsidRPr="006D1805">
        <w:rPr>
          <w:rFonts w:cstheme="minorHAnsi"/>
          <w:bCs/>
        </w:rPr>
        <w:t>Further to its news release on October 1, 2020, t</w:t>
      </w:r>
      <w:r w:rsidR="002546B5" w:rsidRPr="006D1805">
        <w:rPr>
          <w:rFonts w:cstheme="minorHAnsi"/>
          <w:bCs/>
        </w:rPr>
        <w:t xml:space="preserve">he Company is also pleased to announce the appointment of Daniel </w:t>
      </w:r>
      <w:proofErr w:type="spellStart"/>
      <w:r w:rsidR="002546B5" w:rsidRPr="006D1805">
        <w:rPr>
          <w:rFonts w:cstheme="minorHAnsi"/>
          <w:bCs/>
        </w:rPr>
        <w:t>Hejcman</w:t>
      </w:r>
      <w:proofErr w:type="spellEnd"/>
      <w:r w:rsidR="002546B5" w:rsidRPr="006D1805">
        <w:rPr>
          <w:rFonts w:cstheme="minorHAnsi"/>
          <w:bCs/>
        </w:rPr>
        <w:t xml:space="preserve"> of </w:t>
      </w:r>
      <w:r w:rsidR="006D1805" w:rsidRPr="006D1805">
        <w:rPr>
          <w:rFonts w:cstheme="minorHAnsi"/>
          <w:bCs/>
        </w:rPr>
        <w:t>Vancouver, BC</w:t>
      </w:r>
      <w:r w:rsidR="002546B5" w:rsidRPr="006D1805">
        <w:rPr>
          <w:rFonts w:cstheme="minorHAnsi"/>
          <w:bCs/>
        </w:rPr>
        <w:t xml:space="preserve"> as its </w:t>
      </w:r>
      <w:r w:rsidR="008757D1" w:rsidRPr="006D1805">
        <w:rPr>
          <w:rFonts w:cstheme="minorHAnsi"/>
          <w:bCs/>
        </w:rPr>
        <w:t xml:space="preserve">new </w:t>
      </w:r>
      <w:r w:rsidR="002546B5" w:rsidRPr="006D1805">
        <w:rPr>
          <w:rFonts w:cstheme="minorHAnsi"/>
          <w:bCs/>
        </w:rPr>
        <w:t>CFO</w:t>
      </w:r>
      <w:r w:rsidR="00F51412" w:rsidRPr="006D1805">
        <w:rPr>
          <w:rFonts w:cstheme="minorHAnsi"/>
          <w:bCs/>
        </w:rPr>
        <w:t xml:space="preserve"> and</w:t>
      </w:r>
      <w:r w:rsidR="008757D1" w:rsidRPr="006D1805">
        <w:rPr>
          <w:rFonts w:cstheme="minorHAnsi"/>
          <w:bCs/>
        </w:rPr>
        <w:t xml:space="preserve"> Secretary</w:t>
      </w:r>
      <w:r w:rsidR="002546B5" w:rsidRPr="006D1805">
        <w:rPr>
          <w:rFonts w:cstheme="minorHAnsi"/>
          <w:bCs/>
        </w:rPr>
        <w:t xml:space="preserve">. </w:t>
      </w:r>
      <w:r w:rsidR="006D1805" w:rsidRPr="006D1805">
        <w:rPr>
          <w:rFonts w:cstheme="minorHAnsi"/>
          <w:shd w:val="clear" w:color="auto" w:fill="FFFFFF"/>
        </w:rPr>
        <w:t xml:space="preserve">Daniel </w:t>
      </w:r>
      <w:proofErr w:type="spellStart"/>
      <w:r w:rsidR="006D1805" w:rsidRPr="006D1805">
        <w:rPr>
          <w:rFonts w:cstheme="minorHAnsi"/>
          <w:shd w:val="clear" w:color="auto" w:fill="FFFFFF"/>
        </w:rPr>
        <w:t>Hejcman</w:t>
      </w:r>
      <w:proofErr w:type="spellEnd"/>
      <w:r w:rsidR="006D1805" w:rsidRPr="006D1805">
        <w:rPr>
          <w:rFonts w:cstheme="minorHAnsi"/>
          <w:shd w:val="clear" w:color="auto" w:fill="FFFFFF"/>
        </w:rPr>
        <w:t xml:space="preserve"> is an experienced CFO with over twenty years background in oversight, accounting, and business development with some of Canada’s leading publicly-traded companies, such as WSP Global, KPMG, Reliance, and RBC Financial. Mr. </w:t>
      </w:r>
      <w:proofErr w:type="spellStart"/>
      <w:r w:rsidR="006D1805" w:rsidRPr="006D1805">
        <w:rPr>
          <w:rFonts w:cstheme="minorHAnsi"/>
          <w:shd w:val="clear" w:color="auto" w:fill="FFFFFF"/>
        </w:rPr>
        <w:t>Hejcman</w:t>
      </w:r>
      <w:proofErr w:type="spellEnd"/>
      <w:r w:rsidR="006D1805" w:rsidRPr="006D1805">
        <w:rPr>
          <w:rFonts w:cstheme="minorHAnsi"/>
          <w:shd w:val="clear" w:color="auto" w:fill="FFFFFF"/>
        </w:rPr>
        <w:t xml:space="preserve"> is known for his executive advisory, strategic planning, financial/accounting oversight, innovative ideas, capital raising, and team leadership. He is the </w:t>
      </w:r>
      <w:r w:rsidR="006D1805" w:rsidRPr="006D1805">
        <w:rPr>
          <w:rFonts w:cstheme="minorHAnsi"/>
        </w:rPr>
        <w:t xml:space="preserve">President of PEAK CPA Ltd, an executive CFO advisory public practice and served as CFO for various companies, such as Risk Hansen Institute, Peter Kiewit, WSP Global, and go-to-public companies. </w:t>
      </w:r>
      <w:r w:rsidR="006D1805" w:rsidRPr="006D1805">
        <w:rPr>
          <w:rFonts w:cstheme="minorHAnsi"/>
          <w:color w:val="000000" w:themeColor="text1"/>
        </w:rPr>
        <w:t>He has a Chartered Accountant Designation (CPA, CA) articling with KPMG, Bachelor of Commerce (</w:t>
      </w:r>
      <w:proofErr w:type="spellStart"/>
      <w:r w:rsidR="006D1805" w:rsidRPr="006D1805">
        <w:rPr>
          <w:rFonts w:cstheme="minorHAnsi"/>
          <w:color w:val="000000" w:themeColor="text1"/>
        </w:rPr>
        <w:t>B.Comm</w:t>
      </w:r>
      <w:proofErr w:type="spellEnd"/>
      <w:r w:rsidR="006D1805" w:rsidRPr="006D1805">
        <w:rPr>
          <w:rFonts w:cstheme="minorHAnsi"/>
          <w:color w:val="000000" w:themeColor="text1"/>
        </w:rPr>
        <w:t xml:space="preserve">) from University of Northern British Columbia, and Financial Planning Designation (PFP). </w:t>
      </w:r>
    </w:p>
    <w:p w14:paraId="312504C4" w14:textId="6E359ECE" w:rsidR="00C3677A" w:rsidRPr="00C3677A" w:rsidRDefault="00C3677A" w:rsidP="00C55125">
      <w:pPr>
        <w:spacing w:before="240" w:after="0" w:line="240" w:lineRule="auto"/>
        <w:jc w:val="both"/>
        <w:rPr>
          <w:rFonts w:cs="Calibri"/>
          <w:highlight w:val="yellow"/>
          <w:u w:val="single"/>
        </w:rPr>
      </w:pPr>
      <w:r w:rsidRPr="00C3677A">
        <w:rPr>
          <w:rFonts w:cs="Calibri"/>
          <w:u w:val="single"/>
        </w:rPr>
        <w:t>Resulting Issuer</w:t>
      </w:r>
      <w:r w:rsidR="00952344">
        <w:rPr>
          <w:rFonts w:cs="Calibri"/>
          <w:u w:val="single"/>
        </w:rPr>
        <w:t xml:space="preserve"> – </w:t>
      </w:r>
      <w:proofErr w:type="spellStart"/>
      <w:r w:rsidR="00952344">
        <w:rPr>
          <w:rFonts w:cs="Calibri"/>
          <w:u w:val="single"/>
        </w:rPr>
        <w:t>Aduro</w:t>
      </w:r>
      <w:proofErr w:type="spellEnd"/>
      <w:r w:rsidR="00952344">
        <w:rPr>
          <w:rFonts w:cs="Calibri"/>
          <w:u w:val="single"/>
        </w:rPr>
        <w:t xml:space="preserve"> Energy</w:t>
      </w:r>
    </w:p>
    <w:p w14:paraId="6497CC72" w14:textId="62F9FBFC" w:rsidR="00952344" w:rsidRPr="00C3677A" w:rsidRDefault="00C603A7" w:rsidP="00C55125">
      <w:pPr>
        <w:spacing w:before="240" w:after="0" w:line="240" w:lineRule="auto"/>
        <w:jc w:val="both"/>
        <w:rPr>
          <w:rFonts w:cs="Calibri"/>
        </w:rPr>
      </w:pPr>
      <w:r>
        <w:rPr>
          <w:bCs/>
        </w:rPr>
        <w:t>The Company intends that, following the Closing of the Acquisition, t</w:t>
      </w:r>
      <w:r w:rsidR="00625DA4">
        <w:rPr>
          <w:bCs/>
        </w:rPr>
        <w:t xml:space="preserve">he Resulting Issuer </w:t>
      </w:r>
      <w:r>
        <w:rPr>
          <w:rFonts w:cs="Calibri"/>
        </w:rPr>
        <w:t>will</w:t>
      </w:r>
      <w:r w:rsidR="00C3677A" w:rsidRPr="004B2961">
        <w:rPr>
          <w:rFonts w:cs="Calibri"/>
        </w:rPr>
        <w:t xml:space="preserve"> </w:t>
      </w:r>
      <w:r>
        <w:rPr>
          <w:rFonts w:cs="Calibri"/>
        </w:rPr>
        <w:t xml:space="preserve">adopt and </w:t>
      </w:r>
      <w:r w:rsidR="00C3677A" w:rsidRPr="004B2961">
        <w:rPr>
          <w:rFonts w:cs="Calibri"/>
        </w:rPr>
        <w:t xml:space="preserve">carry on the business of </w:t>
      </w:r>
      <w:proofErr w:type="spellStart"/>
      <w:r w:rsidR="00C3677A">
        <w:rPr>
          <w:rFonts w:cs="Calibri"/>
        </w:rPr>
        <w:t>Aduro</w:t>
      </w:r>
      <w:proofErr w:type="spellEnd"/>
      <w:r w:rsidR="00C3677A">
        <w:rPr>
          <w:rFonts w:cs="Calibri"/>
        </w:rPr>
        <w:t xml:space="preserve"> Energy</w:t>
      </w:r>
      <w:r>
        <w:rPr>
          <w:rFonts w:cs="Calibri"/>
        </w:rPr>
        <w:t xml:space="preserve"> and </w:t>
      </w:r>
      <w:r w:rsidR="00C3677A">
        <w:rPr>
          <w:rFonts w:cs="Calibri"/>
        </w:rPr>
        <w:t xml:space="preserve">change its name to </w:t>
      </w:r>
      <w:proofErr w:type="spellStart"/>
      <w:r w:rsidR="00C3677A">
        <w:rPr>
          <w:rFonts w:cs="Calibri"/>
        </w:rPr>
        <w:t>Aduro</w:t>
      </w:r>
      <w:proofErr w:type="spellEnd"/>
      <w:r w:rsidR="00C3677A">
        <w:rPr>
          <w:rFonts w:cs="Calibri"/>
        </w:rPr>
        <w:t xml:space="preserve"> Energy Inc.</w:t>
      </w:r>
      <w:r w:rsidR="007D18A4">
        <w:rPr>
          <w:rFonts w:cs="Calibri"/>
        </w:rPr>
        <w:t xml:space="preserve"> or another name </w:t>
      </w:r>
      <w:r w:rsidR="007466A7">
        <w:rPr>
          <w:rFonts w:cs="Calibri"/>
        </w:rPr>
        <w:t xml:space="preserve">as the parties may reasonably agree upon and is acceptable to the CSE. </w:t>
      </w:r>
    </w:p>
    <w:p w14:paraId="78F783EA" w14:textId="0C76E229" w:rsidR="00C603A7" w:rsidRDefault="00C603A7" w:rsidP="00C603A7">
      <w:pPr>
        <w:pStyle w:val="Heading3"/>
        <w:numPr>
          <w:ilvl w:val="0"/>
          <w:numId w:val="0"/>
        </w:numPr>
        <w:rPr>
          <w:rFonts w:ascii="Calibri" w:hAnsi="Calibri"/>
        </w:rPr>
      </w:pPr>
      <w:bookmarkStart w:id="6" w:name="_Ref48294431"/>
      <w:r w:rsidRPr="00B86DBA">
        <w:rPr>
          <w:rFonts w:ascii="Calibri" w:hAnsi="Calibri"/>
        </w:rPr>
        <w:t>In connection with the Closing, the Company</w:t>
      </w:r>
      <w:r w:rsidR="00B34590" w:rsidRPr="00B86DBA">
        <w:rPr>
          <w:rFonts w:ascii="Calibri" w:hAnsi="Calibri"/>
        </w:rPr>
        <w:t xml:space="preserve"> has</w:t>
      </w:r>
      <w:r w:rsidRPr="00B86DBA">
        <w:rPr>
          <w:rFonts w:ascii="Calibri" w:hAnsi="Calibri"/>
        </w:rPr>
        <w:t xml:space="preserve"> </w:t>
      </w:r>
      <w:r w:rsidR="00061318" w:rsidRPr="00B86DBA">
        <w:rPr>
          <w:rFonts w:ascii="Calibri" w:hAnsi="Calibri"/>
        </w:rPr>
        <w:t xml:space="preserve">agreed to </w:t>
      </w:r>
      <w:r w:rsidRPr="00B86DBA">
        <w:rPr>
          <w:rFonts w:ascii="Calibri" w:hAnsi="Calibri"/>
        </w:rPr>
        <w:t xml:space="preserve">cause the Resulting Issuer board of directors (the “Resulting Issuer Board”) to be reconstituted to consist of five (5) directors, </w:t>
      </w:r>
      <w:r w:rsidR="007D18A4" w:rsidRPr="00B86DBA">
        <w:rPr>
          <w:rFonts w:ascii="Calibri" w:hAnsi="Calibri"/>
        </w:rPr>
        <w:t>two</w:t>
      </w:r>
      <w:r w:rsidRPr="00B86DBA">
        <w:rPr>
          <w:rFonts w:ascii="Calibri" w:hAnsi="Calibri"/>
        </w:rPr>
        <w:t xml:space="preserve"> (</w:t>
      </w:r>
      <w:r w:rsidR="007D18A4" w:rsidRPr="00B86DBA">
        <w:rPr>
          <w:rFonts w:ascii="Calibri" w:hAnsi="Calibri"/>
        </w:rPr>
        <w:t>2</w:t>
      </w:r>
      <w:r w:rsidRPr="00B86DBA">
        <w:rPr>
          <w:rFonts w:ascii="Calibri" w:hAnsi="Calibri"/>
        </w:rPr>
        <w:t>) of which will be David Hodge</w:t>
      </w:r>
      <w:r w:rsidR="007D18A4" w:rsidRPr="00B86DBA">
        <w:rPr>
          <w:rFonts w:ascii="Calibri" w:hAnsi="Calibri"/>
        </w:rPr>
        <w:t xml:space="preserve"> and Chris Parr</w:t>
      </w:r>
      <w:r w:rsidRPr="00B86DBA">
        <w:rPr>
          <w:rFonts w:ascii="Calibri" w:hAnsi="Calibri"/>
        </w:rPr>
        <w:t>, current director</w:t>
      </w:r>
      <w:r w:rsidR="007D18A4" w:rsidRPr="00B86DBA">
        <w:rPr>
          <w:rFonts w:ascii="Calibri" w:hAnsi="Calibri"/>
        </w:rPr>
        <w:t>s</w:t>
      </w:r>
      <w:r w:rsidRPr="00B86DBA">
        <w:rPr>
          <w:rFonts w:ascii="Calibri" w:hAnsi="Calibri"/>
        </w:rPr>
        <w:t xml:space="preserve"> of Dimension Five, as nominee</w:t>
      </w:r>
      <w:r w:rsidR="007D18A4" w:rsidRPr="00B86DBA">
        <w:rPr>
          <w:rFonts w:ascii="Calibri" w:hAnsi="Calibri"/>
        </w:rPr>
        <w:t>s</w:t>
      </w:r>
      <w:r w:rsidRPr="00B86DBA">
        <w:rPr>
          <w:rFonts w:ascii="Calibri" w:hAnsi="Calibri"/>
        </w:rPr>
        <w:t xml:space="preserve"> of the Company, and </w:t>
      </w:r>
      <w:r w:rsidR="007D18A4" w:rsidRPr="00B86DBA">
        <w:rPr>
          <w:rFonts w:ascii="Calibri" w:hAnsi="Calibri"/>
        </w:rPr>
        <w:t>three</w:t>
      </w:r>
      <w:r w:rsidRPr="00B86DBA">
        <w:rPr>
          <w:rFonts w:ascii="Calibri" w:hAnsi="Calibri"/>
        </w:rPr>
        <w:t xml:space="preserve"> (</w:t>
      </w:r>
      <w:r w:rsidR="007D18A4" w:rsidRPr="00B86DBA">
        <w:rPr>
          <w:rFonts w:ascii="Calibri" w:hAnsi="Calibri"/>
        </w:rPr>
        <w:t>3</w:t>
      </w:r>
      <w:r w:rsidRPr="00B86DBA">
        <w:rPr>
          <w:rFonts w:ascii="Calibri" w:hAnsi="Calibri"/>
        </w:rPr>
        <w:t>) of which will be</w:t>
      </w:r>
      <w:r w:rsidRPr="00811AB0">
        <w:rPr>
          <w:rFonts w:ascii="Calibri" w:hAnsi="Calibri"/>
        </w:rPr>
        <w:t xml:space="preserve"> nominee</w:t>
      </w:r>
      <w:r>
        <w:rPr>
          <w:rFonts w:ascii="Calibri" w:hAnsi="Calibri"/>
        </w:rPr>
        <w:t>s</w:t>
      </w:r>
      <w:r w:rsidRPr="00811AB0">
        <w:rPr>
          <w:rFonts w:ascii="Calibri" w:hAnsi="Calibri"/>
        </w:rPr>
        <w:t xml:space="preserve"> of </w:t>
      </w:r>
      <w:proofErr w:type="spellStart"/>
      <w:r>
        <w:rPr>
          <w:rFonts w:ascii="Calibri" w:hAnsi="Calibri"/>
        </w:rPr>
        <w:t>Aduro</w:t>
      </w:r>
      <w:proofErr w:type="spellEnd"/>
      <w:r>
        <w:rPr>
          <w:rFonts w:ascii="Calibri" w:hAnsi="Calibri"/>
        </w:rPr>
        <w:t xml:space="preserve"> Energy, including the </w:t>
      </w:r>
      <w:proofErr w:type="spellStart"/>
      <w:r>
        <w:rPr>
          <w:rFonts w:ascii="Calibri" w:hAnsi="Calibri"/>
        </w:rPr>
        <w:t>Ofer</w:t>
      </w:r>
      <w:proofErr w:type="spellEnd"/>
      <w:r>
        <w:rPr>
          <w:rFonts w:ascii="Calibri" w:hAnsi="Calibri"/>
        </w:rPr>
        <w:t xml:space="preserve"> Vicus, the principal vendor of the </w:t>
      </w:r>
      <w:proofErr w:type="spellStart"/>
      <w:r>
        <w:rPr>
          <w:rFonts w:ascii="Calibri" w:hAnsi="Calibri"/>
        </w:rPr>
        <w:t>Aduro</w:t>
      </w:r>
      <w:proofErr w:type="spellEnd"/>
      <w:r>
        <w:rPr>
          <w:rFonts w:ascii="Calibri" w:hAnsi="Calibri"/>
        </w:rPr>
        <w:t xml:space="preserve"> Energy, </w:t>
      </w:r>
      <w:r w:rsidRPr="008350E7">
        <w:rPr>
          <w:rFonts w:ascii="Calibri" w:hAnsi="Calibri"/>
        </w:rPr>
        <w:t xml:space="preserve">provided that each nominee for the Resulting Issuer Board is eligible to serve as a director of the Resulting Issuer under </w:t>
      </w:r>
      <w:r>
        <w:rPr>
          <w:rFonts w:ascii="Calibri" w:hAnsi="Calibri"/>
        </w:rPr>
        <w:t>a</w:t>
      </w:r>
      <w:r w:rsidRPr="008350E7">
        <w:rPr>
          <w:rFonts w:ascii="Calibri" w:hAnsi="Calibri"/>
        </w:rPr>
        <w:t xml:space="preserve">pplicable </w:t>
      </w:r>
      <w:r>
        <w:rPr>
          <w:rFonts w:ascii="Calibri" w:hAnsi="Calibri"/>
        </w:rPr>
        <w:t>l</w:t>
      </w:r>
      <w:r w:rsidRPr="008350E7">
        <w:rPr>
          <w:rFonts w:ascii="Calibri" w:hAnsi="Calibri"/>
        </w:rPr>
        <w:t>aws and is acceptable to the CSE.</w:t>
      </w:r>
      <w:bookmarkEnd w:id="6"/>
    </w:p>
    <w:p w14:paraId="6C8D6BB0" w14:textId="46852D6A" w:rsidR="00C603A7" w:rsidRDefault="00C603A7" w:rsidP="00C55125">
      <w:pPr>
        <w:spacing w:before="240" w:after="0" w:line="240" w:lineRule="auto"/>
        <w:jc w:val="both"/>
        <w:rPr>
          <w:bCs/>
        </w:rPr>
      </w:pPr>
      <w:r>
        <w:rPr>
          <w:bCs/>
        </w:rPr>
        <w:t xml:space="preserve">On completion of the Acquisition, the </w:t>
      </w:r>
      <w:r w:rsidRPr="00811AB0">
        <w:rPr>
          <w:rFonts w:ascii="Calibri" w:hAnsi="Calibri"/>
        </w:rPr>
        <w:t xml:space="preserve">current officers of </w:t>
      </w:r>
      <w:r>
        <w:rPr>
          <w:rFonts w:ascii="Calibri" w:hAnsi="Calibri"/>
        </w:rPr>
        <w:t>Dimension Five</w:t>
      </w:r>
      <w:r w:rsidRPr="00811AB0">
        <w:rPr>
          <w:rFonts w:ascii="Calibri" w:hAnsi="Calibri"/>
        </w:rPr>
        <w:t xml:space="preserve"> </w:t>
      </w:r>
      <w:r>
        <w:rPr>
          <w:rFonts w:ascii="Calibri" w:hAnsi="Calibri"/>
        </w:rPr>
        <w:t xml:space="preserve">who will not be officers of the Resulting Issuer </w:t>
      </w:r>
      <w:r w:rsidRPr="00811AB0">
        <w:rPr>
          <w:rFonts w:ascii="Calibri" w:hAnsi="Calibri"/>
        </w:rPr>
        <w:t xml:space="preserve">shall resign, without payment or liability to </w:t>
      </w:r>
      <w:r>
        <w:rPr>
          <w:rFonts w:ascii="Calibri" w:hAnsi="Calibri"/>
        </w:rPr>
        <w:t>Dimension Five</w:t>
      </w:r>
      <w:r w:rsidRPr="00811AB0">
        <w:rPr>
          <w:rFonts w:ascii="Calibri" w:hAnsi="Calibri"/>
        </w:rPr>
        <w:t xml:space="preserve"> or </w:t>
      </w:r>
      <w:proofErr w:type="spellStart"/>
      <w:r>
        <w:rPr>
          <w:rFonts w:ascii="Calibri" w:hAnsi="Calibri"/>
        </w:rPr>
        <w:t>Aduro</w:t>
      </w:r>
      <w:proofErr w:type="spellEnd"/>
      <w:r>
        <w:rPr>
          <w:rFonts w:ascii="Calibri" w:hAnsi="Calibri"/>
        </w:rPr>
        <w:t xml:space="preserve"> Energy</w:t>
      </w:r>
      <w:r w:rsidRPr="00811AB0">
        <w:rPr>
          <w:rFonts w:ascii="Calibri" w:hAnsi="Calibri"/>
        </w:rPr>
        <w:t xml:space="preserve">, subject to their receiving </w:t>
      </w:r>
      <w:r>
        <w:rPr>
          <w:rFonts w:ascii="Calibri" w:hAnsi="Calibri"/>
        </w:rPr>
        <w:t xml:space="preserve">and providing </w:t>
      </w:r>
      <w:r w:rsidRPr="00811AB0">
        <w:rPr>
          <w:rFonts w:ascii="Calibri" w:hAnsi="Calibri"/>
        </w:rPr>
        <w:t>custom</w:t>
      </w:r>
      <w:r>
        <w:rPr>
          <w:rFonts w:ascii="Calibri" w:hAnsi="Calibri"/>
        </w:rPr>
        <w:t xml:space="preserve">ary releases acceptable to them. The officers of the Resulting Issuer </w:t>
      </w:r>
      <w:r>
        <w:rPr>
          <w:bCs/>
        </w:rPr>
        <w:t xml:space="preserve">will be </w:t>
      </w:r>
      <w:r w:rsidR="007D18A4">
        <w:rPr>
          <w:bCs/>
        </w:rPr>
        <w:t xml:space="preserve">reconstituted to consist of </w:t>
      </w:r>
      <w:proofErr w:type="spellStart"/>
      <w:r>
        <w:rPr>
          <w:bCs/>
        </w:rPr>
        <w:t>Ofer</w:t>
      </w:r>
      <w:proofErr w:type="spellEnd"/>
      <w:r>
        <w:rPr>
          <w:bCs/>
        </w:rPr>
        <w:t xml:space="preserve"> Vicus as Chief Executive Officer, </w:t>
      </w:r>
      <w:r w:rsidR="007D18A4">
        <w:rPr>
          <w:bCs/>
        </w:rPr>
        <w:t>Marcus Trygstad as Chief Technology Officer</w:t>
      </w:r>
      <w:r w:rsidR="004A2007">
        <w:rPr>
          <w:bCs/>
        </w:rPr>
        <w:t xml:space="preserve">, and Daniel </w:t>
      </w:r>
      <w:proofErr w:type="spellStart"/>
      <w:r w:rsidR="004A2007">
        <w:rPr>
          <w:bCs/>
        </w:rPr>
        <w:t>Hejcman</w:t>
      </w:r>
      <w:proofErr w:type="spellEnd"/>
      <w:r w:rsidR="004A2007">
        <w:rPr>
          <w:bCs/>
        </w:rPr>
        <w:t xml:space="preserve"> as </w:t>
      </w:r>
      <w:r w:rsidR="007D18A4">
        <w:rPr>
          <w:bCs/>
        </w:rPr>
        <w:t>Chief Financial Officer and Secretary.</w:t>
      </w:r>
    </w:p>
    <w:p w14:paraId="6EBB5AD2" w14:textId="77777777" w:rsidR="00C55125" w:rsidRPr="00323055" w:rsidRDefault="00C55125" w:rsidP="00C55125">
      <w:pPr>
        <w:spacing w:before="240" w:after="0" w:line="240" w:lineRule="auto"/>
        <w:rPr>
          <w:bCs/>
          <w:u w:val="single"/>
        </w:rPr>
      </w:pPr>
      <w:r w:rsidRPr="00323055">
        <w:rPr>
          <w:bCs/>
          <w:u w:val="single"/>
        </w:rPr>
        <w:t xml:space="preserve">About Dimension Five </w:t>
      </w:r>
    </w:p>
    <w:p w14:paraId="56E07F08" w14:textId="62381AAD" w:rsidR="007763FA" w:rsidRPr="007763FA" w:rsidRDefault="00C55125" w:rsidP="00C55125">
      <w:pPr>
        <w:spacing w:before="240" w:after="0" w:line="240" w:lineRule="auto"/>
        <w:jc w:val="both"/>
        <w:rPr>
          <w:bCs/>
        </w:rPr>
      </w:pPr>
      <w:r w:rsidRPr="00625DA4">
        <w:rPr>
          <w:bCs/>
        </w:rPr>
        <w:t>Di</w:t>
      </w:r>
      <w:r w:rsidR="00625DA4">
        <w:rPr>
          <w:bCs/>
        </w:rPr>
        <w:t xml:space="preserve">mension Five is </w:t>
      </w:r>
      <w:r w:rsidRPr="00625DA4">
        <w:rPr>
          <w:bCs/>
        </w:rPr>
        <w:t>based in Vanco</w:t>
      </w:r>
      <w:r w:rsidR="00625DA4">
        <w:rPr>
          <w:bCs/>
        </w:rPr>
        <w:t xml:space="preserve">uver, British Columbia, Canada. Prior to completion of the Transaction, the Company </w:t>
      </w:r>
      <w:r w:rsidR="007466A7">
        <w:rPr>
          <w:bCs/>
        </w:rPr>
        <w:t>has been</w:t>
      </w:r>
      <w:r w:rsidR="00625DA4">
        <w:rPr>
          <w:bCs/>
        </w:rPr>
        <w:t xml:space="preserve"> </w:t>
      </w:r>
      <w:r w:rsidRPr="00625DA4">
        <w:rPr>
          <w:bCs/>
        </w:rPr>
        <w:t xml:space="preserve">developing a new investing platform that helps </w:t>
      </w:r>
      <w:r w:rsidR="00625DA4">
        <w:rPr>
          <w:bCs/>
        </w:rPr>
        <w:t xml:space="preserve">to </w:t>
      </w:r>
      <w:r w:rsidRPr="00625DA4">
        <w:rPr>
          <w:bCs/>
        </w:rPr>
        <w:t xml:space="preserve">connect early stage companies with investors.  </w:t>
      </w:r>
      <w:r w:rsidR="00625DA4">
        <w:rPr>
          <w:bCs/>
        </w:rPr>
        <w:t xml:space="preserve">Following completion of the Acquisition, the business of Dimension Five will be the </w:t>
      </w:r>
      <w:proofErr w:type="spellStart"/>
      <w:r w:rsidR="00625DA4">
        <w:rPr>
          <w:bCs/>
        </w:rPr>
        <w:lastRenderedPageBreak/>
        <w:t>Aduro</w:t>
      </w:r>
      <w:proofErr w:type="spellEnd"/>
      <w:r w:rsidR="00625DA4">
        <w:rPr>
          <w:bCs/>
        </w:rPr>
        <w:t xml:space="preserve"> Energy business.</w:t>
      </w:r>
      <w:r w:rsidRPr="00625DA4">
        <w:rPr>
          <w:bCs/>
        </w:rPr>
        <w:t xml:space="preserve"> Additional information on Dimension Five is available on the company’s website at </w:t>
      </w:r>
      <w:hyperlink r:id="rId9" w:history="1">
        <w:r w:rsidRPr="00625DA4">
          <w:rPr>
            <w:rStyle w:val="Hyperlink"/>
            <w:bCs/>
          </w:rPr>
          <w:t>http://www.dimensionfive.ca</w:t>
        </w:r>
      </w:hyperlink>
      <w:r w:rsidRPr="00625DA4">
        <w:rPr>
          <w:bCs/>
        </w:rPr>
        <w:t xml:space="preserve">. </w:t>
      </w:r>
    </w:p>
    <w:p w14:paraId="788404E8" w14:textId="77777777" w:rsidR="00C55125" w:rsidRPr="004B2961" w:rsidRDefault="00C55125" w:rsidP="00C55125">
      <w:pPr>
        <w:pStyle w:val="BodyText"/>
        <w:spacing w:before="240" w:after="0" w:line="240" w:lineRule="auto"/>
        <w:contextualSpacing/>
        <w:jc w:val="both"/>
        <w:rPr>
          <w:rFonts w:cs="Calibri"/>
          <w:u w:val="single"/>
          <w:lang w:val="en-US"/>
        </w:rPr>
      </w:pPr>
      <w:r w:rsidRPr="004B2961">
        <w:rPr>
          <w:rFonts w:cs="Calibri"/>
          <w:b/>
        </w:rPr>
        <w:t xml:space="preserve">Trading in </w:t>
      </w:r>
      <w:r>
        <w:rPr>
          <w:rFonts w:cs="Calibri"/>
          <w:b/>
        </w:rPr>
        <w:t>Dimension Five Shares</w:t>
      </w:r>
    </w:p>
    <w:p w14:paraId="7BBD21ED" w14:textId="27E71FDA" w:rsidR="00C55125" w:rsidRDefault="00C55125" w:rsidP="00C55125">
      <w:pPr>
        <w:autoSpaceDE w:val="0"/>
        <w:autoSpaceDN w:val="0"/>
        <w:adjustRightInd w:val="0"/>
        <w:spacing w:before="240" w:after="0" w:line="240" w:lineRule="auto"/>
        <w:jc w:val="both"/>
        <w:rPr>
          <w:rFonts w:cs="Times New Roman"/>
          <w:b/>
          <w:bCs/>
          <w:szCs w:val="20"/>
          <w:u w:val="single"/>
          <w:lang w:val="en-US"/>
        </w:rPr>
      </w:pPr>
      <w:r w:rsidRPr="004B2961">
        <w:rPr>
          <w:rFonts w:cs="Calibri"/>
        </w:rPr>
        <w:t xml:space="preserve">Trading in </w:t>
      </w:r>
      <w:r>
        <w:rPr>
          <w:rFonts w:cs="Calibri"/>
        </w:rPr>
        <w:t>the Company’s</w:t>
      </w:r>
      <w:r w:rsidRPr="004B2961">
        <w:rPr>
          <w:rFonts w:cs="Calibri"/>
        </w:rPr>
        <w:t xml:space="preserve"> </w:t>
      </w:r>
      <w:r>
        <w:rPr>
          <w:rFonts w:cs="Calibri"/>
        </w:rPr>
        <w:t>S</w:t>
      </w:r>
      <w:r w:rsidRPr="004B2961">
        <w:rPr>
          <w:rFonts w:cs="Calibri"/>
        </w:rPr>
        <w:t xml:space="preserve">hares on the </w:t>
      </w:r>
      <w:r>
        <w:rPr>
          <w:rFonts w:cs="Calibri"/>
        </w:rPr>
        <w:t>CSE</w:t>
      </w:r>
      <w:r w:rsidRPr="004B2961">
        <w:rPr>
          <w:rFonts w:cs="Calibri"/>
        </w:rPr>
        <w:t xml:space="preserve"> was halted </w:t>
      </w:r>
      <w:r w:rsidR="00C603A7">
        <w:rPr>
          <w:rFonts w:cs="Calibri"/>
        </w:rPr>
        <w:t xml:space="preserve">in </w:t>
      </w:r>
      <w:r w:rsidRPr="004B2961">
        <w:rPr>
          <w:rFonts w:cs="Calibri"/>
        </w:rPr>
        <w:t xml:space="preserve">connection with </w:t>
      </w:r>
      <w:r w:rsidR="00C603A7">
        <w:rPr>
          <w:rFonts w:cs="Calibri"/>
        </w:rPr>
        <w:t>the news release on July 14, 2020 announcing the Letter of Intent in respect of the Transaction</w:t>
      </w:r>
      <w:r>
        <w:rPr>
          <w:rFonts w:cs="Calibri"/>
        </w:rPr>
        <w:t xml:space="preserve">. </w:t>
      </w:r>
      <w:r w:rsidRPr="004B2961">
        <w:rPr>
          <w:rFonts w:cs="Calibri"/>
        </w:rPr>
        <w:t xml:space="preserve">Trading in the </w:t>
      </w:r>
      <w:r>
        <w:rPr>
          <w:rFonts w:cs="Calibri"/>
        </w:rPr>
        <w:t>S</w:t>
      </w:r>
      <w:r w:rsidRPr="004B2961">
        <w:rPr>
          <w:rFonts w:cs="Calibri"/>
        </w:rPr>
        <w:t xml:space="preserve">hares will </w:t>
      </w:r>
      <w:r w:rsidR="00C603A7">
        <w:rPr>
          <w:rFonts w:cs="Calibri"/>
        </w:rPr>
        <w:t xml:space="preserve">continue to </w:t>
      </w:r>
      <w:r w:rsidRPr="004B2961">
        <w:rPr>
          <w:rFonts w:cs="Calibri"/>
        </w:rPr>
        <w:t xml:space="preserve">remain halted pending the review of the </w:t>
      </w:r>
      <w:r>
        <w:rPr>
          <w:rFonts w:cs="Calibri"/>
        </w:rPr>
        <w:t>Acquisi</w:t>
      </w:r>
      <w:r w:rsidRPr="004B2961">
        <w:rPr>
          <w:rFonts w:cs="Calibri"/>
        </w:rPr>
        <w:t xml:space="preserve">tion by the </w:t>
      </w:r>
      <w:r>
        <w:rPr>
          <w:rFonts w:cs="Calibri"/>
        </w:rPr>
        <w:t>CSE</w:t>
      </w:r>
      <w:r w:rsidRPr="004B2961">
        <w:rPr>
          <w:rFonts w:cs="Calibri"/>
        </w:rPr>
        <w:t xml:space="preserve"> and satisfaction of any conditions of the </w:t>
      </w:r>
      <w:r>
        <w:rPr>
          <w:rFonts w:cs="Calibri"/>
        </w:rPr>
        <w:t>CSE</w:t>
      </w:r>
      <w:r w:rsidRPr="004B2961">
        <w:rPr>
          <w:rFonts w:cs="Calibri"/>
        </w:rPr>
        <w:t xml:space="preserve"> for resumption of trading.  It is likely that trading in the </w:t>
      </w:r>
      <w:r>
        <w:rPr>
          <w:rFonts w:cs="Calibri"/>
        </w:rPr>
        <w:t>Company’s</w:t>
      </w:r>
      <w:r w:rsidRPr="004B2961">
        <w:rPr>
          <w:rFonts w:cs="Calibri"/>
        </w:rPr>
        <w:t xml:space="preserve"> </w:t>
      </w:r>
      <w:r>
        <w:rPr>
          <w:rFonts w:cs="Calibri"/>
        </w:rPr>
        <w:t>S</w:t>
      </w:r>
      <w:r w:rsidRPr="004B2961">
        <w:rPr>
          <w:rFonts w:cs="Calibri"/>
        </w:rPr>
        <w:t xml:space="preserve">hares will not resume prior to the completion of the </w:t>
      </w:r>
      <w:r>
        <w:rPr>
          <w:rFonts w:cs="Calibri"/>
        </w:rPr>
        <w:t>Acquisit</w:t>
      </w:r>
      <w:r w:rsidRPr="004B2961">
        <w:rPr>
          <w:rFonts w:cs="Calibri"/>
        </w:rPr>
        <w:t>ion.</w:t>
      </w:r>
    </w:p>
    <w:p w14:paraId="21CB85A6" w14:textId="422B686B" w:rsidR="00C55125" w:rsidRDefault="00C55125" w:rsidP="00C55125">
      <w:pPr>
        <w:autoSpaceDE w:val="0"/>
        <w:autoSpaceDN w:val="0"/>
        <w:adjustRightInd w:val="0"/>
        <w:spacing w:before="240" w:after="0" w:line="240" w:lineRule="auto"/>
        <w:jc w:val="both"/>
        <w:rPr>
          <w:rFonts w:cs="Times New Roman"/>
          <w:b/>
          <w:bCs/>
          <w:szCs w:val="20"/>
          <w:u w:val="single"/>
          <w:lang w:val="en-US"/>
        </w:rPr>
      </w:pPr>
      <w:r w:rsidRPr="00456506">
        <w:t xml:space="preserve">None of the securities issued in </w:t>
      </w:r>
      <w:r w:rsidR="00C603A7">
        <w:t xml:space="preserve">connection with </w:t>
      </w:r>
      <w:r w:rsidRPr="00456506">
        <w:t xml:space="preserve">the </w:t>
      </w:r>
      <w:r>
        <w:t>Acquisition</w:t>
      </w:r>
      <w:r w:rsidRPr="00456506">
        <w:t xml:space="preserve"> will be registered under the United States Securities Act of 1933, as amended (the “</w:t>
      </w:r>
      <w:r w:rsidRPr="00DA2E7F">
        <w:rPr>
          <w:b/>
        </w:rPr>
        <w:t>1933 Act</w:t>
      </w:r>
      <w:r w:rsidRPr="00456506">
        <w:t>”), and none of them may be offered or sold in the United States absent registration or an applicable exemption from the registration requirements of the 1933 Act. This news release shall not constitute an offer to sell or a solicitation of an offer to buy nor shall there be any sale of the securities in any state where such offer, solicitation, or sale would be unlawful.</w:t>
      </w:r>
    </w:p>
    <w:p w14:paraId="17D2F139" w14:textId="77777777" w:rsidR="00C55125" w:rsidRDefault="00C55125" w:rsidP="00C55125">
      <w:pPr>
        <w:autoSpaceDE w:val="0"/>
        <w:autoSpaceDN w:val="0"/>
        <w:adjustRightInd w:val="0"/>
        <w:spacing w:before="240" w:after="0" w:line="240" w:lineRule="auto"/>
        <w:rPr>
          <w:rFonts w:cs="Times New Roman"/>
          <w:szCs w:val="20"/>
          <w:lang w:val="en-US"/>
        </w:rPr>
      </w:pPr>
      <w:r w:rsidRPr="0029106E">
        <w:rPr>
          <w:rFonts w:cs="Times New Roman"/>
          <w:b/>
          <w:bCs/>
          <w:szCs w:val="20"/>
          <w:u w:val="single"/>
          <w:lang w:val="en-US"/>
        </w:rPr>
        <w:t>For further information, please contact:</w:t>
      </w:r>
    </w:p>
    <w:p w14:paraId="127CC8DD" w14:textId="58F6A90C" w:rsidR="00C55125" w:rsidRDefault="00C55125" w:rsidP="00C55125">
      <w:pPr>
        <w:autoSpaceDE w:val="0"/>
        <w:autoSpaceDN w:val="0"/>
        <w:adjustRightInd w:val="0"/>
        <w:spacing w:before="240" w:after="0" w:line="240" w:lineRule="auto"/>
        <w:rPr>
          <w:rFonts w:cs="Times New Roman"/>
          <w:szCs w:val="20"/>
          <w:lang w:val="en-US"/>
        </w:rPr>
      </w:pPr>
      <w:r w:rsidRPr="00625DA4">
        <w:rPr>
          <w:rFonts w:cs="Times New Roman"/>
          <w:szCs w:val="20"/>
          <w:lang w:val="en-US"/>
        </w:rPr>
        <w:t>Chris Parr, CEO</w:t>
      </w:r>
      <w:r w:rsidRPr="00625DA4">
        <w:rPr>
          <w:rFonts w:cs="Times New Roman"/>
          <w:szCs w:val="20"/>
          <w:lang w:val="en-US"/>
        </w:rPr>
        <w:tab/>
      </w:r>
      <w:r w:rsidRPr="00625DA4">
        <w:rPr>
          <w:rFonts w:cs="Times New Roman"/>
          <w:szCs w:val="20"/>
          <w:lang w:val="en-US"/>
        </w:rPr>
        <w:br/>
      </w:r>
      <w:hyperlink r:id="rId10" w:history="1">
        <w:r w:rsidR="00B86DBA" w:rsidRPr="007525F9">
          <w:rPr>
            <w:rStyle w:val="Hyperlink"/>
            <w:rFonts w:cs="Times New Roman"/>
            <w:szCs w:val="20"/>
            <w:lang w:val="en-US"/>
          </w:rPr>
          <w:t>Chris@dimensionfive.ca</w:t>
        </w:r>
      </w:hyperlink>
    </w:p>
    <w:p w14:paraId="35196567" w14:textId="77777777" w:rsidR="00B86DBA" w:rsidRPr="00B86DBA" w:rsidRDefault="00B86DBA" w:rsidP="00B86DBA">
      <w:r w:rsidRPr="00B86DBA">
        <w:t>Suite 1450 - 789 W Pender Street</w:t>
      </w:r>
      <w:r w:rsidRPr="00B86DBA">
        <w:br/>
        <w:t>Vancouver BC V6C 1H2</w:t>
      </w:r>
    </w:p>
    <w:p w14:paraId="3A683F47" w14:textId="77777777" w:rsidR="00B86DBA" w:rsidRPr="0029106E" w:rsidRDefault="00B86DBA" w:rsidP="00C55125">
      <w:pPr>
        <w:autoSpaceDE w:val="0"/>
        <w:autoSpaceDN w:val="0"/>
        <w:adjustRightInd w:val="0"/>
        <w:spacing w:before="240" w:after="0" w:line="240" w:lineRule="auto"/>
        <w:rPr>
          <w:rFonts w:cs="Times New Roman"/>
          <w:szCs w:val="20"/>
          <w:lang w:val="en-US"/>
        </w:rPr>
      </w:pPr>
    </w:p>
    <w:p w14:paraId="58327FC1" w14:textId="77777777" w:rsidR="00C55125" w:rsidRPr="00832AB0" w:rsidRDefault="00C55125" w:rsidP="00C55125">
      <w:pPr>
        <w:pStyle w:val="BodyText"/>
        <w:spacing w:before="240" w:after="0" w:line="240" w:lineRule="auto"/>
        <w:jc w:val="both"/>
        <w:rPr>
          <w:i/>
        </w:rPr>
      </w:pPr>
      <w:r w:rsidRPr="00832AB0">
        <w:rPr>
          <w:i/>
        </w:rPr>
        <w:t xml:space="preserve">Completion of the </w:t>
      </w:r>
      <w:r>
        <w:rPr>
          <w:i/>
        </w:rPr>
        <w:t>Acquisi</w:t>
      </w:r>
      <w:r w:rsidRPr="00832AB0">
        <w:rPr>
          <w:i/>
        </w:rPr>
        <w:t>tion is subject to a number of conditions, including CSE acceptance</w:t>
      </w:r>
      <w:r>
        <w:rPr>
          <w:i/>
        </w:rPr>
        <w:t xml:space="preserve"> and Company shareholder approval</w:t>
      </w:r>
      <w:r w:rsidRPr="00832AB0">
        <w:rPr>
          <w:i/>
        </w:rPr>
        <w:t xml:space="preserve">. </w:t>
      </w:r>
      <w:r w:rsidRPr="007763FA">
        <w:rPr>
          <w:i/>
        </w:rPr>
        <w:t>There can be no assurance that the Acquisition will be completed as proposed or at all.</w:t>
      </w:r>
    </w:p>
    <w:p w14:paraId="245BF52B" w14:textId="77777777" w:rsidR="00C55125" w:rsidRPr="00832AB0" w:rsidRDefault="00C55125" w:rsidP="00C55125">
      <w:pPr>
        <w:pStyle w:val="BodyText"/>
        <w:spacing w:before="240" w:after="0" w:line="240" w:lineRule="auto"/>
        <w:jc w:val="both"/>
        <w:rPr>
          <w:i/>
        </w:rPr>
      </w:pPr>
      <w:r w:rsidRPr="00832AB0">
        <w:rPr>
          <w:i/>
        </w:rPr>
        <w:t xml:space="preserve">Investors are cautioned that any information released or received with respect to the </w:t>
      </w:r>
      <w:r>
        <w:rPr>
          <w:i/>
        </w:rPr>
        <w:t>Acquisi</w:t>
      </w:r>
      <w:r w:rsidRPr="00832AB0">
        <w:rPr>
          <w:i/>
        </w:rPr>
        <w:t xml:space="preserve">tion may not be accurate or complete and should not be relied upon. Trading in the </w:t>
      </w:r>
      <w:r w:rsidRPr="000B34D1">
        <w:rPr>
          <w:i/>
        </w:rPr>
        <w:t xml:space="preserve">securities of </w:t>
      </w:r>
      <w:r w:rsidRPr="000B34D1">
        <w:rPr>
          <w:bCs/>
          <w:i/>
        </w:rPr>
        <w:t>Dimension Five</w:t>
      </w:r>
      <w:r w:rsidRPr="00832AB0">
        <w:rPr>
          <w:bCs/>
        </w:rPr>
        <w:t xml:space="preserve"> </w:t>
      </w:r>
      <w:r w:rsidRPr="00832AB0">
        <w:rPr>
          <w:i/>
        </w:rPr>
        <w:t>should be considered highly speculative.</w:t>
      </w:r>
    </w:p>
    <w:p w14:paraId="76D9353B" w14:textId="77777777" w:rsidR="00C55125" w:rsidRPr="00832AB0" w:rsidRDefault="00C55125" w:rsidP="00C55125">
      <w:pPr>
        <w:pStyle w:val="BodyText"/>
        <w:spacing w:before="240" w:after="0" w:line="240" w:lineRule="auto"/>
        <w:jc w:val="both"/>
        <w:rPr>
          <w:i/>
        </w:rPr>
      </w:pPr>
      <w:r w:rsidRPr="00832AB0">
        <w:rPr>
          <w:i/>
        </w:rPr>
        <w:t>The CSE has in no way passed upon the merits of the proposed transaction and has neither approved nor disapproved the contents of this news release.</w:t>
      </w:r>
    </w:p>
    <w:p w14:paraId="05DC04A2" w14:textId="77777777" w:rsidR="00C55125" w:rsidRPr="00323055" w:rsidRDefault="00C55125" w:rsidP="00C55125">
      <w:pPr>
        <w:pStyle w:val="BodyText"/>
        <w:spacing w:before="240" w:after="0" w:line="240" w:lineRule="auto"/>
        <w:jc w:val="both"/>
        <w:rPr>
          <w:rFonts w:cstheme="minorHAnsi"/>
          <w:b/>
          <w:i/>
          <w:color w:val="000000"/>
        </w:rPr>
      </w:pPr>
      <w:r w:rsidRPr="00832AB0">
        <w:rPr>
          <w:rFonts w:cstheme="minorHAnsi"/>
          <w:b/>
          <w:i/>
          <w:color w:val="000000"/>
        </w:rPr>
        <w:t>Forward-Looking Statements</w:t>
      </w:r>
    </w:p>
    <w:p w14:paraId="64AA796A" w14:textId="32670795" w:rsidR="00C55125" w:rsidRPr="00832AB0" w:rsidRDefault="00C55125" w:rsidP="00C55125">
      <w:pPr>
        <w:pStyle w:val="BodyText"/>
        <w:spacing w:before="240" w:after="0" w:line="240" w:lineRule="auto"/>
        <w:jc w:val="both"/>
        <w:rPr>
          <w:i/>
        </w:rPr>
      </w:pPr>
      <w:r w:rsidRPr="00832AB0">
        <w:rPr>
          <w:i/>
        </w:rPr>
        <w:t xml:space="preserve">This news release contains forward-looking statements. All statements, other than statements of historical fact that address activities, events or developments that the Company believes, expects or anticipates will or may occur in the future are forward-looking statements. Forward-looking statements in this news release include statements regarding: the </w:t>
      </w:r>
      <w:r>
        <w:rPr>
          <w:i/>
        </w:rPr>
        <w:t xml:space="preserve">proposed terms and </w:t>
      </w:r>
      <w:r w:rsidRPr="00832AB0">
        <w:rPr>
          <w:i/>
        </w:rPr>
        <w:t xml:space="preserve">date of </w:t>
      </w:r>
      <w:r w:rsidR="00C603A7">
        <w:rPr>
          <w:i/>
        </w:rPr>
        <w:t>C</w:t>
      </w:r>
      <w:r w:rsidRPr="00832AB0">
        <w:rPr>
          <w:i/>
        </w:rPr>
        <w:t>losing of the Acquisition; the consideration payable in connection with the Closing</w:t>
      </w:r>
      <w:r w:rsidR="000E0352">
        <w:rPr>
          <w:i/>
        </w:rPr>
        <w:t>, including the distribution and conversion of the Special Warrants</w:t>
      </w:r>
      <w:r w:rsidRPr="00832AB0">
        <w:rPr>
          <w:i/>
        </w:rPr>
        <w:t xml:space="preserve">; </w:t>
      </w:r>
      <w:r w:rsidR="000E0352">
        <w:rPr>
          <w:i/>
        </w:rPr>
        <w:t xml:space="preserve">the completion of certain business objectives for the achievement of the Milestones; the entry into </w:t>
      </w:r>
      <w:r w:rsidR="00F05EA4">
        <w:rPr>
          <w:i/>
        </w:rPr>
        <w:t xml:space="preserve">and completion of </w:t>
      </w:r>
      <w:r w:rsidR="000E0352">
        <w:rPr>
          <w:i/>
        </w:rPr>
        <w:t xml:space="preserve">the Restricted Share Agreement between the Company, </w:t>
      </w:r>
      <w:proofErr w:type="spellStart"/>
      <w:r w:rsidR="000E0352">
        <w:rPr>
          <w:i/>
        </w:rPr>
        <w:t>Zimtu</w:t>
      </w:r>
      <w:proofErr w:type="spellEnd"/>
      <w:r w:rsidR="000E0352">
        <w:rPr>
          <w:i/>
        </w:rPr>
        <w:t xml:space="preserve"> and each member of the </w:t>
      </w:r>
      <w:proofErr w:type="spellStart"/>
      <w:r w:rsidR="000E0352">
        <w:rPr>
          <w:i/>
        </w:rPr>
        <w:t>Zimtu</w:t>
      </w:r>
      <w:proofErr w:type="spellEnd"/>
      <w:r w:rsidR="000E0352">
        <w:rPr>
          <w:i/>
        </w:rPr>
        <w:t xml:space="preserve"> Group who owns First Milestone Restricted Shares and Second Milestone Restricted Shares; the achievement of the First Financing and Second Financing under the First </w:t>
      </w:r>
      <w:r w:rsidR="000E0352">
        <w:rPr>
          <w:i/>
        </w:rPr>
        <w:lastRenderedPageBreak/>
        <w:t xml:space="preserve">Milestone Protection Plan and Second Milestone Protection Plan; </w:t>
      </w:r>
      <w:r w:rsidRPr="00832AB0">
        <w:rPr>
          <w:i/>
        </w:rPr>
        <w:t>the terms of the proposed Bridge Loan and the expected use of proceeds thereof;</w:t>
      </w:r>
      <w:r w:rsidR="007826F1" w:rsidRPr="007826F1">
        <w:rPr>
          <w:bCs/>
        </w:rPr>
        <w:t xml:space="preserve"> </w:t>
      </w:r>
      <w:r w:rsidR="007826F1" w:rsidRPr="007826F1">
        <w:rPr>
          <w:bCs/>
          <w:i/>
        </w:rPr>
        <w:t>the Company having at least $400,000 in net cash and cash equivalents</w:t>
      </w:r>
      <w:r w:rsidR="007826F1">
        <w:rPr>
          <w:bCs/>
          <w:i/>
        </w:rPr>
        <w:t xml:space="preserve"> on Closing</w:t>
      </w:r>
      <w:r w:rsidR="007826F1" w:rsidRPr="007826F1">
        <w:rPr>
          <w:bCs/>
          <w:i/>
        </w:rPr>
        <w:t xml:space="preserve"> (such amount subject to be reduced by any amounts advanced under the Bridge Loan in excess of $100,000)</w:t>
      </w:r>
      <w:r w:rsidR="007826F1">
        <w:rPr>
          <w:bCs/>
          <w:i/>
        </w:rPr>
        <w:t>;</w:t>
      </w:r>
      <w:r w:rsidRPr="00832AB0">
        <w:rPr>
          <w:i/>
        </w:rPr>
        <w:t xml:space="preserve"> </w:t>
      </w:r>
      <w:r w:rsidRPr="00832AB0">
        <w:rPr>
          <w:rFonts w:cs="Calibri"/>
          <w:i/>
        </w:rPr>
        <w:t xml:space="preserve">resale </w:t>
      </w:r>
      <w:r w:rsidR="000E0352">
        <w:rPr>
          <w:rFonts w:cs="Calibri"/>
          <w:i/>
        </w:rPr>
        <w:t xml:space="preserve">and escrow </w:t>
      </w:r>
      <w:r w:rsidRPr="00832AB0">
        <w:rPr>
          <w:rFonts w:cs="Calibri"/>
          <w:i/>
        </w:rPr>
        <w:t>restrictions relating to the securities to be issued</w:t>
      </w:r>
      <w:r w:rsidR="00C603A7">
        <w:rPr>
          <w:rFonts w:cs="Calibri"/>
          <w:i/>
        </w:rPr>
        <w:t xml:space="preserve"> in connection with the Transaction</w:t>
      </w:r>
      <w:r w:rsidRPr="00832AB0">
        <w:rPr>
          <w:rFonts w:cs="Calibri"/>
          <w:i/>
        </w:rPr>
        <w:t>;</w:t>
      </w:r>
      <w:r w:rsidRPr="00832AB0">
        <w:rPr>
          <w:i/>
        </w:rPr>
        <w:t xml:space="preserve"> </w:t>
      </w:r>
      <w:r w:rsidRPr="00832AB0">
        <w:rPr>
          <w:rFonts w:cs="Calibri"/>
          <w:i/>
        </w:rPr>
        <w:t>the business of the Resulting Issuer, the re-qualification for listing of the Resulting Issuer on the</w:t>
      </w:r>
      <w:r>
        <w:rPr>
          <w:rFonts w:cs="Calibri"/>
          <w:i/>
        </w:rPr>
        <w:t xml:space="preserve"> CSE, </w:t>
      </w:r>
      <w:r w:rsidR="00272A08">
        <w:rPr>
          <w:rFonts w:cs="Calibri"/>
          <w:i/>
        </w:rPr>
        <w:t xml:space="preserve">the </w:t>
      </w:r>
      <w:r w:rsidR="00D03981">
        <w:rPr>
          <w:rFonts w:cs="Calibri"/>
          <w:i/>
        </w:rPr>
        <w:t xml:space="preserve">proposed </w:t>
      </w:r>
      <w:r w:rsidR="00272A08">
        <w:rPr>
          <w:rFonts w:cs="Calibri"/>
          <w:i/>
        </w:rPr>
        <w:t>corporate name of the Resulting Issuer and</w:t>
      </w:r>
      <w:r w:rsidRPr="00832AB0">
        <w:rPr>
          <w:i/>
        </w:rPr>
        <w:t xml:space="preserve"> the </w:t>
      </w:r>
      <w:r w:rsidR="000E0352">
        <w:rPr>
          <w:i/>
        </w:rPr>
        <w:t>anticipated</w:t>
      </w:r>
      <w:r w:rsidRPr="00832AB0">
        <w:rPr>
          <w:i/>
        </w:rPr>
        <w:t xml:space="preserve"> changes to </w:t>
      </w:r>
      <w:r w:rsidR="00C603A7">
        <w:rPr>
          <w:i/>
        </w:rPr>
        <w:t xml:space="preserve">the Resulting Issuer Board and the </w:t>
      </w:r>
      <w:r w:rsidRPr="00832AB0">
        <w:rPr>
          <w:i/>
        </w:rPr>
        <w:t xml:space="preserve">management of </w:t>
      </w:r>
      <w:r>
        <w:rPr>
          <w:bCs/>
          <w:i/>
        </w:rPr>
        <w:t>the Resulting Issuer</w:t>
      </w:r>
      <w:r w:rsidRPr="00832AB0">
        <w:rPr>
          <w:bCs/>
          <w:i/>
        </w:rPr>
        <w:t xml:space="preserve"> </w:t>
      </w:r>
      <w:r w:rsidRPr="00832AB0">
        <w:rPr>
          <w:i/>
        </w:rPr>
        <w:t>in connection with the Closing. The forward-looking statements reflect management’s current expectations based on information currently available and are subject to a number of risks and uncertainties that may cause outcomes to differ materially from those discussed in the forward-looking statements.</w:t>
      </w:r>
    </w:p>
    <w:p w14:paraId="7B00CB0B" w14:textId="56B3AC52" w:rsidR="00C55125" w:rsidRPr="00832AB0" w:rsidRDefault="00C55125" w:rsidP="00C55125">
      <w:pPr>
        <w:pStyle w:val="BodyText"/>
        <w:spacing w:before="240" w:after="0" w:line="240" w:lineRule="auto"/>
        <w:jc w:val="both"/>
        <w:rPr>
          <w:i/>
        </w:rPr>
      </w:pPr>
      <w:r w:rsidRPr="00832AB0">
        <w:rPr>
          <w:i/>
        </w:rPr>
        <w:t xml:space="preserve">Although the Company believes that the assumptions inherent in the forward-looking statements are reasonable, forward-looking statements are not guarantees of future performance and, accordingly, undue reliance should not be put on such statements due to their inherent uncertainty. Factors that could cause actual results or events to differ materially from current expectations include, among other things: that the CSE </w:t>
      </w:r>
      <w:r w:rsidR="000E0352">
        <w:rPr>
          <w:i/>
        </w:rPr>
        <w:t xml:space="preserve">or shareholders of the Company </w:t>
      </w:r>
      <w:r w:rsidRPr="00832AB0">
        <w:rPr>
          <w:i/>
        </w:rPr>
        <w:t xml:space="preserve">may not approve the Acquisition as proposed or at all; that the parties may not be able to satisfy the </w:t>
      </w:r>
      <w:r w:rsidR="000E0352">
        <w:rPr>
          <w:i/>
        </w:rPr>
        <w:t xml:space="preserve">other </w:t>
      </w:r>
      <w:r w:rsidRPr="00832AB0">
        <w:rPr>
          <w:i/>
        </w:rPr>
        <w:t xml:space="preserve">conditions to closing of the Acquisition; </w:t>
      </w:r>
      <w:r w:rsidR="000E0352">
        <w:rPr>
          <w:i/>
        </w:rPr>
        <w:t xml:space="preserve">that the Resulting Issuer may not be able to meet the anticipated business objectives or otherwise achieve the First Milestone and/or the Second Milestone; that the Special Warrants may not be distributed to Target Noteholders or converted into shares of the Resulting Issuer; </w:t>
      </w:r>
      <w:r w:rsidR="000E0352">
        <w:rPr>
          <w:bCs/>
          <w:i/>
        </w:rPr>
        <w:t xml:space="preserve">that the Company may not be able to get </w:t>
      </w:r>
      <w:proofErr w:type="spellStart"/>
      <w:r w:rsidR="000E0352">
        <w:rPr>
          <w:bCs/>
          <w:i/>
        </w:rPr>
        <w:t>Zimtu</w:t>
      </w:r>
      <w:proofErr w:type="spellEnd"/>
      <w:r w:rsidR="000E0352">
        <w:rPr>
          <w:bCs/>
          <w:i/>
        </w:rPr>
        <w:t xml:space="preserve"> or </w:t>
      </w:r>
      <w:proofErr w:type="spellStart"/>
      <w:r w:rsidR="000E0352">
        <w:rPr>
          <w:bCs/>
          <w:i/>
        </w:rPr>
        <w:t>Zimtu</w:t>
      </w:r>
      <w:proofErr w:type="spellEnd"/>
      <w:r w:rsidR="000E0352">
        <w:rPr>
          <w:bCs/>
          <w:i/>
        </w:rPr>
        <w:t xml:space="preserve"> Group members to enter into the Restricted Share Agreement and/or fulfill any respective obligations thereunder; </w:t>
      </w:r>
      <w:r w:rsidR="000E0352">
        <w:rPr>
          <w:i/>
        </w:rPr>
        <w:t xml:space="preserve">that the Resulting Issuer may be unable to complete the First Financing and/or the Second Financing; </w:t>
      </w:r>
      <w:r w:rsidRPr="00832AB0">
        <w:rPr>
          <w:i/>
        </w:rPr>
        <w:t>that the Company may not be able to complete the Br</w:t>
      </w:r>
      <w:r w:rsidR="002F4954">
        <w:rPr>
          <w:i/>
        </w:rPr>
        <w:t>idge Loan as proposed or at all</w:t>
      </w:r>
      <w:r w:rsidRPr="00832AB0">
        <w:rPr>
          <w:i/>
        </w:rPr>
        <w:t xml:space="preserve">; </w:t>
      </w:r>
      <w:r w:rsidR="007826F1" w:rsidRPr="007826F1">
        <w:rPr>
          <w:bCs/>
          <w:i/>
        </w:rPr>
        <w:t xml:space="preserve">the Company </w:t>
      </w:r>
      <w:r w:rsidR="007826F1">
        <w:rPr>
          <w:bCs/>
          <w:i/>
        </w:rPr>
        <w:t xml:space="preserve">having insufficient </w:t>
      </w:r>
      <w:r w:rsidR="007826F1" w:rsidRPr="007826F1">
        <w:rPr>
          <w:bCs/>
          <w:i/>
        </w:rPr>
        <w:t xml:space="preserve">net cash </w:t>
      </w:r>
      <w:r w:rsidR="007826F1">
        <w:rPr>
          <w:bCs/>
          <w:i/>
        </w:rPr>
        <w:t>and/or</w:t>
      </w:r>
      <w:r w:rsidR="007826F1" w:rsidRPr="007826F1">
        <w:rPr>
          <w:bCs/>
          <w:i/>
        </w:rPr>
        <w:t xml:space="preserve"> cash equivalents on Closing;</w:t>
      </w:r>
      <w:r w:rsidR="007826F1">
        <w:rPr>
          <w:bCs/>
          <w:i/>
        </w:rPr>
        <w:t xml:space="preserve"> </w:t>
      </w:r>
      <w:r w:rsidRPr="00832AB0">
        <w:rPr>
          <w:i/>
        </w:rPr>
        <w:t xml:space="preserve">general market conditions; </w:t>
      </w:r>
      <w:r w:rsidR="000E0352">
        <w:rPr>
          <w:i/>
        </w:rPr>
        <w:t xml:space="preserve">factors related to the ongoing COVID-19 pandemic; </w:t>
      </w:r>
      <w:r w:rsidRPr="00832AB0">
        <w:rPr>
          <w:i/>
        </w:rPr>
        <w:t>and other factors beyond the control of the parties. The Company expressly disclaims any intention or obligation to update or revise any forward-looking statements whether as a result of new information, future events or otherwise, except as required by applicable law.</w:t>
      </w:r>
    </w:p>
    <w:p w14:paraId="687A68A5" w14:textId="77777777" w:rsidR="00C55125" w:rsidRPr="00544538" w:rsidRDefault="00C55125" w:rsidP="00C55125"/>
    <w:p w14:paraId="665D2416" w14:textId="77777777" w:rsidR="00343E28" w:rsidRPr="00C55125" w:rsidRDefault="00343E28" w:rsidP="00C55125"/>
    <w:sectPr w:rsidR="00343E28" w:rsidRPr="00C551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0E2F" w14:textId="77777777" w:rsidR="00266142" w:rsidRDefault="00266142" w:rsidP="00682C2E">
      <w:pPr>
        <w:spacing w:after="0" w:line="240" w:lineRule="auto"/>
      </w:pPr>
      <w:r>
        <w:separator/>
      </w:r>
    </w:p>
  </w:endnote>
  <w:endnote w:type="continuationSeparator" w:id="0">
    <w:p w14:paraId="2C4F894D" w14:textId="77777777" w:rsidR="00266142" w:rsidRDefault="00266142" w:rsidP="0068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4C79" w14:textId="77777777" w:rsidR="00682C2E" w:rsidRDefault="00682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6CD" w14:textId="77777777" w:rsidR="00682C2E" w:rsidRDefault="00682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18AB" w14:textId="77777777" w:rsidR="00682C2E" w:rsidRDefault="0068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C2DA" w14:textId="77777777" w:rsidR="00266142" w:rsidRDefault="00266142" w:rsidP="00682C2E">
      <w:pPr>
        <w:spacing w:after="0" w:line="240" w:lineRule="auto"/>
      </w:pPr>
      <w:r>
        <w:separator/>
      </w:r>
    </w:p>
  </w:footnote>
  <w:footnote w:type="continuationSeparator" w:id="0">
    <w:p w14:paraId="04F2441E" w14:textId="77777777" w:rsidR="00266142" w:rsidRDefault="00266142" w:rsidP="0068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124F" w14:textId="77777777" w:rsidR="00682C2E" w:rsidRDefault="0068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71CE" w14:textId="158CE400" w:rsidR="00682C2E" w:rsidRDefault="00682C2E" w:rsidP="0068309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2604" w14:textId="77777777" w:rsidR="00682C2E" w:rsidRDefault="00682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05EA8"/>
    <w:multiLevelType w:val="hybridMultilevel"/>
    <w:tmpl w:val="107A7EA2"/>
    <w:lvl w:ilvl="0" w:tplc="04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43EE4DC9"/>
    <w:multiLevelType w:val="hybridMultilevel"/>
    <w:tmpl w:val="A6B84D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0E57F9"/>
    <w:multiLevelType w:val="multilevel"/>
    <w:tmpl w:val="6BA02FCA"/>
    <w:lvl w:ilvl="0">
      <w:start w:val="1"/>
      <w:numFmt w:val="decimal"/>
      <w:pStyle w:val="Heading1"/>
      <w:lvlText w:val="%1."/>
      <w:lvlJc w:val="left"/>
      <w:pPr>
        <w:tabs>
          <w:tab w:val="num" w:pos="900"/>
        </w:tabs>
        <w:ind w:left="900" w:hanging="720"/>
      </w:pPr>
      <w:rPr>
        <w:rFonts w:hint="default"/>
        <w:sz w:val="22"/>
        <w:szCs w:val="22"/>
        <w:u w:val="none"/>
      </w:rPr>
    </w:lvl>
    <w:lvl w:ilvl="1">
      <w:start w:val="1"/>
      <w:numFmt w:val="lowerLetter"/>
      <w:pStyle w:val="Heading2"/>
      <w:lvlText w:val="(%2)"/>
      <w:lvlJc w:val="left"/>
      <w:pPr>
        <w:tabs>
          <w:tab w:val="num" w:pos="1620"/>
        </w:tabs>
        <w:ind w:left="1620" w:hanging="720"/>
      </w:pPr>
      <w:rPr>
        <w:rFonts w:hint="default"/>
        <w:b w:val="0"/>
        <w:sz w:val="22"/>
        <w:szCs w:val="22"/>
        <w:u w:val="none"/>
      </w:rPr>
    </w:lvl>
    <w:lvl w:ilvl="2">
      <w:start w:val="1"/>
      <w:numFmt w:val="lowerRoman"/>
      <w:pStyle w:val="Heading3"/>
      <w:lvlText w:val="(%3)"/>
      <w:lvlJc w:val="left"/>
      <w:pPr>
        <w:tabs>
          <w:tab w:val="num" w:pos="2340"/>
        </w:tabs>
        <w:ind w:left="2340" w:hanging="720"/>
      </w:pPr>
      <w:rPr>
        <w:rFonts w:hint="default"/>
        <w:u w:val="none"/>
      </w:rPr>
    </w:lvl>
    <w:lvl w:ilvl="3">
      <w:start w:val="1"/>
      <w:numFmt w:val="bullet"/>
      <w:lvlText w:val=""/>
      <w:lvlJc w:val="left"/>
      <w:pPr>
        <w:tabs>
          <w:tab w:val="num" w:pos="3060"/>
        </w:tabs>
        <w:ind w:left="3060" w:hanging="720"/>
      </w:pPr>
      <w:rPr>
        <w:rFonts w:ascii="Symbol" w:hAnsi="Symbol" w:hint="default"/>
        <w:u w:val="none"/>
      </w:rPr>
    </w:lvl>
    <w:lvl w:ilvl="4">
      <w:start w:val="1"/>
      <w:numFmt w:val="upperRoman"/>
      <w:pStyle w:val="Heading5"/>
      <w:lvlText w:val="%5."/>
      <w:lvlJc w:val="left"/>
      <w:pPr>
        <w:tabs>
          <w:tab w:val="num" w:pos="3780"/>
        </w:tabs>
        <w:ind w:left="3780" w:hanging="720"/>
      </w:pPr>
      <w:rPr>
        <w:rFonts w:hint="default"/>
        <w:u w:val="none"/>
      </w:rPr>
    </w:lvl>
    <w:lvl w:ilvl="5">
      <w:start w:val="1"/>
      <w:numFmt w:val="lowerLetter"/>
      <w:pStyle w:val="Heading6"/>
      <w:lvlText w:val="%6."/>
      <w:lvlJc w:val="left"/>
      <w:pPr>
        <w:tabs>
          <w:tab w:val="num" w:pos="4500"/>
        </w:tabs>
        <w:ind w:left="4500" w:hanging="720"/>
      </w:pPr>
      <w:rPr>
        <w:rFonts w:hint="default"/>
        <w:u w:val="none"/>
      </w:rPr>
    </w:lvl>
    <w:lvl w:ilvl="6">
      <w:start w:val="1"/>
      <w:numFmt w:val="lowerRoman"/>
      <w:pStyle w:val="Heading7"/>
      <w:lvlText w:val="%7."/>
      <w:lvlJc w:val="left"/>
      <w:pPr>
        <w:tabs>
          <w:tab w:val="num" w:pos="5220"/>
        </w:tabs>
        <w:ind w:left="5220" w:hanging="720"/>
      </w:pPr>
      <w:rPr>
        <w:rFonts w:hint="default"/>
        <w:u w:val="none"/>
      </w:rPr>
    </w:lvl>
    <w:lvl w:ilvl="7">
      <w:start w:val="1"/>
      <w:numFmt w:val="upperLetter"/>
      <w:pStyle w:val="Heading8"/>
      <w:suff w:val="nothing"/>
      <w:lvlText w:val="Schedule %8"/>
      <w:lvlJc w:val="left"/>
      <w:pPr>
        <w:ind w:left="180" w:firstLine="0"/>
      </w:pPr>
      <w:rPr>
        <w:rFonts w:hint="default"/>
        <w:u w:val="none"/>
      </w:rPr>
    </w:lvl>
    <w:lvl w:ilvl="8">
      <w:start w:val="1"/>
      <w:numFmt w:val="decimal"/>
      <w:pStyle w:val="Heading9"/>
      <w:lvlText w:val="%9."/>
      <w:lvlJc w:val="left"/>
      <w:pPr>
        <w:tabs>
          <w:tab w:val="num" w:pos="900"/>
        </w:tabs>
        <w:ind w:left="900" w:hanging="720"/>
      </w:pPr>
      <w:rPr>
        <w:rFonts w:hint="default"/>
        <w:u w:val="none"/>
      </w:rPr>
    </w:lvl>
  </w:abstractNum>
  <w:abstractNum w:abstractNumId="3" w15:restartNumberingAfterBreak="0">
    <w:nsid w:val="57C67C7D"/>
    <w:multiLevelType w:val="multilevel"/>
    <w:tmpl w:val="F3B87776"/>
    <w:lvl w:ilvl="0">
      <w:start w:val="1"/>
      <w:numFmt w:val="upperLetter"/>
      <w:pStyle w:val="HeadAltA"/>
      <w:lvlText w:val="%1."/>
      <w:lvlJc w:val="left"/>
      <w:pPr>
        <w:tabs>
          <w:tab w:val="num" w:pos="720"/>
        </w:tabs>
        <w:ind w:left="0" w:firstLine="0"/>
      </w:pPr>
      <w:rPr>
        <w:rFonts w:hint="default"/>
      </w:rPr>
    </w:lvl>
    <w:lvl w:ilvl="1">
      <w:numFmt w:val="decimal"/>
      <w:pStyle w:val="HeadAltB"/>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A2D28ED"/>
    <w:multiLevelType w:val="hybridMultilevel"/>
    <w:tmpl w:val="01100EB8"/>
    <w:lvl w:ilvl="0" w:tplc="1ED63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B3"/>
    <w:rsid w:val="000139EC"/>
    <w:rsid w:val="00027517"/>
    <w:rsid w:val="0005689D"/>
    <w:rsid w:val="00061318"/>
    <w:rsid w:val="00086869"/>
    <w:rsid w:val="000A40F7"/>
    <w:rsid w:val="000B2623"/>
    <w:rsid w:val="000B34D1"/>
    <w:rsid w:val="000D18D9"/>
    <w:rsid w:val="000E0352"/>
    <w:rsid w:val="000E487A"/>
    <w:rsid w:val="000F4F84"/>
    <w:rsid w:val="00104A33"/>
    <w:rsid w:val="001178DF"/>
    <w:rsid w:val="00126701"/>
    <w:rsid w:val="00136ACE"/>
    <w:rsid w:val="00136AEE"/>
    <w:rsid w:val="00161F5F"/>
    <w:rsid w:val="0016397C"/>
    <w:rsid w:val="001671A6"/>
    <w:rsid w:val="00180C41"/>
    <w:rsid w:val="001812FC"/>
    <w:rsid w:val="0018209D"/>
    <w:rsid w:val="001943DF"/>
    <w:rsid w:val="001979A4"/>
    <w:rsid w:val="001A0008"/>
    <w:rsid w:val="001A1EFA"/>
    <w:rsid w:val="001A4100"/>
    <w:rsid w:val="001A7DB9"/>
    <w:rsid w:val="001D4819"/>
    <w:rsid w:val="00214C1E"/>
    <w:rsid w:val="00220915"/>
    <w:rsid w:val="00230E6E"/>
    <w:rsid w:val="00236B5D"/>
    <w:rsid w:val="002411E2"/>
    <w:rsid w:val="002546B5"/>
    <w:rsid w:val="00265364"/>
    <w:rsid w:val="00266142"/>
    <w:rsid w:val="002673B2"/>
    <w:rsid w:val="00270FE2"/>
    <w:rsid w:val="00272A08"/>
    <w:rsid w:val="00276A1F"/>
    <w:rsid w:val="00280C00"/>
    <w:rsid w:val="0029106E"/>
    <w:rsid w:val="0029230F"/>
    <w:rsid w:val="0029249D"/>
    <w:rsid w:val="00292F8A"/>
    <w:rsid w:val="002949E7"/>
    <w:rsid w:val="002A2CBB"/>
    <w:rsid w:val="002A7AE6"/>
    <w:rsid w:val="002B1098"/>
    <w:rsid w:val="002B365B"/>
    <w:rsid w:val="002C485E"/>
    <w:rsid w:val="002C4E3B"/>
    <w:rsid w:val="002D4314"/>
    <w:rsid w:val="002E05B1"/>
    <w:rsid w:val="002F40CA"/>
    <w:rsid w:val="002F4954"/>
    <w:rsid w:val="00307774"/>
    <w:rsid w:val="003079E1"/>
    <w:rsid w:val="00343E28"/>
    <w:rsid w:val="0036167F"/>
    <w:rsid w:val="00370BB0"/>
    <w:rsid w:val="0037662E"/>
    <w:rsid w:val="003B3D49"/>
    <w:rsid w:val="003E2941"/>
    <w:rsid w:val="003E5719"/>
    <w:rsid w:val="003E5DDD"/>
    <w:rsid w:val="003E7CB3"/>
    <w:rsid w:val="00406A75"/>
    <w:rsid w:val="00410AF2"/>
    <w:rsid w:val="00420DEE"/>
    <w:rsid w:val="0042303E"/>
    <w:rsid w:val="00426F65"/>
    <w:rsid w:val="004304C8"/>
    <w:rsid w:val="0043148B"/>
    <w:rsid w:val="00451257"/>
    <w:rsid w:val="00456506"/>
    <w:rsid w:val="0046372D"/>
    <w:rsid w:val="004819DB"/>
    <w:rsid w:val="00490663"/>
    <w:rsid w:val="004A2007"/>
    <w:rsid w:val="004C4A7E"/>
    <w:rsid w:val="004C5F29"/>
    <w:rsid w:val="0054438A"/>
    <w:rsid w:val="00544538"/>
    <w:rsid w:val="00557433"/>
    <w:rsid w:val="0056256E"/>
    <w:rsid w:val="005900B8"/>
    <w:rsid w:val="005942D8"/>
    <w:rsid w:val="005A7CDC"/>
    <w:rsid w:val="005F2869"/>
    <w:rsid w:val="005F4528"/>
    <w:rsid w:val="005F4E23"/>
    <w:rsid w:val="005F7AA7"/>
    <w:rsid w:val="00602F79"/>
    <w:rsid w:val="006056B3"/>
    <w:rsid w:val="00625DA4"/>
    <w:rsid w:val="0062649D"/>
    <w:rsid w:val="00630A16"/>
    <w:rsid w:val="0064700D"/>
    <w:rsid w:val="00667F56"/>
    <w:rsid w:val="00671283"/>
    <w:rsid w:val="00682C2E"/>
    <w:rsid w:val="00683093"/>
    <w:rsid w:val="006C37AB"/>
    <w:rsid w:val="006C5366"/>
    <w:rsid w:val="006D1805"/>
    <w:rsid w:val="006E0A9A"/>
    <w:rsid w:val="006F65AC"/>
    <w:rsid w:val="00700AB0"/>
    <w:rsid w:val="00723203"/>
    <w:rsid w:val="007458FB"/>
    <w:rsid w:val="007466A7"/>
    <w:rsid w:val="00776082"/>
    <w:rsid w:val="007763FA"/>
    <w:rsid w:val="007768DE"/>
    <w:rsid w:val="007824EF"/>
    <w:rsid w:val="007826F1"/>
    <w:rsid w:val="007D18A4"/>
    <w:rsid w:val="007D29DE"/>
    <w:rsid w:val="00823773"/>
    <w:rsid w:val="00832AB0"/>
    <w:rsid w:val="00833BE3"/>
    <w:rsid w:val="008361A0"/>
    <w:rsid w:val="00846611"/>
    <w:rsid w:val="00863D89"/>
    <w:rsid w:val="008735F2"/>
    <w:rsid w:val="008757D1"/>
    <w:rsid w:val="00892292"/>
    <w:rsid w:val="008B353D"/>
    <w:rsid w:val="008E55ED"/>
    <w:rsid w:val="008F326D"/>
    <w:rsid w:val="00902242"/>
    <w:rsid w:val="009038DB"/>
    <w:rsid w:val="009223F0"/>
    <w:rsid w:val="00952344"/>
    <w:rsid w:val="00973BF5"/>
    <w:rsid w:val="00984757"/>
    <w:rsid w:val="009A72E1"/>
    <w:rsid w:val="009B09A0"/>
    <w:rsid w:val="009C603E"/>
    <w:rsid w:val="009C6C79"/>
    <w:rsid w:val="00A068B7"/>
    <w:rsid w:val="00A26926"/>
    <w:rsid w:val="00A30E52"/>
    <w:rsid w:val="00A50C0E"/>
    <w:rsid w:val="00A52A3D"/>
    <w:rsid w:val="00A53975"/>
    <w:rsid w:val="00A61D6E"/>
    <w:rsid w:val="00A658FB"/>
    <w:rsid w:val="00A94E0F"/>
    <w:rsid w:val="00AB3B8E"/>
    <w:rsid w:val="00AF308E"/>
    <w:rsid w:val="00B21688"/>
    <w:rsid w:val="00B24E35"/>
    <w:rsid w:val="00B30939"/>
    <w:rsid w:val="00B34590"/>
    <w:rsid w:val="00B51275"/>
    <w:rsid w:val="00B63643"/>
    <w:rsid w:val="00B86DBA"/>
    <w:rsid w:val="00BA3776"/>
    <w:rsid w:val="00BA5D97"/>
    <w:rsid w:val="00BC7C91"/>
    <w:rsid w:val="00BE2AED"/>
    <w:rsid w:val="00BE4E9E"/>
    <w:rsid w:val="00BE5CC3"/>
    <w:rsid w:val="00BF34EF"/>
    <w:rsid w:val="00C0162F"/>
    <w:rsid w:val="00C06868"/>
    <w:rsid w:val="00C17DE0"/>
    <w:rsid w:val="00C35F22"/>
    <w:rsid w:val="00C3677A"/>
    <w:rsid w:val="00C55125"/>
    <w:rsid w:val="00C55462"/>
    <w:rsid w:val="00C56193"/>
    <w:rsid w:val="00C603A7"/>
    <w:rsid w:val="00C9404E"/>
    <w:rsid w:val="00CA48A7"/>
    <w:rsid w:val="00CB005B"/>
    <w:rsid w:val="00CB487C"/>
    <w:rsid w:val="00CB7A8B"/>
    <w:rsid w:val="00CC01A1"/>
    <w:rsid w:val="00D00288"/>
    <w:rsid w:val="00D03981"/>
    <w:rsid w:val="00D05912"/>
    <w:rsid w:val="00D066DE"/>
    <w:rsid w:val="00D20C58"/>
    <w:rsid w:val="00D237E9"/>
    <w:rsid w:val="00D36D80"/>
    <w:rsid w:val="00D44684"/>
    <w:rsid w:val="00D53649"/>
    <w:rsid w:val="00D5776E"/>
    <w:rsid w:val="00D82D39"/>
    <w:rsid w:val="00D86007"/>
    <w:rsid w:val="00D86757"/>
    <w:rsid w:val="00D957D2"/>
    <w:rsid w:val="00DA132F"/>
    <w:rsid w:val="00DA1639"/>
    <w:rsid w:val="00DA2E7F"/>
    <w:rsid w:val="00DA60C8"/>
    <w:rsid w:val="00DC72F1"/>
    <w:rsid w:val="00DF14D7"/>
    <w:rsid w:val="00DF713B"/>
    <w:rsid w:val="00E05D8E"/>
    <w:rsid w:val="00E102CD"/>
    <w:rsid w:val="00E41366"/>
    <w:rsid w:val="00E450E0"/>
    <w:rsid w:val="00E45685"/>
    <w:rsid w:val="00E607D4"/>
    <w:rsid w:val="00E8510F"/>
    <w:rsid w:val="00E85A1C"/>
    <w:rsid w:val="00E9756D"/>
    <w:rsid w:val="00EE54D3"/>
    <w:rsid w:val="00EF6C5C"/>
    <w:rsid w:val="00F05EA4"/>
    <w:rsid w:val="00F168C3"/>
    <w:rsid w:val="00F356BE"/>
    <w:rsid w:val="00F51412"/>
    <w:rsid w:val="00F7135A"/>
    <w:rsid w:val="00F927F6"/>
    <w:rsid w:val="00F974BB"/>
    <w:rsid w:val="00FB283E"/>
    <w:rsid w:val="00FF133A"/>
    <w:rsid w:val="00FF7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7D82"/>
  <w15:docId w15:val="{E3CD980D-FDCE-421F-B13D-49E86F46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qFormat/>
    <w:rsid w:val="002C4E3B"/>
    <w:pPr>
      <w:numPr>
        <w:numId w:val="1"/>
      </w:numPr>
      <w:tabs>
        <w:tab w:val="clear" w:pos="900"/>
        <w:tab w:val="left" w:pos="720"/>
      </w:tabs>
      <w:spacing w:before="240" w:after="0" w:line="240" w:lineRule="auto"/>
      <w:ind w:left="720"/>
      <w:jc w:val="both"/>
      <w:outlineLvl w:val="0"/>
    </w:pPr>
    <w:rPr>
      <w:rFonts w:ascii="Book Antiqua" w:eastAsia="Times New Roman" w:hAnsi="Book Antiqua" w:cs="Times New Roman"/>
      <w:szCs w:val="20"/>
    </w:rPr>
  </w:style>
  <w:style w:type="paragraph" w:styleId="Heading2">
    <w:name w:val="heading 2"/>
    <w:basedOn w:val="BodyText"/>
    <w:link w:val="Heading2Char"/>
    <w:qFormat/>
    <w:rsid w:val="002C4E3B"/>
    <w:pPr>
      <w:numPr>
        <w:ilvl w:val="1"/>
        <w:numId w:val="1"/>
      </w:numPr>
      <w:tabs>
        <w:tab w:val="clear" w:pos="1620"/>
        <w:tab w:val="left" w:pos="1440"/>
      </w:tabs>
      <w:spacing w:before="240" w:after="0" w:line="240" w:lineRule="auto"/>
      <w:ind w:left="1440"/>
      <w:jc w:val="both"/>
      <w:outlineLvl w:val="1"/>
    </w:pPr>
    <w:rPr>
      <w:rFonts w:ascii="Book Antiqua" w:eastAsia="Times New Roman" w:hAnsi="Book Antiqua" w:cs="Times New Roman"/>
      <w:szCs w:val="20"/>
    </w:rPr>
  </w:style>
  <w:style w:type="paragraph" w:styleId="Heading3">
    <w:name w:val="heading 3"/>
    <w:basedOn w:val="BodyText"/>
    <w:link w:val="Heading3Char"/>
    <w:qFormat/>
    <w:rsid w:val="002C4E3B"/>
    <w:pPr>
      <w:numPr>
        <w:ilvl w:val="2"/>
        <w:numId w:val="1"/>
      </w:numPr>
      <w:tabs>
        <w:tab w:val="clear" w:pos="2340"/>
        <w:tab w:val="left" w:pos="2160"/>
      </w:tabs>
      <w:spacing w:before="240" w:after="0" w:line="240" w:lineRule="auto"/>
      <w:ind w:left="2160"/>
      <w:jc w:val="both"/>
      <w:outlineLvl w:val="2"/>
    </w:pPr>
    <w:rPr>
      <w:rFonts w:ascii="Book Antiqua" w:eastAsia="Times New Roman" w:hAnsi="Book Antiqua" w:cs="Times New Roman"/>
      <w:szCs w:val="20"/>
    </w:rPr>
  </w:style>
  <w:style w:type="paragraph" w:styleId="Heading4">
    <w:name w:val="heading 4"/>
    <w:basedOn w:val="BodyText"/>
    <w:link w:val="Heading4Char"/>
    <w:qFormat/>
    <w:rsid w:val="002C4E3B"/>
    <w:pPr>
      <w:tabs>
        <w:tab w:val="left" w:pos="2880"/>
      </w:tabs>
      <w:spacing w:before="240" w:after="0" w:line="240" w:lineRule="auto"/>
      <w:jc w:val="both"/>
      <w:outlineLvl w:val="3"/>
    </w:pPr>
    <w:rPr>
      <w:rFonts w:ascii="Book Antiqua" w:eastAsia="Times New Roman" w:hAnsi="Book Antiqua" w:cs="Times New Roman"/>
      <w:szCs w:val="20"/>
    </w:rPr>
  </w:style>
  <w:style w:type="paragraph" w:styleId="Heading5">
    <w:name w:val="heading 5"/>
    <w:basedOn w:val="BodyText"/>
    <w:link w:val="Heading5Char"/>
    <w:qFormat/>
    <w:rsid w:val="002C4E3B"/>
    <w:pPr>
      <w:numPr>
        <w:ilvl w:val="4"/>
        <w:numId w:val="1"/>
      </w:numPr>
      <w:tabs>
        <w:tab w:val="clear" w:pos="3780"/>
        <w:tab w:val="left" w:pos="3600"/>
      </w:tabs>
      <w:spacing w:before="240" w:after="0" w:line="240" w:lineRule="auto"/>
      <w:ind w:left="3600"/>
      <w:jc w:val="both"/>
      <w:outlineLvl w:val="4"/>
    </w:pPr>
    <w:rPr>
      <w:rFonts w:ascii="Book Antiqua" w:eastAsia="Times New Roman" w:hAnsi="Book Antiqua" w:cs="Times New Roman"/>
      <w:szCs w:val="20"/>
    </w:rPr>
  </w:style>
  <w:style w:type="paragraph" w:styleId="Heading6">
    <w:name w:val="heading 6"/>
    <w:basedOn w:val="BodyText"/>
    <w:link w:val="Heading6Char"/>
    <w:qFormat/>
    <w:rsid w:val="002C4E3B"/>
    <w:pPr>
      <w:numPr>
        <w:ilvl w:val="5"/>
        <w:numId w:val="1"/>
      </w:numPr>
      <w:tabs>
        <w:tab w:val="clear" w:pos="4500"/>
        <w:tab w:val="left" w:pos="4320"/>
      </w:tabs>
      <w:spacing w:before="240" w:after="0" w:line="240" w:lineRule="auto"/>
      <w:ind w:left="4320"/>
      <w:jc w:val="both"/>
      <w:outlineLvl w:val="5"/>
    </w:pPr>
    <w:rPr>
      <w:rFonts w:ascii="Book Antiqua" w:eastAsia="Times New Roman" w:hAnsi="Book Antiqua" w:cs="Times New Roman"/>
      <w:szCs w:val="20"/>
    </w:rPr>
  </w:style>
  <w:style w:type="paragraph" w:styleId="Heading7">
    <w:name w:val="heading 7"/>
    <w:basedOn w:val="BodyText"/>
    <w:link w:val="Heading7Char"/>
    <w:qFormat/>
    <w:rsid w:val="002C4E3B"/>
    <w:pPr>
      <w:numPr>
        <w:ilvl w:val="6"/>
        <w:numId w:val="1"/>
      </w:numPr>
      <w:tabs>
        <w:tab w:val="clear" w:pos="5220"/>
        <w:tab w:val="left" w:pos="5040"/>
      </w:tabs>
      <w:spacing w:before="240" w:after="0" w:line="240" w:lineRule="auto"/>
      <w:ind w:left="5040"/>
      <w:jc w:val="both"/>
      <w:outlineLvl w:val="6"/>
    </w:pPr>
    <w:rPr>
      <w:rFonts w:ascii="Book Antiqua" w:eastAsia="Times New Roman" w:hAnsi="Book Antiqua" w:cs="Times New Roman"/>
      <w:szCs w:val="20"/>
    </w:rPr>
  </w:style>
  <w:style w:type="paragraph" w:styleId="Heading8">
    <w:name w:val="heading 8"/>
    <w:basedOn w:val="Normal"/>
    <w:next w:val="BodyText"/>
    <w:link w:val="Heading8Char"/>
    <w:qFormat/>
    <w:rsid w:val="002C4E3B"/>
    <w:pPr>
      <w:keepNext/>
      <w:keepLines/>
      <w:numPr>
        <w:ilvl w:val="7"/>
        <w:numId w:val="1"/>
      </w:numPr>
      <w:spacing w:before="240" w:after="0" w:line="240" w:lineRule="auto"/>
      <w:ind w:left="0"/>
      <w:jc w:val="center"/>
      <w:outlineLvl w:val="7"/>
    </w:pPr>
    <w:rPr>
      <w:rFonts w:ascii="Book Antiqua" w:eastAsia="Times New Roman" w:hAnsi="Book Antiqua" w:cs="Times New Roman"/>
      <w:b/>
      <w:caps/>
      <w:szCs w:val="20"/>
    </w:rPr>
  </w:style>
  <w:style w:type="paragraph" w:styleId="Heading9">
    <w:name w:val="heading 9"/>
    <w:basedOn w:val="BodyText"/>
    <w:link w:val="Heading9Char"/>
    <w:qFormat/>
    <w:rsid w:val="002C4E3B"/>
    <w:pPr>
      <w:numPr>
        <w:ilvl w:val="8"/>
        <w:numId w:val="1"/>
      </w:numPr>
      <w:tabs>
        <w:tab w:val="clear" w:pos="900"/>
        <w:tab w:val="left" w:pos="720"/>
      </w:tabs>
      <w:spacing w:before="240" w:after="0" w:line="240" w:lineRule="auto"/>
      <w:ind w:left="720"/>
      <w:jc w:val="both"/>
      <w:outlineLvl w:val="8"/>
    </w:pPr>
    <w:rPr>
      <w:rFonts w:ascii="Arial" w:eastAsia="Times New Roman" w:hAnsi="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B3"/>
    <w:rPr>
      <w:color w:val="0563C1" w:themeColor="hyperlink"/>
      <w:u w:val="single"/>
    </w:rPr>
  </w:style>
  <w:style w:type="character" w:customStyle="1" w:styleId="UnresolvedMention1">
    <w:name w:val="Unresolved Mention1"/>
    <w:basedOn w:val="DefaultParagraphFont"/>
    <w:uiPriority w:val="99"/>
    <w:semiHidden/>
    <w:unhideWhenUsed/>
    <w:rsid w:val="003E7CB3"/>
    <w:rPr>
      <w:color w:val="605E5C"/>
      <w:shd w:val="clear" w:color="auto" w:fill="E1DFDD"/>
    </w:rPr>
  </w:style>
  <w:style w:type="paragraph" w:styleId="BalloonText">
    <w:name w:val="Balloon Text"/>
    <w:basedOn w:val="Normal"/>
    <w:link w:val="BalloonTextChar"/>
    <w:uiPriority w:val="99"/>
    <w:semiHidden/>
    <w:unhideWhenUsed/>
    <w:rsid w:val="006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E"/>
    <w:rPr>
      <w:rFonts w:ascii="Tahoma" w:hAnsi="Tahoma" w:cs="Tahoma"/>
      <w:sz w:val="16"/>
      <w:szCs w:val="16"/>
    </w:rPr>
  </w:style>
  <w:style w:type="paragraph" w:styleId="BodyText">
    <w:name w:val="Body Text"/>
    <w:basedOn w:val="Normal"/>
    <w:link w:val="BodyTextChar"/>
    <w:uiPriority w:val="99"/>
    <w:unhideWhenUsed/>
    <w:rsid w:val="00682C2E"/>
    <w:pPr>
      <w:spacing w:after="120"/>
    </w:pPr>
  </w:style>
  <w:style w:type="character" w:customStyle="1" w:styleId="BodyTextChar">
    <w:name w:val="Body Text Char"/>
    <w:basedOn w:val="DefaultParagraphFont"/>
    <w:link w:val="BodyText"/>
    <w:uiPriority w:val="99"/>
    <w:rsid w:val="00682C2E"/>
  </w:style>
  <w:style w:type="paragraph" w:styleId="Header">
    <w:name w:val="header"/>
    <w:basedOn w:val="Normal"/>
    <w:link w:val="HeaderChar"/>
    <w:uiPriority w:val="99"/>
    <w:unhideWhenUsed/>
    <w:rsid w:val="0068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2E"/>
  </w:style>
  <w:style w:type="paragraph" w:styleId="Footer">
    <w:name w:val="footer"/>
    <w:basedOn w:val="Normal"/>
    <w:link w:val="FooterChar"/>
    <w:uiPriority w:val="99"/>
    <w:unhideWhenUsed/>
    <w:rsid w:val="0068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2E"/>
  </w:style>
  <w:style w:type="character" w:customStyle="1" w:styleId="Heading1Char">
    <w:name w:val="Heading 1 Char"/>
    <w:basedOn w:val="DefaultParagraphFont"/>
    <w:link w:val="Heading1"/>
    <w:rsid w:val="002C4E3B"/>
    <w:rPr>
      <w:rFonts w:ascii="Book Antiqua" w:eastAsia="Times New Roman" w:hAnsi="Book Antiqua" w:cs="Times New Roman"/>
      <w:szCs w:val="20"/>
    </w:rPr>
  </w:style>
  <w:style w:type="character" w:customStyle="1" w:styleId="Heading2Char">
    <w:name w:val="Heading 2 Char"/>
    <w:basedOn w:val="DefaultParagraphFont"/>
    <w:link w:val="Heading2"/>
    <w:rsid w:val="002C4E3B"/>
    <w:rPr>
      <w:rFonts w:ascii="Book Antiqua" w:eastAsia="Times New Roman" w:hAnsi="Book Antiqua" w:cs="Times New Roman"/>
      <w:szCs w:val="20"/>
    </w:rPr>
  </w:style>
  <w:style w:type="character" w:customStyle="1" w:styleId="Heading3Char">
    <w:name w:val="Heading 3 Char"/>
    <w:basedOn w:val="DefaultParagraphFont"/>
    <w:link w:val="Heading3"/>
    <w:rsid w:val="002C4E3B"/>
    <w:rPr>
      <w:rFonts w:ascii="Book Antiqua" w:eastAsia="Times New Roman" w:hAnsi="Book Antiqua" w:cs="Times New Roman"/>
      <w:szCs w:val="20"/>
    </w:rPr>
  </w:style>
  <w:style w:type="character" w:customStyle="1" w:styleId="Heading4Char">
    <w:name w:val="Heading 4 Char"/>
    <w:basedOn w:val="DefaultParagraphFont"/>
    <w:link w:val="Heading4"/>
    <w:rsid w:val="002C4E3B"/>
    <w:rPr>
      <w:rFonts w:ascii="Book Antiqua" w:eastAsia="Times New Roman" w:hAnsi="Book Antiqua" w:cs="Times New Roman"/>
      <w:szCs w:val="20"/>
    </w:rPr>
  </w:style>
  <w:style w:type="character" w:customStyle="1" w:styleId="Heading5Char">
    <w:name w:val="Heading 5 Char"/>
    <w:basedOn w:val="DefaultParagraphFont"/>
    <w:link w:val="Heading5"/>
    <w:rsid w:val="002C4E3B"/>
    <w:rPr>
      <w:rFonts w:ascii="Book Antiqua" w:eastAsia="Times New Roman" w:hAnsi="Book Antiqua" w:cs="Times New Roman"/>
      <w:szCs w:val="20"/>
    </w:rPr>
  </w:style>
  <w:style w:type="character" w:customStyle="1" w:styleId="Heading6Char">
    <w:name w:val="Heading 6 Char"/>
    <w:basedOn w:val="DefaultParagraphFont"/>
    <w:link w:val="Heading6"/>
    <w:rsid w:val="002C4E3B"/>
    <w:rPr>
      <w:rFonts w:ascii="Book Antiqua" w:eastAsia="Times New Roman" w:hAnsi="Book Antiqua" w:cs="Times New Roman"/>
      <w:szCs w:val="20"/>
    </w:rPr>
  </w:style>
  <w:style w:type="character" w:customStyle="1" w:styleId="Heading7Char">
    <w:name w:val="Heading 7 Char"/>
    <w:basedOn w:val="DefaultParagraphFont"/>
    <w:link w:val="Heading7"/>
    <w:rsid w:val="002C4E3B"/>
    <w:rPr>
      <w:rFonts w:ascii="Book Antiqua" w:eastAsia="Times New Roman" w:hAnsi="Book Antiqua" w:cs="Times New Roman"/>
      <w:szCs w:val="20"/>
    </w:rPr>
  </w:style>
  <w:style w:type="character" w:customStyle="1" w:styleId="Heading8Char">
    <w:name w:val="Heading 8 Char"/>
    <w:basedOn w:val="DefaultParagraphFont"/>
    <w:link w:val="Heading8"/>
    <w:rsid w:val="002C4E3B"/>
    <w:rPr>
      <w:rFonts w:ascii="Book Antiqua" w:eastAsia="Times New Roman" w:hAnsi="Book Antiqua" w:cs="Times New Roman"/>
      <w:b/>
      <w:caps/>
      <w:szCs w:val="20"/>
    </w:rPr>
  </w:style>
  <w:style w:type="character" w:customStyle="1" w:styleId="Heading9Char">
    <w:name w:val="Heading 9 Char"/>
    <w:basedOn w:val="DefaultParagraphFont"/>
    <w:link w:val="Heading9"/>
    <w:rsid w:val="002C4E3B"/>
    <w:rPr>
      <w:rFonts w:ascii="Arial" w:eastAsia="Times New Roman" w:hAnsi="Arial" w:cs="Arial"/>
      <w:szCs w:val="16"/>
    </w:rPr>
  </w:style>
  <w:style w:type="table" w:styleId="TableGrid">
    <w:name w:val="Table Grid"/>
    <w:basedOn w:val="TableNormal"/>
    <w:uiPriority w:val="99"/>
    <w:rsid w:val="000E48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125"/>
    <w:pPr>
      <w:ind w:left="720"/>
      <w:contextualSpacing/>
    </w:pPr>
  </w:style>
  <w:style w:type="paragraph" w:customStyle="1" w:styleId="HeadAltA">
    <w:name w:val="Head Alt A"/>
    <w:basedOn w:val="BodyText"/>
    <w:rsid w:val="000D18D9"/>
    <w:pPr>
      <w:numPr>
        <w:numId w:val="4"/>
      </w:numPr>
      <w:tabs>
        <w:tab w:val="left" w:pos="1440"/>
      </w:tabs>
      <w:spacing w:before="240" w:after="0" w:line="240" w:lineRule="auto"/>
      <w:jc w:val="both"/>
    </w:pPr>
    <w:rPr>
      <w:rFonts w:ascii="Book Antiqua" w:eastAsia="Times New Roman" w:hAnsi="Book Antiqua" w:cs="Times New Roman"/>
    </w:rPr>
  </w:style>
  <w:style w:type="paragraph" w:customStyle="1" w:styleId="HeadAltB">
    <w:name w:val="Head Alt B"/>
    <w:basedOn w:val="BodyText"/>
    <w:rsid w:val="000D18D9"/>
    <w:pPr>
      <w:numPr>
        <w:ilvl w:val="1"/>
        <w:numId w:val="4"/>
      </w:numPr>
      <w:spacing w:before="240" w:after="0" w:line="240" w:lineRule="auto"/>
      <w:jc w:val="both"/>
    </w:pPr>
    <w:rPr>
      <w:rFonts w:ascii="Book Antiqua" w:eastAsia="Times New Roman" w:hAnsi="Book Antiqua" w:cs="Times New Roman"/>
    </w:rPr>
  </w:style>
  <w:style w:type="character" w:customStyle="1" w:styleId="DeltaViewInsertion">
    <w:name w:val="DeltaView Insertion"/>
    <w:uiPriority w:val="99"/>
    <w:rsid w:val="00D20C58"/>
    <w:rPr>
      <w:color w:val="0000FF"/>
      <w:u w:val="double"/>
    </w:rPr>
  </w:style>
  <w:style w:type="character" w:customStyle="1" w:styleId="DeltaViewDeletion">
    <w:name w:val="DeltaView Deletion"/>
    <w:uiPriority w:val="99"/>
    <w:rsid w:val="00D20C58"/>
    <w:rPr>
      <w:strike/>
      <w:color w:val="FF0000"/>
    </w:rPr>
  </w:style>
  <w:style w:type="character" w:styleId="UnresolvedMention">
    <w:name w:val="Unresolved Mention"/>
    <w:basedOn w:val="DefaultParagraphFont"/>
    <w:uiPriority w:val="99"/>
    <w:semiHidden/>
    <w:unhideWhenUsed/>
    <w:rsid w:val="00B8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21358">
      <w:bodyDiv w:val="1"/>
      <w:marLeft w:val="0"/>
      <w:marRight w:val="0"/>
      <w:marTop w:val="0"/>
      <w:marBottom w:val="0"/>
      <w:divBdr>
        <w:top w:val="none" w:sz="0" w:space="0" w:color="auto"/>
        <w:left w:val="none" w:sz="0" w:space="0" w:color="auto"/>
        <w:bottom w:val="none" w:sz="0" w:space="0" w:color="auto"/>
        <w:right w:val="none" w:sz="0" w:space="0" w:color="auto"/>
      </w:divBdr>
    </w:div>
    <w:div w:id="407073946">
      <w:bodyDiv w:val="1"/>
      <w:marLeft w:val="0"/>
      <w:marRight w:val="0"/>
      <w:marTop w:val="0"/>
      <w:marBottom w:val="0"/>
      <w:divBdr>
        <w:top w:val="none" w:sz="0" w:space="0" w:color="auto"/>
        <w:left w:val="none" w:sz="0" w:space="0" w:color="auto"/>
        <w:bottom w:val="none" w:sz="0" w:space="0" w:color="auto"/>
        <w:right w:val="none" w:sz="0" w:space="0" w:color="auto"/>
      </w:divBdr>
    </w:div>
    <w:div w:id="20054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dimensionfive.ca" TargetMode="External"/><Relationship Id="rId4" Type="http://schemas.openxmlformats.org/officeDocument/2006/relationships/settings" Target="settings.xml"/><Relationship Id="rId9" Type="http://schemas.openxmlformats.org/officeDocument/2006/relationships/hyperlink" Target="http://www.dimensionfive.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56F2-616E-4ED4-ADE3-D28117AA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dc:creator>
  <cp:keywords/>
  <dc:description>46806-0001</dc:description>
  <cp:lastModifiedBy>Chris Parr</cp:lastModifiedBy>
  <cp:revision>2</cp:revision>
  <dcterms:created xsi:type="dcterms:W3CDTF">2020-10-23T15:46:00Z</dcterms:created>
  <dcterms:modified xsi:type="dcterms:W3CDTF">2020-10-23T15:46:00Z</dcterms:modified>
</cp:coreProperties>
</file>