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B7" w:rsidRPr="001854B7" w:rsidRDefault="001854B7" w:rsidP="001854B7">
      <w:pPr>
        <w:spacing w:after="200" w:line="276" w:lineRule="auto"/>
        <w:rPr>
          <w:rFonts w:ascii="Times New Roman" w:eastAsiaTheme="minorHAnsi" w:hAnsi="Times New Roman" w:cs="Times New Roman"/>
          <w:b/>
          <w:sz w:val="22"/>
          <w:szCs w:val="22"/>
          <w:lang w:val="en-CA"/>
        </w:rPr>
      </w:pPr>
      <w:bookmarkStart w:id="0" w:name="_GoBack"/>
      <w:bookmarkEnd w:id="0"/>
      <w:r w:rsidRPr="001854B7">
        <w:rPr>
          <w:rFonts w:ascii="Times New Roman" w:eastAsiaTheme="minorHAnsi" w:hAnsi="Times New Roman" w:cs="Times New Roman"/>
          <w:b/>
          <w:sz w:val="22"/>
          <w:szCs w:val="22"/>
          <w:lang w:val="en-CA"/>
        </w:rPr>
        <w:t>Plaintree Systems Inc. Provides Bi-Weekly Default Status Report</w:t>
      </w:r>
    </w:p>
    <w:p w:rsidR="001854B7" w:rsidRPr="001854B7" w:rsidRDefault="001854B7" w:rsidP="001854B7">
      <w:pPr>
        <w:spacing w:after="200" w:line="276" w:lineRule="auto"/>
        <w:rPr>
          <w:rFonts w:ascii="Times New Roman" w:eastAsiaTheme="minorHAnsi" w:hAnsi="Times New Roman" w:cs="Times New Roman"/>
          <w:sz w:val="22"/>
          <w:szCs w:val="22"/>
          <w:lang w:val="en-CA"/>
        </w:rPr>
      </w:pPr>
      <w:r w:rsidRPr="001854B7">
        <w:rPr>
          <w:rFonts w:ascii="Times New Roman" w:eastAsiaTheme="minorHAnsi" w:hAnsi="Times New Roman" w:cs="Times New Roman"/>
          <w:sz w:val="22"/>
          <w:szCs w:val="22"/>
          <w:lang w:val="en-CA"/>
        </w:rPr>
        <w:t>August 11, 2017</w:t>
      </w:r>
    </w:p>
    <w:p w:rsidR="001854B7" w:rsidRPr="001854B7" w:rsidRDefault="001854B7" w:rsidP="00925DA0">
      <w:pPr>
        <w:spacing w:after="200" w:line="276" w:lineRule="auto"/>
        <w:jc w:val="both"/>
        <w:rPr>
          <w:rFonts w:ascii="Times New Roman" w:eastAsiaTheme="minorHAnsi" w:hAnsi="Times New Roman" w:cs="Times New Roman"/>
          <w:sz w:val="22"/>
          <w:szCs w:val="22"/>
          <w:lang w:val="en-CA"/>
        </w:rPr>
      </w:pPr>
      <w:r w:rsidRPr="001854B7">
        <w:rPr>
          <w:rFonts w:ascii="Times New Roman" w:eastAsiaTheme="minorHAnsi" w:hAnsi="Times New Roman" w:cs="Times New Roman"/>
          <w:b/>
          <w:sz w:val="22"/>
          <w:szCs w:val="22"/>
          <w:lang w:val="en-CA"/>
        </w:rPr>
        <w:t>ARNPRIOR</w:t>
      </w:r>
      <w:r w:rsidRPr="00925DA0">
        <w:rPr>
          <w:rFonts w:ascii="Times New Roman" w:eastAsiaTheme="minorHAnsi" w:hAnsi="Times New Roman" w:cs="Times New Roman"/>
          <w:b/>
          <w:sz w:val="22"/>
          <w:szCs w:val="22"/>
          <w:lang w:val="en-CA"/>
        </w:rPr>
        <w:t xml:space="preserve">, Ontario – August 11, 2017 </w:t>
      </w:r>
      <w:r w:rsidRPr="001854B7">
        <w:rPr>
          <w:rFonts w:ascii="Times New Roman" w:eastAsiaTheme="minorHAnsi" w:hAnsi="Times New Roman" w:cs="Times New Roman"/>
          <w:b/>
          <w:sz w:val="22"/>
          <w:szCs w:val="22"/>
          <w:lang w:val="en-CA"/>
        </w:rPr>
        <w:t>(CSE: NPT)</w:t>
      </w:r>
      <w:r w:rsidRPr="001854B7">
        <w:rPr>
          <w:rFonts w:ascii="Times New Roman" w:eastAsiaTheme="minorHAnsi" w:hAnsi="Times New Roman" w:cs="Times New Roman"/>
          <w:sz w:val="22"/>
          <w:szCs w:val="22"/>
          <w:lang w:val="en-CA"/>
        </w:rPr>
        <w:t xml:space="preserve"> (</w:t>
      </w:r>
      <w:r w:rsidRPr="00925DA0">
        <w:rPr>
          <w:rFonts w:ascii="Times New Roman" w:eastAsiaTheme="minorHAnsi" w:hAnsi="Times New Roman" w:cs="Times New Roman"/>
          <w:sz w:val="22"/>
          <w:szCs w:val="22"/>
          <w:lang w:val="en-CA"/>
        </w:rPr>
        <w:t>“</w:t>
      </w:r>
      <w:r w:rsidRPr="00925DA0">
        <w:rPr>
          <w:rFonts w:ascii="Times New Roman" w:eastAsiaTheme="minorHAnsi" w:hAnsi="Times New Roman" w:cs="Times New Roman"/>
          <w:b/>
          <w:sz w:val="22"/>
          <w:szCs w:val="22"/>
          <w:lang w:val="en-CA"/>
        </w:rPr>
        <w:t>Plaintree</w:t>
      </w:r>
      <w:r w:rsidRPr="00925DA0">
        <w:rPr>
          <w:rFonts w:ascii="Times New Roman" w:eastAsiaTheme="minorHAnsi" w:hAnsi="Times New Roman" w:cs="Times New Roman"/>
          <w:sz w:val="22"/>
          <w:szCs w:val="22"/>
          <w:lang w:val="en-CA"/>
        </w:rPr>
        <w:t xml:space="preserve">” or </w:t>
      </w:r>
      <w:r w:rsidRPr="001854B7">
        <w:rPr>
          <w:rFonts w:ascii="Times New Roman" w:eastAsiaTheme="minorHAnsi" w:hAnsi="Times New Roman" w:cs="Times New Roman"/>
          <w:sz w:val="22"/>
          <w:szCs w:val="22"/>
          <w:lang w:val="en-CA"/>
        </w:rPr>
        <w:t>“</w:t>
      </w:r>
      <w:r w:rsidRPr="001854B7">
        <w:rPr>
          <w:rFonts w:ascii="Times New Roman" w:eastAsiaTheme="minorHAnsi" w:hAnsi="Times New Roman" w:cs="Times New Roman"/>
          <w:b/>
          <w:sz w:val="22"/>
          <w:szCs w:val="22"/>
          <w:lang w:val="en-CA"/>
        </w:rPr>
        <w:t>Company</w:t>
      </w:r>
      <w:r w:rsidRPr="001854B7">
        <w:rPr>
          <w:rFonts w:ascii="Times New Roman" w:eastAsiaTheme="minorHAnsi" w:hAnsi="Times New Roman" w:cs="Times New Roman"/>
          <w:sz w:val="22"/>
          <w:szCs w:val="22"/>
          <w:lang w:val="en-CA"/>
        </w:rPr>
        <w:t>”) announces that further to its news release dated July 28, 2017, the Company’s principal regulator, the Ontario Securities Commission (the “</w:t>
      </w:r>
      <w:r w:rsidRPr="001854B7">
        <w:rPr>
          <w:rFonts w:ascii="Times New Roman" w:eastAsiaTheme="minorHAnsi" w:hAnsi="Times New Roman" w:cs="Times New Roman"/>
          <w:b/>
          <w:sz w:val="22"/>
          <w:szCs w:val="22"/>
          <w:lang w:val="en-CA"/>
        </w:rPr>
        <w:t>OSC</w:t>
      </w:r>
      <w:r w:rsidRPr="001854B7">
        <w:rPr>
          <w:rFonts w:ascii="Times New Roman" w:eastAsiaTheme="minorHAnsi" w:hAnsi="Times New Roman" w:cs="Times New Roman"/>
          <w:sz w:val="22"/>
          <w:szCs w:val="22"/>
          <w:lang w:val="en-CA"/>
        </w:rPr>
        <w:t>”) granted a management cease trade order (the “</w:t>
      </w:r>
      <w:r w:rsidRPr="001854B7">
        <w:rPr>
          <w:rFonts w:ascii="Times New Roman" w:eastAsiaTheme="minorHAnsi" w:hAnsi="Times New Roman" w:cs="Times New Roman"/>
          <w:b/>
          <w:sz w:val="22"/>
          <w:szCs w:val="22"/>
          <w:lang w:val="en-CA"/>
        </w:rPr>
        <w:t>MCTO</w:t>
      </w:r>
      <w:r w:rsidRPr="001854B7">
        <w:rPr>
          <w:rFonts w:ascii="Times New Roman" w:eastAsiaTheme="minorHAnsi" w:hAnsi="Times New Roman" w:cs="Times New Roman"/>
          <w:sz w:val="22"/>
          <w:szCs w:val="22"/>
          <w:lang w:val="en-CA"/>
        </w:rPr>
        <w:t>”) on August 1, 2017, under National Policy 12-203 Management Cease Trade Orders (“</w:t>
      </w:r>
      <w:r w:rsidRPr="001854B7">
        <w:rPr>
          <w:rFonts w:ascii="Times New Roman" w:eastAsiaTheme="minorHAnsi" w:hAnsi="Times New Roman" w:cs="Times New Roman"/>
          <w:b/>
          <w:sz w:val="22"/>
          <w:szCs w:val="22"/>
          <w:lang w:val="en-CA"/>
        </w:rPr>
        <w:t>NP 12-203</w:t>
      </w:r>
      <w:r w:rsidRPr="001854B7">
        <w:rPr>
          <w:rFonts w:ascii="Times New Roman" w:eastAsiaTheme="minorHAnsi" w:hAnsi="Times New Roman" w:cs="Times New Roman"/>
          <w:sz w:val="22"/>
          <w:szCs w:val="22"/>
          <w:lang w:val="en-CA"/>
        </w:rPr>
        <w:t>”).</w:t>
      </w:r>
    </w:p>
    <w:p w:rsidR="001854B7" w:rsidRPr="001854B7" w:rsidRDefault="001854B7" w:rsidP="001854B7">
      <w:pPr>
        <w:spacing w:after="200" w:line="276" w:lineRule="auto"/>
        <w:rPr>
          <w:rFonts w:ascii="Times New Roman" w:eastAsiaTheme="minorHAnsi" w:hAnsi="Times New Roman" w:cs="Times New Roman"/>
          <w:sz w:val="22"/>
          <w:szCs w:val="22"/>
          <w:lang w:val="en-CA"/>
        </w:rPr>
      </w:pPr>
      <w:r w:rsidRPr="001854B7">
        <w:rPr>
          <w:rFonts w:ascii="Times New Roman" w:eastAsiaTheme="minorHAnsi" w:hAnsi="Times New Roman" w:cs="Times New Roman"/>
          <w:sz w:val="22"/>
          <w:szCs w:val="22"/>
          <w:lang w:val="en-CA"/>
        </w:rPr>
        <w:t>Pursuant to the MCTO, the Chief Executive Officer and the Chief Financial Officer may not trade in securities of the Company until such time as the Company files its annual audited financial statements for the year ended March 31, 2017, management’s discussion and analysis and related certifications (collectively the “</w:t>
      </w:r>
      <w:r w:rsidRPr="001854B7">
        <w:rPr>
          <w:rFonts w:ascii="Times New Roman" w:eastAsiaTheme="minorHAnsi" w:hAnsi="Times New Roman" w:cs="Times New Roman"/>
          <w:b/>
          <w:sz w:val="22"/>
          <w:szCs w:val="22"/>
          <w:lang w:val="en-CA"/>
        </w:rPr>
        <w:t>Required Documents</w:t>
      </w:r>
      <w:r w:rsidRPr="001854B7">
        <w:rPr>
          <w:rFonts w:ascii="Times New Roman" w:eastAsiaTheme="minorHAnsi" w:hAnsi="Times New Roman" w:cs="Times New Roman"/>
          <w:sz w:val="22"/>
          <w:szCs w:val="22"/>
          <w:lang w:val="en-CA"/>
        </w:rPr>
        <w:t>”) and the Director of the OSC revokes the MCTO. The MCTO does not affect the ability of shareholders to trade their securities.</w:t>
      </w:r>
    </w:p>
    <w:p w:rsidR="001854B7" w:rsidRPr="001854B7" w:rsidRDefault="001854B7" w:rsidP="001854B7">
      <w:pPr>
        <w:spacing w:after="200" w:line="276" w:lineRule="auto"/>
        <w:rPr>
          <w:rFonts w:ascii="Times New Roman" w:eastAsiaTheme="minorHAnsi" w:hAnsi="Times New Roman" w:cs="Times New Roman"/>
          <w:sz w:val="22"/>
          <w:szCs w:val="22"/>
          <w:lang w:val="en-CA"/>
        </w:rPr>
      </w:pPr>
      <w:r w:rsidRPr="001854B7">
        <w:rPr>
          <w:rFonts w:ascii="Times New Roman" w:eastAsiaTheme="minorHAnsi" w:hAnsi="Times New Roman" w:cs="Times New Roman"/>
          <w:sz w:val="22"/>
          <w:szCs w:val="22"/>
          <w:lang w:val="en-CA"/>
        </w:rPr>
        <w:t>The Company’s Board of Directors and management confirm that they are working expeditiously to file the Required Documents and confirm that since the Company’s press release dated July 28, 2017, there is no other material information respecting the Company’s affairs that has not been generally disclosed.</w:t>
      </w:r>
    </w:p>
    <w:p w:rsidR="001854B7" w:rsidRPr="001854B7" w:rsidRDefault="001854B7" w:rsidP="001854B7">
      <w:pPr>
        <w:spacing w:after="200" w:line="276" w:lineRule="auto"/>
        <w:rPr>
          <w:rFonts w:ascii="Times New Roman" w:eastAsiaTheme="minorHAnsi" w:hAnsi="Times New Roman" w:cs="Times New Roman"/>
          <w:sz w:val="22"/>
          <w:szCs w:val="22"/>
          <w:lang w:val="en-CA"/>
        </w:rPr>
      </w:pPr>
      <w:r w:rsidRPr="001854B7">
        <w:rPr>
          <w:rFonts w:ascii="Times New Roman" w:eastAsiaTheme="minorHAnsi" w:hAnsi="Times New Roman" w:cs="Times New Roman"/>
          <w:sz w:val="22"/>
          <w:szCs w:val="22"/>
          <w:lang w:val="en-CA"/>
        </w:rPr>
        <w:t>Until the Required Documents have been filed, the Company intends to continue to satisfy the provisions of the alternative information guidelines specified in NP 12-203 by issuing bi-weekly default status reports in the form of further press releases for so long as the Company remains in default of the financial statement filing requirement.</w:t>
      </w: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u w:val="single"/>
          <w:lang w:eastAsia="en-CA"/>
        </w:rPr>
      </w:pPr>
      <w:r w:rsidRPr="00925DA0">
        <w:rPr>
          <w:rFonts w:ascii="Times New Roman" w:hAnsi="Times New Roman" w:cs="Times New Roman"/>
          <w:color w:val="000000"/>
          <w:sz w:val="22"/>
          <w:szCs w:val="22"/>
          <w:u w:val="single"/>
          <w:lang w:eastAsia="en-CA"/>
        </w:rPr>
        <w:t>About Plaintree Systems Inc.</w:t>
      </w: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lang w:eastAsia="en-CA"/>
        </w:rPr>
      </w:pP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lang w:eastAsia="en-CA"/>
        </w:rPr>
      </w:pPr>
      <w:r w:rsidRPr="00925DA0">
        <w:rPr>
          <w:rFonts w:ascii="Times New Roman" w:hAnsi="Times New Roman" w:cs="Times New Roman"/>
          <w:color w:val="000000"/>
          <w:sz w:val="22"/>
          <w:szCs w:val="22"/>
          <w:lang w:eastAsia="en-CA"/>
        </w:rPr>
        <w:t>Plaintree has two diversified product lines consisting of Specialty Structures and Electronics. The Specialty Structures Division includes the former Triodetic Group with over 40 years of experience, is a design/build manufacturer of steel, aluminum and stainless steel specialty structures such as commercial domes, free form structures, barrel vaults, space frames and industrial dome coverings, Spotton Corporation, a design and manufacturer of high end custom hydraulic and pneumatic valves and cylinders and the recently acquired Madawaska Doors, a design and manufacturer of premium solid wood doors. The Electronics Division includes the legacy Hypernetics, Summit Aerospace USA Inc. and Plaintree free space optics (FSO) businesses. Plaintree’s FSO systems transmit data at high speeds using beams of light instead of traditional radio frequency which can suffer from congestion.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will support requirements from concept, prototype and throughout production.</w:t>
      </w: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lang w:eastAsia="en-CA"/>
        </w:rPr>
      </w:pP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lang w:eastAsia="en-CA"/>
        </w:rPr>
      </w:pPr>
      <w:r w:rsidRPr="00925DA0">
        <w:rPr>
          <w:rFonts w:ascii="Times New Roman" w:hAnsi="Times New Roman" w:cs="Times New Roman"/>
          <w:color w:val="000000"/>
          <w:sz w:val="22"/>
          <w:szCs w:val="22"/>
          <w:lang w:eastAsia="en-CA"/>
        </w:rPr>
        <w:t xml:space="preserve">Plaintree’s shares are traded under the symbol “NPT”. Shareholders and Investors can access Company information on CSE’s website and receive full Company disclosure monthly. For more information on Plaintree or to receive stock quotes, complete with trading summaries, bid size and ask price, brokerage house participation, insider reports, news releases, disclosure information, and CSE and SEDAR filings, visit the CSE website at www.cnsx.ca or the Company’s website at </w:t>
      </w:r>
      <w:hyperlink r:id="rId4" w:history="1">
        <w:r w:rsidRPr="00925DA0">
          <w:rPr>
            <w:rStyle w:val="Hyperlink"/>
            <w:rFonts w:ascii="Times New Roman" w:hAnsi="Times New Roman" w:cs="Times New Roman"/>
            <w:sz w:val="22"/>
            <w:szCs w:val="22"/>
            <w:lang w:eastAsia="en-CA"/>
          </w:rPr>
          <w:t>www.plaintree.com</w:t>
        </w:r>
      </w:hyperlink>
      <w:r w:rsidRPr="00925DA0">
        <w:rPr>
          <w:rFonts w:ascii="Times New Roman" w:hAnsi="Times New Roman" w:cs="Times New Roman"/>
          <w:color w:val="000000"/>
          <w:sz w:val="22"/>
          <w:szCs w:val="22"/>
          <w:lang w:eastAsia="en-CA"/>
        </w:rPr>
        <w:t>.</w:t>
      </w: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lang w:eastAsia="en-CA"/>
        </w:rPr>
      </w:pP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lang w:eastAsia="en-CA"/>
        </w:rPr>
      </w:pPr>
      <w:r w:rsidRPr="00925DA0">
        <w:rPr>
          <w:rFonts w:ascii="Times New Roman" w:hAnsi="Times New Roman" w:cs="Times New Roman"/>
          <w:color w:val="000000"/>
          <w:sz w:val="22"/>
          <w:szCs w:val="22"/>
          <w:lang w:eastAsia="en-CA"/>
        </w:rPr>
        <w:lastRenderedPageBreak/>
        <w:t xml:space="preserve">Plaintree is publicly traded in Canada on the CSE (NPT) with 12,925,253 common shares and 18,325 class </w:t>
      </w:r>
      <w:proofErr w:type="gramStart"/>
      <w:r w:rsidRPr="00925DA0">
        <w:rPr>
          <w:rFonts w:ascii="Times New Roman" w:hAnsi="Times New Roman" w:cs="Times New Roman"/>
          <w:color w:val="000000"/>
          <w:sz w:val="22"/>
          <w:szCs w:val="22"/>
          <w:lang w:eastAsia="en-CA"/>
        </w:rPr>
        <w:t>A</w:t>
      </w:r>
      <w:proofErr w:type="gramEnd"/>
      <w:r w:rsidRPr="00925DA0">
        <w:rPr>
          <w:rFonts w:ascii="Times New Roman" w:hAnsi="Times New Roman" w:cs="Times New Roman"/>
          <w:color w:val="000000"/>
          <w:sz w:val="22"/>
          <w:szCs w:val="22"/>
          <w:lang w:eastAsia="en-CA"/>
        </w:rPr>
        <w:t xml:space="preserve"> preferred shares outstanding.</w:t>
      </w: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lang w:eastAsia="en-CA"/>
        </w:rPr>
      </w:pP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lang w:eastAsia="en-CA"/>
        </w:rPr>
      </w:pPr>
      <w:r w:rsidRPr="00925DA0">
        <w:rPr>
          <w:rFonts w:ascii="Times New Roman" w:hAnsi="Times New Roman" w:cs="Times New Roman"/>
          <w:color w:val="000000"/>
          <w:sz w:val="22"/>
          <w:szCs w:val="22"/>
          <w:lang w:eastAsia="en-CA"/>
        </w:rPr>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2016 and related management discussion and analysis. Canadian Securities Exchange has not reviewed and does not accept responsibility for the adequacy or accuracy of the content of this news release.</w:t>
      </w:r>
    </w:p>
    <w:p w:rsidR="004504B9" w:rsidRPr="00925DA0" w:rsidRDefault="004504B9" w:rsidP="004504B9">
      <w:pPr>
        <w:shd w:val="clear" w:color="auto" w:fill="FFFFFF"/>
        <w:jc w:val="both"/>
        <w:textAlignment w:val="baseline"/>
        <w:rPr>
          <w:rFonts w:ascii="Times New Roman" w:hAnsi="Times New Roman" w:cs="Times New Roman"/>
          <w:color w:val="000000"/>
          <w:sz w:val="22"/>
          <w:szCs w:val="22"/>
          <w:lang w:eastAsia="en-CA"/>
        </w:rPr>
      </w:pPr>
    </w:p>
    <w:p w:rsidR="004504B9" w:rsidRPr="00925DA0" w:rsidRDefault="004504B9" w:rsidP="004504B9">
      <w:pPr>
        <w:shd w:val="clear" w:color="auto" w:fill="FFFFFF"/>
        <w:jc w:val="both"/>
        <w:textAlignment w:val="baseline"/>
        <w:rPr>
          <w:rFonts w:ascii="Times New Roman" w:eastAsiaTheme="minorHAnsi" w:hAnsi="Times New Roman" w:cs="Times New Roman"/>
          <w:sz w:val="22"/>
          <w:szCs w:val="22"/>
        </w:rPr>
      </w:pPr>
      <w:r w:rsidRPr="00925DA0">
        <w:rPr>
          <w:rFonts w:ascii="Times New Roman" w:hAnsi="Times New Roman" w:cs="Times New Roman"/>
          <w:color w:val="000000"/>
          <w:sz w:val="22"/>
          <w:szCs w:val="22"/>
          <w:lang w:eastAsia="en-CA"/>
        </w:rPr>
        <w:t>For further information: (613) 623-3434 x2261</w:t>
      </w:r>
    </w:p>
    <w:p w:rsidR="003F663E" w:rsidRPr="00925DA0" w:rsidRDefault="003F663E">
      <w:pPr>
        <w:rPr>
          <w:rFonts w:ascii="Times New Roman" w:hAnsi="Times New Roman" w:cs="Times New Roman"/>
          <w:sz w:val="22"/>
          <w:szCs w:val="22"/>
        </w:rPr>
      </w:pPr>
    </w:p>
    <w:sectPr w:rsidR="003F663E" w:rsidRPr="00925DA0">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B9"/>
    <w:rsid w:val="0006405C"/>
    <w:rsid w:val="00065BC0"/>
    <w:rsid w:val="00094EF3"/>
    <w:rsid w:val="00097124"/>
    <w:rsid w:val="000B41FB"/>
    <w:rsid w:val="000B53C2"/>
    <w:rsid w:val="000F5ED9"/>
    <w:rsid w:val="00115FD1"/>
    <w:rsid w:val="001174D5"/>
    <w:rsid w:val="001222C8"/>
    <w:rsid w:val="00132D75"/>
    <w:rsid w:val="00133D1D"/>
    <w:rsid w:val="00134AD0"/>
    <w:rsid w:val="001476FD"/>
    <w:rsid w:val="00147EB8"/>
    <w:rsid w:val="0016557E"/>
    <w:rsid w:val="001854B7"/>
    <w:rsid w:val="00186EFD"/>
    <w:rsid w:val="00195A08"/>
    <w:rsid w:val="001A188B"/>
    <w:rsid w:val="001A1C61"/>
    <w:rsid w:val="001C4590"/>
    <w:rsid w:val="001C7B19"/>
    <w:rsid w:val="00205B90"/>
    <w:rsid w:val="0024490E"/>
    <w:rsid w:val="00264202"/>
    <w:rsid w:val="00281AE2"/>
    <w:rsid w:val="00294719"/>
    <w:rsid w:val="002A40E9"/>
    <w:rsid w:val="002A52D3"/>
    <w:rsid w:val="002B5317"/>
    <w:rsid w:val="002B64C2"/>
    <w:rsid w:val="002C06FF"/>
    <w:rsid w:val="002D15A0"/>
    <w:rsid w:val="002D242B"/>
    <w:rsid w:val="002D62E8"/>
    <w:rsid w:val="002E7476"/>
    <w:rsid w:val="00302D0D"/>
    <w:rsid w:val="0034108F"/>
    <w:rsid w:val="00344345"/>
    <w:rsid w:val="00357BAB"/>
    <w:rsid w:val="00386E3D"/>
    <w:rsid w:val="003A10E5"/>
    <w:rsid w:val="003D1F05"/>
    <w:rsid w:val="003F3CC9"/>
    <w:rsid w:val="003F663E"/>
    <w:rsid w:val="0040393C"/>
    <w:rsid w:val="00407B58"/>
    <w:rsid w:val="00411669"/>
    <w:rsid w:val="00424B8C"/>
    <w:rsid w:val="00430682"/>
    <w:rsid w:val="004504B9"/>
    <w:rsid w:val="00473786"/>
    <w:rsid w:val="00480D49"/>
    <w:rsid w:val="004877AE"/>
    <w:rsid w:val="004B05E3"/>
    <w:rsid w:val="004F48B6"/>
    <w:rsid w:val="004F6A8D"/>
    <w:rsid w:val="005033E3"/>
    <w:rsid w:val="00517D02"/>
    <w:rsid w:val="00526C40"/>
    <w:rsid w:val="0053634A"/>
    <w:rsid w:val="00572019"/>
    <w:rsid w:val="00581F4A"/>
    <w:rsid w:val="00584DDC"/>
    <w:rsid w:val="005B0820"/>
    <w:rsid w:val="005E4877"/>
    <w:rsid w:val="005F70F9"/>
    <w:rsid w:val="0060090A"/>
    <w:rsid w:val="00604092"/>
    <w:rsid w:val="00620C3D"/>
    <w:rsid w:val="0063120F"/>
    <w:rsid w:val="00642A0A"/>
    <w:rsid w:val="00666DF9"/>
    <w:rsid w:val="006805B3"/>
    <w:rsid w:val="00683D5B"/>
    <w:rsid w:val="00686122"/>
    <w:rsid w:val="006B5F73"/>
    <w:rsid w:val="006C0831"/>
    <w:rsid w:val="006F1846"/>
    <w:rsid w:val="00717557"/>
    <w:rsid w:val="00731423"/>
    <w:rsid w:val="00745BA5"/>
    <w:rsid w:val="00746644"/>
    <w:rsid w:val="007575C2"/>
    <w:rsid w:val="0077372E"/>
    <w:rsid w:val="00775488"/>
    <w:rsid w:val="00783AE4"/>
    <w:rsid w:val="00814646"/>
    <w:rsid w:val="00844EFF"/>
    <w:rsid w:val="0085161B"/>
    <w:rsid w:val="00856CA4"/>
    <w:rsid w:val="00875E6A"/>
    <w:rsid w:val="0088408A"/>
    <w:rsid w:val="00891AF0"/>
    <w:rsid w:val="008B0A63"/>
    <w:rsid w:val="008C6D3C"/>
    <w:rsid w:val="008E05B3"/>
    <w:rsid w:val="008E59AD"/>
    <w:rsid w:val="00901995"/>
    <w:rsid w:val="009255BB"/>
    <w:rsid w:val="00925DA0"/>
    <w:rsid w:val="00950B24"/>
    <w:rsid w:val="00983255"/>
    <w:rsid w:val="009A066F"/>
    <w:rsid w:val="009A6D3E"/>
    <w:rsid w:val="009B3CBA"/>
    <w:rsid w:val="009C326A"/>
    <w:rsid w:val="009E0CA1"/>
    <w:rsid w:val="00A05C30"/>
    <w:rsid w:val="00A44A82"/>
    <w:rsid w:val="00A47297"/>
    <w:rsid w:val="00A61DC0"/>
    <w:rsid w:val="00A97D07"/>
    <w:rsid w:val="00AD27ED"/>
    <w:rsid w:val="00AD289A"/>
    <w:rsid w:val="00AE23DB"/>
    <w:rsid w:val="00B13B9B"/>
    <w:rsid w:val="00B17595"/>
    <w:rsid w:val="00B21AC6"/>
    <w:rsid w:val="00B5678E"/>
    <w:rsid w:val="00B56BA8"/>
    <w:rsid w:val="00B73E30"/>
    <w:rsid w:val="00BA2E2E"/>
    <w:rsid w:val="00BE2B2C"/>
    <w:rsid w:val="00BF7C67"/>
    <w:rsid w:val="00C27884"/>
    <w:rsid w:val="00C34B5F"/>
    <w:rsid w:val="00C43EB5"/>
    <w:rsid w:val="00C775CE"/>
    <w:rsid w:val="00CB1B37"/>
    <w:rsid w:val="00CB49C4"/>
    <w:rsid w:val="00CC6262"/>
    <w:rsid w:val="00CD3C7D"/>
    <w:rsid w:val="00D03261"/>
    <w:rsid w:val="00D07DAB"/>
    <w:rsid w:val="00D315EA"/>
    <w:rsid w:val="00D329EF"/>
    <w:rsid w:val="00D50367"/>
    <w:rsid w:val="00D5455A"/>
    <w:rsid w:val="00D55783"/>
    <w:rsid w:val="00D7176D"/>
    <w:rsid w:val="00D71C25"/>
    <w:rsid w:val="00D86716"/>
    <w:rsid w:val="00DA10BC"/>
    <w:rsid w:val="00E10BA1"/>
    <w:rsid w:val="00E17A3A"/>
    <w:rsid w:val="00E17DEF"/>
    <w:rsid w:val="00E2533C"/>
    <w:rsid w:val="00E36F7C"/>
    <w:rsid w:val="00E46E2C"/>
    <w:rsid w:val="00E471D2"/>
    <w:rsid w:val="00E554D8"/>
    <w:rsid w:val="00E616EE"/>
    <w:rsid w:val="00E723B3"/>
    <w:rsid w:val="00E77C25"/>
    <w:rsid w:val="00EB697D"/>
    <w:rsid w:val="00EC186D"/>
    <w:rsid w:val="00F00242"/>
    <w:rsid w:val="00F0144A"/>
    <w:rsid w:val="00F21E5F"/>
    <w:rsid w:val="00F31C24"/>
    <w:rsid w:val="00F61524"/>
    <w:rsid w:val="00F90DCF"/>
    <w:rsid w:val="00F960E1"/>
    <w:rsid w:val="00FB0C2F"/>
    <w:rsid w:val="00FB581B"/>
    <w:rsid w:val="00FD6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E6211-DC08-4C89-9AE6-BF75BE23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B9"/>
    <w:pPr>
      <w:spacing w:after="0" w:line="240" w:lineRule="auto"/>
    </w:pPr>
    <w:rPr>
      <w:rFonts w:ascii="Trebuchet MS" w:eastAsia="Times New Roman" w:hAnsi="Trebuchet MS" w:cs="Tung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04B9"/>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450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74478">
      <w:bodyDiv w:val="1"/>
      <w:marLeft w:val="0"/>
      <w:marRight w:val="0"/>
      <w:marTop w:val="0"/>
      <w:marBottom w:val="0"/>
      <w:divBdr>
        <w:top w:val="none" w:sz="0" w:space="0" w:color="auto"/>
        <w:left w:val="none" w:sz="0" w:space="0" w:color="auto"/>
        <w:bottom w:val="none" w:sz="0" w:space="0" w:color="auto"/>
        <w:right w:val="none" w:sz="0" w:space="0" w:color="auto"/>
      </w:divBdr>
    </w:div>
    <w:div w:id="1785877718">
      <w:bodyDiv w:val="1"/>
      <w:marLeft w:val="0"/>
      <w:marRight w:val="0"/>
      <w:marTop w:val="0"/>
      <w:marBottom w:val="0"/>
      <w:divBdr>
        <w:top w:val="none" w:sz="0" w:space="0" w:color="auto"/>
        <w:left w:val="none" w:sz="0" w:space="0" w:color="auto"/>
        <w:bottom w:val="none" w:sz="0" w:space="0" w:color="auto"/>
        <w:right w:val="none" w:sz="0" w:space="0" w:color="auto"/>
      </w:divBdr>
      <w:divsChild>
        <w:div w:id="177476184">
          <w:marLeft w:val="0"/>
          <w:marRight w:val="0"/>
          <w:marTop w:val="0"/>
          <w:marBottom w:val="0"/>
          <w:divBdr>
            <w:top w:val="single" w:sz="2" w:space="0" w:color="333333"/>
            <w:left w:val="single" w:sz="2" w:space="0" w:color="333333"/>
            <w:bottom w:val="single" w:sz="2" w:space="0" w:color="333333"/>
            <w:right w:val="single" w:sz="2" w:space="0" w:color="333333"/>
          </w:divBdr>
        </w:div>
        <w:div w:id="1316716139">
          <w:marLeft w:val="0"/>
          <w:marRight w:val="0"/>
          <w:marTop w:val="0"/>
          <w:marBottom w:val="0"/>
          <w:divBdr>
            <w:top w:val="single" w:sz="2" w:space="0" w:color="333333"/>
            <w:left w:val="single" w:sz="2" w:space="0" w:color="333333"/>
            <w:bottom w:val="single" w:sz="2" w:space="0" w:color="333333"/>
            <w:right w:val="single" w:sz="2" w:space="0" w:color="333333"/>
          </w:divBdr>
          <w:divsChild>
            <w:div w:id="206069965">
              <w:marLeft w:val="0"/>
              <w:marRight w:val="0"/>
              <w:marTop w:val="0"/>
              <w:marBottom w:val="0"/>
              <w:divBdr>
                <w:top w:val="single" w:sz="2" w:space="0" w:color="333333"/>
                <w:left w:val="single" w:sz="2" w:space="0" w:color="333333"/>
                <w:bottom w:val="single" w:sz="2" w:space="0" w:color="333333"/>
                <w:right w:val="single" w:sz="2" w:space="0" w:color="333333"/>
              </w:divBdr>
              <w:divsChild>
                <w:div w:id="1397246302">
                  <w:marLeft w:val="0"/>
                  <w:marRight w:val="0"/>
                  <w:marTop w:val="0"/>
                  <w:marBottom w:val="0"/>
                  <w:divBdr>
                    <w:top w:val="single" w:sz="2" w:space="0" w:color="333333"/>
                    <w:left w:val="single" w:sz="2" w:space="0" w:color="333333"/>
                    <w:bottom w:val="single" w:sz="2" w:space="0" w:color="333333"/>
                    <w:right w:val="single" w:sz="2" w:space="0" w:color="333333"/>
                  </w:divBdr>
                </w:div>
                <w:div w:id="783233691">
                  <w:marLeft w:val="0"/>
                  <w:marRight w:val="0"/>
                  <w:marTop w:val="0"/>
                  <w:marBottom w:val="0"/>
                  <w:divBdr>
                    <w:top w:val="single" w:sz="2" w:space="0" w:color="333333"/>
                    <w:left w:val="single" w:sz="2" w:space="0" w:color="333333"/>
                    <w:bottom w:val="single" w:sz="2" w:space="0" w:color="333333"/>
                    <w:right w:val="single" w:sz="2" w:space="0" w:color="333333"/>
                  </w:divBdr>
                </w:div>
                <w:div w:id="152795586">
                  <w:marLeft w:val="0"/>
                  <w:marRight w:val="0"/>
                  <w:marTop w:val="0"/>
                  <w:marBottom w:val="0"/>
                  <w:divBdr>
                    <w:top w:val="single" w:sz="2" w:space="0" w:color="333333"/>
                    <w:left w:val="single" w:sz="2" w:space="0" w:color="333333"/>
                    <w:bottom w:val="single" w:sz="2" w:space="0" w:color="333333"/>
                    <w:right w:val="single" w:sz="2" w:space="0" w:color="333333"/>
                  </w:divBdr>
                </w:div>
                <w:div w:id="581991397">
                  <w:marLeft w:val="0"/>
                  <w:marRight w:val="0"/>
                  <w:marTop w:val="0"/>
                  <w:marBottom w:val="0"/>
                  <w:divBdr>
                    <w:top w:val="single" w:sz="2" w:space="0" w:color="333333"/>
                    <w:left w:val="single" w:sz="2" w:space="0" w:color="333333"/>
                    <w:bottom w:val="single" w:sz="2" w:space="0" w:color="333333"/>
                    <w:right w:val="single" w:sz="2" w:space="0" w:color="333333"/>
                  </w:divBdr>
                </w:div>
                <w:div w:id="599679187">
                  <w:marLeft w:val="0"/>
                  <w:marRight w:val="0"/>
                  <w:marTop w:val="0"/>
                  <w:marBottom w:val="0"/>
                  <w:divBdr>
                    <w:top w:val="single" w:sz="2" w:space="0" w:color="333333"/>
                    <w:left w:val="single" w:sz="2" w:space="0" w:color="333333"/>
                    <w:bottom w:val="single" w:sz="2" w:space="0" w:color="333333"/>
                    <w:right w:val="single" w:sz="2" w:space="0" w:color="333333"/>
                  </w:divBdr>
                </w:div>
                <w:div w:id="909656907">
                  <w:marLeft w:val="0"/>
                  <w:marRight w:val="0"/>
                  <w:marTop w:val="0"/>
                  <w:marBottom w:val="0"/>
                  <w:divBdr>
                    <w:top w:val="single" w:sz="2" w:space="0" w:color="333333"/>
                    <w:left w:val="single" w:sz="2" w:space="0" w:color="333333"/>
                    <w:bottom w:val="single" w:sz="2" w:space="0" w:color="333333"/>
                    <w:right w:val="single" w:sz="2" w:space="0" w:color="333333"/>
                  </w:divBdr>
                </w:div>
                <w:div w:id="643512461">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int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Jessop</dc:creator>
  <cp:keywords/>
  <dc:description/>
  <cp:lastModifiedBy>Lynn Saunders</cp:lastModifiedBy>
  <cp:revision>2</cp:revision>
  <dcterms:created xsi:type="dcterms:W3CDTF">2017-08-10T21:54:00Z</dcterms:created>
  <dcterms:modified xsi:type="dcterms:W3CDTF">2017-08-10T21:54:00Z</dcterms:modified>
</cp:coreProperties>
</file>