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5A13CA0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746A5E">
        <w:rPr>
          <w:rFonts w:ascii="Arial" w:hAnsi="Arial"/>
          <w:b/>
          <w:bCs/>
          <w:color w:val="000000"/>
          <w:u w:val="single"/>
        </w:rPr>
        <w:t>Cosa Resources</w:t>
      </w:r>
      <w:r w:rsidR="0097313B">
        <w:rPr>
          <w:rFonts w:ascii="Arial" w:hAnsi="Arial"/>
          <w:b/>
          <w:bCs/>
          <w:color w:val="000000"/>
          <w:u w:val="single"/>
        </w:rPr>
        <w:t xml:space="preserve"> Corp.</w:t>
      </w:r>
      <w:r w:rsidR="005408BD">
        <w:rPr>
          <w:rFonts w:ascii="Arial" w:hAnsi="Arial"/>
          <w:b/>
          <w:bCs/>
          <w:color w:val="000000"/>
          <w:u w:val="single"/>
        </w:rPr>
        <w:t xml:space="preserve"> </w:t>
      </w:r>
      <w:r>
        <w:rPr>
          <w:rFonts w:ascii="Arial" w:hAnsi="Arial"/>
          <w:color w:val="000000"/>
        </w:rPr>
        <w:t>(the “</w:t>
      </w:r>
      <w:r w:rsidR="005408BD">
        <w:rPr>
          <w:rFonts w:ascii="Arial" w:hAnsi="Arial"/>
          <w:color w:val="000000"/>
        </w:rPr>
        <w:t>Company</w:t>
      </w:r>
      <w:r>
        <w:rPr>
          <w:rFonts w:ascii="Arial" w:hAnsi="Arial"/>
          <w:color w:val="000000"/>
        </w:rPr>
        <w:t>”</w:t>
      </w:r>
      <w:r w:rsidR="005408BD">
        <w:rPr>
          <w:rFonts w:ascii="Arial" w:hAnsi="Arial"/>
          <w:color w:val="000000"/>
        </w:rPr>
        <w:t xml:space="preserve"> or the “Issuer”</w:t>
      </w:r>
      <w:r>
        <w:rPr>
          <w:rFonts w:ascii="Arial" w:hAnsi="Arial"/>
          <w:color w:val="000000"/>
        </w:rPr>
        <w:t>).</w:t>
      </w:r>
    </w:p>
    <w:p w14:paraId="69915922" w14:textId="62C8D49F"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46A5E">
        <w:rPr>
          <w:rFonts w:ascii="Arial" w:hAnsi="Arial"/>
          <w:b/>
          <w:bCs/>
          <w:color w:val="000000"/>
          <w:u w:val="single"/>
        </w:rPr>
        <w:t>COSA</w:t>
      </w:r>
      <w:r>
        <w:rPr>
          <w:rFonts w:ascii="Arial" w:hAnsi="Arial"/>
          <w:color w:val="000000"/>
          <w:u w:val="single"/>
        </w:rPr>
        <w:tab/>
      </w:r>
      <w:r>
        <w:rPr>
          <w:rFonts w:ascii="Arial" w:hAnsi="Arial"/>
          <w:color w:val="000000"/>
          <w:u w:val="single"/>
        </w:rPr>
        <w:tab/>
      </w:r>
    </w:p>
    <w:p w14:paraId="08156A1C" w14:textId="69F85FE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E7DA5" w:rsidRPr="00AE7DA5">
        <w:rPr>
          <w:rFonts w:ascii="Arial" w:hAnsi="Arial"/>
          <w:b/>
          <w:bCs/>
          <w:color w:val="000000"/>
          <w:u w:val="single"/>
          <w:lang w:val="en-US"/>
        </w:rPr>
        <w:t>33,725,079</w:t>
      </w:r>
      <w:r>
        <w:rPr>
          <w:rFonts w:ascii="Arial" w:hAnsi="Arial"/>
          <w:color w:val="000000"/>
          <w:u w:val="single"/>
        </w:rPr>
        <w:tab/>
      </w:r>
      <w:r>
        <w:rPr>
          <w:rFonts w:ascii="Arial" w:hAnsi="Arial"/>
          <w:color w:val="000000"/>
          <w:u w:val="single"/>
        </w:rPr>
        <w:tab/>
      </w:r>
    </w:p>
    <w:p w14:paraId="38947835" w14:textId="053CAB0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A5FD9">
        <w:rPr>
          <w:rFonts w:ascii="Arial" w:hAnsi="Arial"/>
          <w:b/>
          <w:bCs/>
          <w:color w:val="000000"/>
          <w:u w:val="single"/>
        </w:rPr>
        <w:t>August 10</w:t>
      </w:r>
      <w:r w:rsidR="006D677F">
        <w:rPr>
          <w:rFonts w:ascii="Arial" w:hAnsi="Arial"/>
          <w:b/>
          <w:bCs/>
          <w:color w:val="000000"/>
          <w:u w:val="single"/>
        </w:rPr>
        <w:t>, 202</w:t>
      </w:r>
      <w:r w:rsidR="00135549">
        <w:rPr>
          <w:rFonts w:ascii="Arial" w:hAnsi="Arial"/>
          <w:b/>
          <w:bCs/>
          <w:color w:val="000000"/>
          <w:u w:val="single"/>
        </w:rPr>
        <w:t>2</w:t>
      </w:r>
      <w:r>
        <w:rPr>
          <w:rFonts w:ascii="Arial" w:hAnsi="Arial"/>
          <w:color w:val="000000"/>
          <w:u w:val="single"/>
        </w:rPr>
        <w:tab/>
      </w:r>
      <w:r>
        <w:rPr>
          <w:rFonts w:ascii="Arial" w:hAnsi="Arial"/>
          <w:color w:val="000000"/>
          <w:u w:val="single"/>
        </w:rPr>
        <w:tab/>
      </w:r>
    </w:p>
    <w:p w14:paraId="04095447" w14:textId="77777777" w:rsidR="00A36A30" w:rsidRDefault="00A36A30">
      <w:pPr>
        <w:pStyle w:val="List"/>
        <w:keepLines/>
        <w:spacing w:before="120"/>
        <w:ind w:left="0" w:firstLine="0"/>
        <w:rPr>
          <w:rFonts w:ascii="Arial" w:hAnsi="Arial"/>
          <w:b/>
        </w:rPr>
      </w:pPr>
    </w:p>
    <w:p w14:paraId="7FA13006" w14:textId="04CE93D0"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rsidP="00C14C33">
      <w:pPr>
        <w:pStyle w:val="List"/>
        <w:numPr>
          <w:ilvl w:val="0"/>
          <w:numId w:val="28"/>
        </w:numPr>
        <w:spacing w:before="120" w:after="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3CA4D3A" w14:textId="7CE102D2" w:rsidR="00EE7AF6" w:rsidRDefault="00746A5E" w:rsidP="0097313B">
      <w:pPr>
        <w:widowControl w:val="0"/>
        <w:autoSpaceDE w:val="0"/>
        <w:autoSpaceDN w:val="0"/>
        <w:adjustRightInd w:val="0"/>
        <w:spacing w:line="239" w:lineRule="auto"/>
        <w:ind w:left="720"/>
        <w:jc w:val="both"/>
        <w:rPr>
          <w:rFonts w:ascii="Arial" w:hAnsi="Arial"/>
          <w:b/>
          <w:bCs/>
          <w:color w:val="000000"/>
          <w:sz w:val="24"/>
          <w:lang w:val="en-GB"/>
        </w:rPr>
      </w:pPr>
      <w:r w:rsidRPr="00746A5E">
        <w:rPr>
          <w:rFonts w:ascii="Arial" w:hAnsi="Arial"/>
          <w:b/>
          <w:bCs/>
          <w:color w:val="000000"/>
          <w:sz w:val="24"/>
          <w:lang w:val="en-GB"/>
        </w:rPr>
        <w:t xml:space="preserve">Cosa Resources is a Canadian mineral exploration company based in Vancouver, BC and is focused on the exploration </w:t>
      </w:r>
      <w:r w:rsidR="00185937">
        <w:rPr>
          <w:rFonts w:ascii="Arial" w:hAnsi="Arial"/>
          <w:b/>
          <w:bCs/>
          <w:color w:val="000000"/>
          <w:sz w:val="24"/>
          <w:lang w:val="en-GB"/>
        </w:rPr>
        <w:t>and development of mineral properties in Saskatchewan, Canada</w:t>
      </w:r>
      <w:r w:rsidR="004940AD">
        <w:rPr>
          <w:rFonts w:ascii="Arial" w:hAnsi="Arial"/>
          <w:b/>
          <w:bCs/>
          <w:color w:val="000000"/>
          <w:sz w:val="24"/>
          <w:lang w:val="en-GB"/>
        </w:rPr>
        <w:t xml:space="preserve">.  </w:t>
      </w:r>
    </w:p>
    <w:p w14:paraId="0D6E1928" w14:textId="77777777" w:rsidR="0097313B" w:rsidRPr="0097313B" w:rsidRDefault="0097313B" w:rsidP="004E332A">
      <w:pPr>
        <w:widowControl w:val="0"/>
        <w:autoSpaceDE w:val="0"/>
        <w:autoSpaceDN w:val="0"/>
        <w:adjustRightInd w:val="0"/>
        <w:spacing w:line="239" w:lineRule="auto"/>
        <w:jc w:val="both"/>
        <w:rPr>
          <w:rFonts w:ascii="Arial" w:hAnsi="Arial"/>
          <w:b/>
          <w:bCs/>
          <w:color w:val="000000"/>
          <w:sz w:val="24"/>
          <w:lang w:val="en-GB"/>
        </w:rPr>
      </w:pPr>
    </w:p>
    <w:p w14:paraId="2B78422C" w14:textId="74E7BCB6" w:rsidR="00640E94" w:rsidRDefault="00640E94" w:rsidP="00C14C33">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793F8D5F" w14:textId="1C89AABB" w:rsidR="004B41F0" w:rsidRDefault="004B41F0" w:rsidP="004B41F0">
      <w:pPr>
        <w:pStyle w:val="List"/>
        <w:spacing w:before="0"/>
        <w:ind w:left="720" w:firstLine="0"/>
        <w:jc w:val="both"/>
        <w:rPr>
          <w:rFonts w:ascii="Arial" w:hAnsi="Arial"/>
        </w:rPr>
      </w:pPr>
    </w:p>
    <w:p w14:paraId="7F556701" w14:textId="1E85697E" w:rsidR="00385006" w:rsidRDefault="00EA5FD9" w:rsidP="000F37E4">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In Ju</w:t>
      </w:r>
      <w:r w:rsidR="00385006">
        <w:rPr>
          <w:rFonts w:ascii="Arial" w:hAnsi="Arial"/>
          <w:b/>
          <w:bCs/>
          <w:color w:val="000000"/>
          <w:sz w:val="24"/>
          <w:lang w:val="en-GB"/>
        </w:rPr>
        <w:t>ly</w:t>
      </w:r>
      <w:r>
        <w:rPr>
          <w:rFonts w:ascii="Arial" w:hAnsi="Arial"/>
          <w:b/>
          <w:bCs/>
          <w:color w:val="000000"/>
          <w:sz w:val="24"/>
          <w:lang w:val="en-GB"/>
        </w:rPr>
        <w:t xml:space="preserve"> 2022</w:t>
      </w:r>
      <w:r w:rsidR="00EE6306">
        <w:rPr>
          <w:rFonts w:ascii="Arial" w:hAnsi="Arial"/>
          <w:b/>
          <w:bCs/>
          <w:color w:val="000000"/>
          <w:sz w:val="24"/>
          <w:lang w:val="en-GB"/>
        </w:rPr>
        <w:t xml:space="preserve">, the </w:t>
      </w:r>
      <w:r w:rsidR="00185937">
        <w:rPr>
          <w:rFonts w:ascii="Arial" w:hAnsi="Arial"/>
          <w:b/>
          <w:bCs/>
          <w:color w:val="000000"/>
          <w:sz w:val="24"/>
          <w:lang w:val="en-GB"/>
        </w:rPr>
        <w:t xml:space="preserve">Company </w:t>
      </w:r>
      <w:r>
        <w:rPr>
          <w:rFonts w:ascii="Arial" w:hAnsi="Arial"/>
          <w:b/>
          <w:bCs/>
          <w:color w:val="000000"/>
          <w:sz w:val="24"/>
          <w:lang w:val="en-GB"/>
        </w:rPr>
        <w:t xml:space="preserve">announced </w:t>
      </w:r>
      <w:r w:rsidR="00385006">
        <w:rPr>
          <w:rFonts w:ascii="Arial" w:hAnsi="Arial"/>
          <w:b/>
          <w:bCs/>
          <w:color w:val="000000"/>
          <w:sz w:val="24"/>
          <w:lang w:val="en-GB"/>
        </w:rPr>
        <w:t xml:space="preserve">that it had closed </w:t>
      </w:r>
      <w:r>
        <w:rPr>
          <w:rFonts w:ascii="Arial" w:hAnsi="Arial"/>
          <w:b/>
          <w:bCs/>
          <w:color w:val="000000"/>
          <w:sz w:val="24"/>
          <w:lang w:val="en-GB"/>
        </w:rPr>
        <w:t>the</w:t>
      </w:r>
      <w:r w:rsidR="00AE7DA5">
        <w:rPr>
          <w:rFonts w:ascii="Arial" w:hAnsi="Arial"/>
          <w:b/>
          <w:bCs/>
          <w:color w:val="000000"/>
          <w:sz w:val="24"/>
          <w:lang w:val="en-GB"/>
        </w:rPr>
        <w:t xml:space="preserve"> acquisition of Polaris Uranium Corp. (“Polaris”)</w:t>
      </w:r>
      <w:r>
        <w:rPr>
          <w:rFonts w:ascii="Arial" w:hAnsi="Arial"/>
          <w:b/>
          <w:bCs/>
          <w:color w:val="000000"/>
          <w:sz w:val="24"/>
          <w:lang w:val="en-GB"/>
        </w:rPr>
        <w:t xml:space="preserve">.  </w:t>
      </w:r>
    </w:p>
    <w:p w14:paraId="459BE308" w14:textId="77777777" w:rsidR="000F37E4" w:rsidRDefault="000F37E4" w:rsidP="000F37E4">
      <w:pPr>
        <w:widowControl w:val="0"/>
        <w:overflowPunct w:val="0"/>
        <w:autoSpaceDE w:val="0"/>
        <w:autoSpaceDN w:val="0"/>
        <w:adjustRightInd w:val="0"/>
        <w:ind w:left="720"/>
        <w:jc w:val="both"/>
        <w:rPr>
          <w:rFonts w:ascii="Arial" w:hAnsi="Arial"/>
          <w:b/>
          <w:bCs/>
          <w:sz w:val="24"/>
          <w:szCs w:val="24"/>
        </w:rPr>
      </w:pPr>
    </w:p>
    <w:p w14:paraId="086179AC" w14:textId="77777777" w:rsidR="000F37E4" w:rsidRDefault="000F37E4" w:rsidP="000F37E4">
      <w:pPr>
        <w:widowControl w:val="0"/>
        <w:overflowPunct w:val="0"/>
        <w:autoSpaceDE w:val="0"/>
        <w:autoSpaceDN w:val="0"/>
        <w:adjustRightInd w:val="0"/>
        <w:ind w:left="720"/>
        <w:jc w:val="both"/>
        <w:rPr>
          <w:rFonts w:ascii="Arial" w:hAnsi="Arial"/>
          <w:b/>
          <w:bCs/>
          <w:color w:val="000000"/>
          <w:sz w:val="24"/>
          <w:lang w:val="en-GB"/>
        </w:rPr>
      </w:pPr>
      <w:r w:rsidRPr="00385006">
        <w:rPr>
          <w:rFonts w:ascii="Arial" w:hAnsi="Arial"/>
          <w:b/>
          <w:bCs/>
          <w:color w:val="000000"/>
          <w:sz w:val="24"/>
          <w:lang w:val="en-GB"/>
        </w:rPr>
        <w:t xml:space="preserve">With the completion of the Polaris acquisition, </w:t>
      </w:r>
      <w:r>
        <w:rPr>
          <w:rFonts w:ascii="Arial" w:hAnsi="Arial"/>
          <w:b/>
          <w:bCs/>
          <w:color w:val="000000"/>
          <w:sz w:val="24"/>
          <w:lang w:val="en-GB"/>
        </w:rPr>
        <w:t>The Company</w:t>
      </w:r>
      <w:r w:rsidRPr="00385006">
        <w:rPr>
          <w:rFonts w:ascii="Arial" w:hAnsi="Arial"/>
          <w:b/>
          <w:bCs/>
          <w:color w:val="000000"/>
          <w:sz w:val="24"/>
          <w:lang w:val="en-GB"/>
        </w:rPr>
        <w:t xml:space="preserve"> now holds an indirect 100% interest in four highly prospective uranium exploration properties in the eastern Athabasca Basin</w:t>
      </w:r>
      <w:r>
        <w:rPr>
          <w:rFonts w:ascii="Arial" w:hAnsi="Arial"/>
          <w:b/>
          <w:bCs/>
          <w:color w:val="000000"/>
          <w:sz w:val="24"/>
          <w:lang w:val="en-GB"/>
        </w:rPr>
        <w:t>.</w:t>
      </w:r>
    </w:p>
    <w:p w14:paraId="4FE0D1A0" w14:textId="7ED6CCE0" w:rsidR="00385006" w:rsidRDefault="00385006" w:rsidP="00385006">
      <w:pPr>
        <w:widowControl w:val="0"/>
        <w:overflowPunct w:val="0"/>
        <w:autoSpaceDE w:val="0"/>
        <w:autoSpaceDN w:val="0"/>
        <w:adjustRightInd w:val="0"/>
        <w:spacing w:line="226" w:lineRule="auto"/>
        <w:ind w:left="720"/>
        <w:jc w:val="both"/>
        <w:rPr>
          <w:rFonts w:ascii="Arial" w:hAnsi="Arial"/>
          <w:b/>
          <w:bCs/>
          <w:color w:val="000000"/>
          <w:sz w:val="24"/>
          <w:lang w:val="en-GB"/>
        </w:rPr>
      </w:pPr>
    </w:p>
    <w:p w14:paraId="117EA0D8" w14:textId="0DB9B95A" w:rsidR="00385006" w:rsidRDefault="00385006" w:rsidP="00385006">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For further details regarding the acquisition of Polaris, please refer to the Company’s news release dated July 5, 2022.</w:t>
      </w:r>
    </w:p>
    <w:p w14:paraId="6B2CCB48" w14:textId="77777777" w:rsidR="00F640E1" w:rsidRDefault="00F640E1" w:rsidP="00840EB0">
      <w:pPr>
        <w:widowControl w:val="0"/>
        <w:overflowPunct w:val="0"/>
        <w:autoSpaceDE w:val="0"/>
        <w:autoSpaceDN w:val="0"/>
        <w:adjustRightInd w:val="0"/>
        <w:spacing w:line="226" w:lineRule="auto"/>
        <w:jc w:val="both"/>
        <w:rPr>
          <w:rFonts w:ascii="Arial" w:hAnsi="Arial"/>
          <w:b/>
          <w:bCs/>
          <w:color w:val="000000"/>
          <w:sz w:val="24"/>
          <w:lang w:val="en-GB"/>
        </w:rPr>
      </w:pPr>
    </w:p>
    <w:p w14:paraId="609F4F2A" w14:textId="16592F96" w:rsidR="00640E94" w:rsidRDefault="00640E94" w:rsidP="00A41F33">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073F4D9" w14:textId="77777777" w:rsidR="00AE7DA5" w:rsidRDefault="00AE7DA5" w:rsidP="00385006">
      <w:pPr>
        <w:widowControl w:val="0"/>
        <w:overflowPunct w:val="0"/>
        <w:autoSpaceDE w:val="0"/>
        <w:autoSpaceDN w:val="0"/>
        <w:adjustRightInd w:val="0"/>
        <w:jc w:val="both"/>
        <w:rPr>
          <w:rFonts w:ascii="Arial" w:hAnsi="Arial"/>
          <w:b/>
          <w:bCs/>
          <w:sz w:val="24"/>
          <w:szCs w:val="24"/>
        </w:rPr>
      </w:pPr>
    </w:p>
    <w:p w14:paraId="142C5CE3" w14:textId="30B6163E" w:rsidR="000F37E4" w:rsidRDefault="000F37E4" w:rsidP="000F37E4">
      <w:pPr>
        <w:widowControl w:val="0"/>
        <w:overflowPunct w:val="0"/>
        <w:autoSpaceDE w:val="0"/>
        <w:autoSpaceDN w:val="0"/>
        <w:adjustRightInd w:val="0"/>
        <w:spacing w:line="226" w:lineRule="auto"/>
        <w:ind w:left="720"/>
        <w:jc w:val="both"/>
        <w:rPr>
          <w:rFonts w:ascii="Arial" w:hAnsi="Arial"/>
          <w:b/>
          <w:bCs/>
          <w:color w:val="000000"/>
          <w:sz w:val="24"/>
          <w:lang w:val="en-GB"/>
        </w:rPr>
      </w:pPr>
      <w:r>
        <w:rPr>
          <w:rFonts w:ascii="Arial" w:hAnsi="Arial"/>
          <w:b/>
          <w:bCs/>
          <w:color w:val="000000"/>
          <w:sz w:val="24"/>
          <w:lang w:val="en-GB"/>
        </w:rPr>
        <w:t>T</w:t>
      </w:r>
      <w:r>
        <w:rPr>
          <w:rFonts w:ascii="Arial" w:hAnsi="Arial"/>
          <w:b/>
          <w:bCs/>
          <w:color w:val="000000"/>
          <w:sz w:val="24"/>
          <w:lang w:val="en-GB"/>
        </w:rPr>
        <w:t xml:space="preserve">he Company announced </w:t>
      </w:r>
      <w:r>
        <w:rPr>
          <w:rFonts w:ascii="Arial" w:hAnsi="Arial"/>
          <w:b/>
          <w:bCs/>
          <w:color w:val="000000"/>
          <w:sz w:val="24"/>
          <w:lang w:val="en-GB"/>
        </w:rPr>
        <w:t>on July 5</w:t>
      </w:r>
      <w:r w:rsidRPr="000F37E4">
        <w:rPr>
          <w:rFonts w:ascii="Arial" w:hAnsi="Arial"/>
          <w:b/>
          <w:bCs/>
          <w:color w:val="000000"/>
          <w:sz w:val="24"/>
          <w:vertAlign w:val="superscript"/>
          <w:lang w:val="en-GB"/>
        </w:rPr>
        <w:t>th</w:t>
      </w:r>
      <w:r>
        <w:rPr>
          <w:rFonts w:ascii="Arial" w:hAnsi="Arial"/>
          <w:b/>
          <w:bCs/>
          <w:color w:val="000000"/>
          <w:sz w:val="24"/>
          <w:lang w:val="en-GB"/>
        </w:rPr>
        <w:t xml:space="preserve"> </w:t>
      </w:r>
      <w:r>
        <w:rPr>
          <w:rFonts w:ascii="Arial" w:hAnsi="Arial"/>
          <w:b/>
          <w:bCs/>
          <w:color w:val="000000"/>
          <w:sz w:val="24"/>
          <w:lang w:val="en-GB"/>
        </w:rPr>
        <w:t>that it had closed the acquisition of Polaris</w:t>
      </w:r>
      <w:r>
        <w:rPr>
          <w:rFonts w:ascii="Arial" w:hAnsi="Arial"/>
          <w:b/>
          <w:bCs/>
          <w:color w:val="000000"/>
          <w:sz w:val="24"/>
          <w:lang w:val="en-GB"/>
        </w:rPr>
        <w:t>.  Following the Polaris acquisition, the</w:t>
      </w:r>
      <w:r>
        <w:rPr>
          <w:rFonts w:ascii="Arial" w:hAnsi="Arial"/>
          <w:b/>
          <w:bCs/>
          <w:color w:val="000000"/>
          <w:sz w:val="24"/>
          <w:lang w:val="en-GB"/>
        </w:rPr>
        <w:t xml:space="preserve"> Company</w:t>
      </w:r>
      <w:r w:rsidRPr="00385006">
        <w:rPr>
          <w:rFonts w:ascii="Arial" w:hAnsi="Arial"/>
          <w:b/>
          <w:bCs/>
          <w:color w:val="000000"/>
          <w:sz w:val="24"/>
          <w:lang w:val="en-GB"/>
        </w:rPr>
        <w:t xml:space="preserve"> now holds an indirect 100% interest in four highly prospective uranium exploration properties in the eastern Athabasca Basin</w:t>
      </w:r>
      <w:r>
        <w:rPr>
          <w:rFonts w:ascii="Arial" w:hAnsi="Arial"/>
          <w:b/>
          <w:bCs/>
          <w:color w:val="000000"/>
          <w:sz w:val="24"/>
          <w:lang w:val="en-GB"/>
        </w:rPr>
        <w:t>.</w:t>
      </w:r>
    </w:p>
    <w:p w14:paraId="5FE8F0F4" w14:textId="77777777" w:rsidR="00185937" w:rsidRDefault="00185937" w:rsidP="005B17F5">
      <w:pPr>
        <w:widowControl w:val="0"/>
        <w:autoSpaceDE w:val="0"/>
        <w:autoSpaceDN w:val="0"/>
        <w:adjustRightInd w:val="0"/>
        <w:spacing w:line="239" w:lineRule="auto"/>
        <w:ind w:left="720"/>
        <w:jc w:val="both"/>
        <w:rPr>
          <w:rFonts w:ascii="Arial" w:hAnsi="Arial"/>
          <w:b/>
          <w:bCs/>
          <w:color w:val="000000"/>
          <w:sz w:val="24"/>
          <w:lang w:val="en-GB"/>
        </w:rPr>
      </w:pPr>
    </w:p>
    <w:p w14:paraId="53D9EA48"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C7D648B" w14:textId="77777777" w:rsidR="00473AA7" w:rsidRDefault="00473AA7" w:rsidP="00473AA7">
      <w:pPr>
        <w:pStyle w:val="ListParagraph"/>
        <w:widowControl w:val="0"/>
        <w:autoSpaceDE w:val="0"/>
        <w:autoSpaceDN w:val="0"/>
        <w:adjustRightInd w:val="0"/>
        <w:spacing w:line="239" w:lineRule="auto"/>
        <w:jc w:val="both"/>
        <w:rPr>
          <w:rFonts w:ascii="Arial" w:hAnsi="Arial"/>
          <w:b/>
          <w:bCs/>
          <w:color w:val="000000"/>
          <w:sz w:val="24"/>
          <w:lang w:val="en-GB"/>
        </w:rPr>
      </w:pPr>
    </w:p>
    <w:p w14:paraId="1EBAF5B0" w14:textId="095877C3" w:rsidR="005B17F5" w:rsidRDefault="008A6642" w:rsidP="005B17F5">
      <w:pPr>
        <w:widowControl w:val="0"/>
        <w:autoSpaceDE w:val="0"/>
        <w:autoSpaceDN w:val="0"/>
        <w:adjustRightInd w:val="0"/>
        <w:spacing w:line="239" w:lineRule="auto"/>
        <w:ind w:left="720"/>
        <w:jc w:val="both"/>
        <w:rPr>
          <w:rFonts w:ascii="Arial" w:hAnsi="Arial"/>
          <w:b/>
          <w:bCs/>
          <w:color w:val="000000"/>
          <w:sz w:val="24"/>
          <w:lang w:val="en-GB"/>
        </w:rPr>
      </w:pPr>
      <w:r>
        <w:rPr>
          <w:rFonts w:ascii="Arial" w:hAnsi="Arial"/>
          <w:b/>
          <w:bCs/>
          <w:color w:val="000000"/>
          <w:sz w:val="24"/>
          <w:lang w:val="en-GB"/>
        </w:rPr>
        <w:t>None.</w:t>
      </w:r>
    </w:p>
    <w:p w14:paraId="10C5355D" w14:textId="74F2E6BB" w:rsidR="00E77638" w:rsidRDefault="00E77638" w:rsidP="00A90505">
      <w:pPr>
        <w:pStyle w:val="List"/>
        <w:spacing w:before="0"/>
        <w:ind w:left="720" w:firstLine="0"/>
        <w:jc w:val="both"/>
        <w:rPr>
          <w:rFonts w:ascii="Arial" w:hAnsi="Arial"/>
          <w:b/>
          <w:bCs/>
        </w:rPr>
      </w:pPr>
    </w:p>
    <w:p w14:paraId="7307E381" w14:textId="52D92033" w:rsidR="00640E94" w:rsidRDefault="00640E94" w:rsidP="00A41F33">
      <w:pPr>
        <w:pStyle w:val="List"/>
        <w:numPr>
          <w:ilvl w:val="0"/>
          <w:numId w:val="28"/>
        </w:numPr>
        <w:spacing w:before="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EB51FB6" w14:textId="77777777" w:rsidR="00473AA7" w:rsidRDefault="00473AA7" w:rsidP="000975FB">
      <w:pPr>
        <w:pStyle w:val="List"/>
        <w:spacing w:before="0"/>
        <w:ind w:left="720" w:firstLine="0"/>
        <w:jc w:val="both"/>
        <w:rPr>
          <w:rFonts w:ascii="Arial" w:hAnsi="Arial"/>
        </w:rPr>
      </w:pPr>
    </w:p>
    <w:p w14:paraId="7921D4CB" w14:textId="4673C454" w:rsidR="0032758F" w:rsidRDefault="00B805BB" w:rsidP="00A41F33">
      <w:pPr>
        <w:widowControl w:val="0"/>
        <w:overflowPunct w:val="0"/>
        <w:autoSpaceDE w:val="0"/>
        <w:autoSpaceDN w:val="0"/>
        <w:adjustRightInd w:val="0"/>
        <w:ind w:left="720"/>
        <w:jc w:val="both"/>
        <w:rPr>
          <w:rFonts w:ascii="Arial" w:hAnsi="Arial"/>
          <w:b/>
          <w:bCs/>
          <w:color w:val="000000"/>
          <w:sz w:val="24"/>
          <w:lang w:val="en-GB"/>
        </w:rPr>
      </w:pPr>
      <w:r>
        <w:rPr>
          <w:rFonts w:ascii="Arial" w:hAnsi="Arial"/>
          <w:b/>
          <w:bCs/>
          <w:color w:val="000000"/>
          <w:sz w:val="24"/>
          <w:lang w:val="en-GB"/>
        </w:rPr>
        <w:t>None.</w:t>
      </w:r>
    </w:p>
    <w:p w14:paraId="6C9366D7" w14:textId="77777777" w:rsidR="00B805BB" w:rsidRPr="00FE069E" w:rsidRDefault="00B805BB" w:rsidP="00A41F33">
      <w:pPr>
        <w:widowControl w:val="0"/>
        <w:overflowPunct w:val="0"/>
        <w:autoSpaceDE w:val="0"/>
        <w:autoSpaceDN w:val="0"/>
        <w:adjustRightInd w:val="0"/>
        <w:ind w:left="720"/>
        <w:jc w:val="both"/>
        <w:rPr>
          <w:rFonts w:ascii="Arial" w:hAnsi="Arial"/>
          <w:b/>
          <w:bCs/>
          <w:sz w:val="24"/>
          <w:lang w:val="en-GB"/>
        </w:rPr>
      </w:pPr>
    </w:p>
    <w:p w14:paraId="56D88597" w14:textId="77777777" w:rsidR="00640E94" w:rsidRDefault="00640E94" w:rsidP="00A41F33">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2270885" w14:textId="7FF60A07" w:rsidR="008E3A38" w:rsidRDefault="00473AA7"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04596DE8" w14:textId="69966A9B" w:rsidR="00A41F33" w:rsidRDefault="00A41F33" w:rsidP="00A41F33">
      <w:pPr>
        <w:pStyle w:val="List"/>
        <w:spacing w:before="0"/>
        <w:ind w:left="720" w:firstLine="0"/>
        <w:jc w:val="both"/>
        <w:rPr>
          <w:rFonts w:ascii="Arial" w:hAnsi="Arial"/>
        </w:rPr>
      </w:pPr>
    </w:p>
    <w:p w14:paraId="45B5B6B9" w14:textId="25CB53C5" w:rsidR="00640E94" w:rsidRDefault="00640E94" w:rsidP="00A41F33">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0644D" w14:textId="38226858" w:rsidR="0032758F" w:rsidRDefault="0032758F" w:rsidP="00AE7DA5">
      <w:pPr>
        <w:widowControl w:val="0"/>
        <w:overflowPunct w:val="0"/>
        <w:autoSpaceDE w:val="0"/>
        <w:autoSpaceDN w:val="0"/>
        <w:adjustRightInd w:val="0"/>
        <w:jc w:val="both"/>
        <w:rPr>
          <w:rFonts w:ascii="Arial" w:hAnsi="Arial"/>
          <w:b/>
          <w:bCs/>
          <w:sz w:val="24"/>
          <w:szCs w:val="24"/>
        </w:rPr>
      </w:pPr>
    </w:p>
    <w:p w14:paraId="13959191" w14:textId="531F346E" w:rsidR="000F37E4" w:rsidRDefault="00AE7DA5" w:rsidP="00AE7DA5">
      <w:pPr>
        <w:widowControl w:val="0"/>
        <w:overflowPunct w:val="0"/>
        <w:autoSpaceDE w:val="0"/>
        <w:autoSpaceDN w:val="0"/>
        <w:adjustRightInd w:val="0"/>
        <w:ind w:left="720"/>
        <w:jc w:val="both"/>
        <w:rPr>
          <w:rFonts w:ascii="Arial" w:hAnsi="Arial"/>
          <w:b/>
          <w:bCs/>
          <w:sz w:val="24"/>
          <w:szCs w:val="24"/>
        </w:rPr>
      </w:pPr>
      <w:r>
        <w:rPr>
          <w:rFonts w:ascii="Arial" w:hAnsi="Arial"/>
          <w:b/>
          <w:bCs/>
          <w:sz w:val="24"/>
          <w:szCs w:val="24"/>
        </w:rPr>
        <w:t>On July 5, 2022, the Company announced that it had closed the acquisition of Polaris</w:t>
      </w:r>
      <w:r w:rsidR="00385006">
        <w:rPr>
          <w:rFonts w:ascii="Arial" w:hAnsi="Arial"/>
          <w:b/>
          <w:bCs/>
          <w:sz w:val="24"/>
          <w:szCs w:val="24"/>
        </w:rPr>
        <w:t xml:space="preserve"> Uranium Corp.</w:t>
      </w:r>
      <w:r>
        <w:rPr>
          <w:rFonts w:ascii="Arial" w:hAnsi="Arial"/>
          <w:b/>
          <w:bCs/>
          <w:sz w:val="24"/>
          <w:szCs w:val="24"/>
        </w:rPr>
        <w:t xml:space="preserve"> </w:t>
      </w:r>
      <w:r w:rsidR="000F37E4" w:rsidRPr="000F37E4">
        <w:rPr>
          <w:rFonts w:ascii="Arial" w:hAnsi="Arial"/>
          <w:b/>
          <w:bCs/>
          <w:sz w:val="24"/>
          <w:szCs w:val="24"/>
        </w:rPr>
        <w:t xml:space="preserve">Pursuant to the terms of the share exchange agreement dated June 27th, 2022, </w:t>
      </w:r>
      <w:r w:rsidR="000F37E4">
        <w:rPr>
          <w:rFonts w:ascii="Arial" w:hAnsi="Arial"/>
          <w:b/>
          <w:bCs/>
          <w:sz w:val="24"/>
          <w:szCs w:val="24"/>
        </w:rPr>
        <w:t>the Company</w:t>
      </w:r>
      <w:r w:rsidR="000F37E4" w:rsidRPr="000F37E4">
        <w:rPr>
          <w:rFonts w:ascii="Arial" w:hAnsi="Arial"/>
          <w:b/>
          <w:bCs/>
          <w:sz w:val="24"/>
          <w:szCs w:val="24"/>
        </w:rPr>
        <w:t xml:space="preserve"> acquired a 100% interest in Polaris by issuing a total of 4.3 million common shares to the Polaris shareholders (the “Consideration Shares”).  </w:t>
      </w:r>
    </w:p>
    <w:p w14:paraId="12722A28" w14:textId="77777777" w:rsidR="000F37E4" w:rsidRDefault="000F37E4" w:rsidP="00AE7DA5">
      <w:pPr>
        <w:widowControl w:val="0"/>
        <w:overflowPunct w:val="0"/>
        <w:autoSpaceDE w:val="0"/>
        <w:autoSpaceDN w:val="0"/>
        <w:adjustRightInd w:val="0"/>
        <w:ind w:left="720"/>
        <w:jc w:val="both"/>
        <w:rPr>
          <w:rFonts w:ascii="Arial" w:hAnsi="Arial"/>
          <w:b/>
          <w:bCs/>
          <w:sz w:val="24"/>
          <w:szCs w:val="24"/>
        </w:rPr>
      </w:pPr>
    </w:p>
    <w:p w14:paraId="1B09D9E7" w14:textId="4D616971" w:rsidR="00AE7DA5" w:rsidRDefault="000F37E4" w:rsidP="00AE7DA5">
      <w:pPr>
        <w:widowControl w:val="0"/>
        <w:overflowPunct w:val="0"/>
        <w:autoSpaceDE w:val="0"/>
        <w:autoSpaceDN w:val="0"/>
        <w:adjustRightInd w:val="0"/>
        <w:ind w:left="720"/>
        <w:jc w:val="both"/>
        <w:rPr>
          <w:rFonts w:ascii="Arial" w:hAnsi="Arial"/>
          <w:b/>
          <w:bCs/>
          <w:sz w:val="24"/>
          <w:szCs w:val="24"/>
        </w:rPr>
      </w:pPr>
      <w:r w:rsidRPr="000F37E4">
        <w:rPr>
          <w:rFonts w:ascii="Arial" w:hAnsi="Arial"/>
          <w:b/>
          <w:bCs/>
          <w:sz w:val="24"/>
          <w:szCs w:val="24"/>
        </w:rPr>
        <w:t>In addition to any resale restrictions imposed by applicable securities law, all Consideration Shares are subject to a 24-month hold period, with 25% of the Consideration Shares being released every six months, commencing January 4, 2023.</w:t>
      </w:r>
      <w:r>
        <w:rPr>
          <w:rFonts w:ascii="Arial" w:hAnsi="Arial"/>
          <w:b/>
          <w:bCs/>
          <w:sz w:val="24"/>
          <w:szCs w:val="24"/>
        </w:rPr>
        <w:t xml:space="preserve">  </w:t>
      </w:r>
    </w:p>
    <w:p w14:paraId="2D16E413" w14:textId="62388671" w:rsidR="000F37E4" w:rsidRDefault="000F37E4" w:rsidP="00AE7DA5">
      <w:pPr>
        <w:widowControl w:val="0"/>
        <w:overflowPunct w:val="0"/>
        <w:autoSpaceDE w:val="0"/>
        <w:autoSpaceDN w:val="0"/>
        <w:adjustRightInd w:val="0"/>
        <w:ind w:left="720"/>
        <w:jc w:val="both"/>
        <w:rPr>
          <w:rFonts w:ascii="Arial" w:hAnsi="Arial"/>
          <w:b/>
          <w:bCs/>
          <w:sz w:val="24"/>
          <w:szCs w:val="24"/>
        </w:rPr>
      </w:pPr>
    </w:p>
    <w:p w14:paraId="2D8A7937" w14:textId="7185FCCC" w:rsidR="000F37E4" w:rsidRDefault="000F37E4" w:rsidP="00AE7DA5">
      <w:pPr>
        <w:widowControl w:val="0"/>
        <w:overflowPunct w:val="0"/>
        <w:autoSpaceDE w:val="0"/>
        <w:autoSpaceDN w:val="0"/>
        <w:adjustRightInd w:val="0"/>
        <w:ind w:left="720"/>
        <w:jc w:val="both"/>
        <w:rPr>
          <w:rFonts w:ascii="Arial" w:hAnsi="Arial"/>
          <w:b/>
          <w:bCs/>
          <w:sz w:val="24"/>
          <w:szCs w:val="24"/>
        </w:rPr>
      </w:pPr>
      <w:r>
        <w:rPr>
          <w:rFonts w:ascii="Arial" w:hAnsi="Arial"/>
          <w:b/>
          <w:bCs/>
          <w:sz w:val="24"/>
          <w:szCs w:val="24"/>
        </w:rPr>
        <w:t xml:space="preserve">Prior to the acquisition, Polaris was a private, arm’s length </w:t>
      </w:r>
      <w:r w:rsidRPr="000F37E4">
        <w:rPr>
          <w:rFonts w:ascii="Arial" w:hAnsi="Arial"/>
          <w:b/>
          <w:bCs/>
          <w:sz w:val="24"/>
          <w:szCs w:val="24"/>
        </w:rPr>
        <w:t>uranium exploration company with a 46,700 ha land package in the eastern Athabasca Basin, Saskatchewan.</w:t>
      </w:r>
    </w:p>
    <w:p w14:paraId="1227A8A5" w14:textId="77777777" w:rsidR="00385006" w:rsidRPr="00AE7DA5" w:rsidRDefault="00385006" w:rsidP="000F37E4">
      <w:pPr>
        <w:widowControl w:val="0"/>
        <w:overflowPunct w:val="0"/>
        <w:autoSpaceDE w:val="0"/>
        <w:autoSpaceDN w:val="0"/>
        <w:adjustRightInd w:val="0"/>
        <w:jc w:val="both"/>
        <w:rPr>
          <w:rFonts w:ascii="Arial" w:hAnsi="Arial"/>
          <w:b/>
          <w:bCs/>
          <w:sz w:val="24"/>
          <w:szCs w:val="24"/>
        </w:rPr>
      </w:pPr>
    </w:p>
    <w:p w14:paraId="1679BFE1" w14:textId="77777777" w:rsidR="00640E94" w:rsidRDefault="00640E94" w:rsidP="00A41F33">
      <w:pPr>
        <w:pStyle w:val="List"/>
        <w:numPr>
          <w:ilvl w:val="0"/>
          <w:numId w:val="28"/>
        </w:numPr>
        <w:spacing w:before="0"/>
        <w:jc w:val="both"/>
        <w:rPr>
          <w:rFonts w:ascii="Arial" w:hAnsi="Arial"/>
        </w:rPr>
      </w:pPr>
      <w:r>
        <w:rPr>
          <w:rFonts w:ascii="Arial" w:hAnsi="Arial"/>
        </w:rPr>
        <w:t>Describe the acquisition of new customers or loss of customers.</w:t>
      </w:r>
    </w:p>
    <w:p w14:paraId="695C4F68" w14:textId="160FB053"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C009A48"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0B11D8E" w14:textId="77777777" w:rsidR="00640E94" w:rsidRDefault="00640E94" w:rsidP="00A41F33">
      <w:pPr>
        <w:pStyle w:val="List"/>
        <w:numPr>
          <w:ilvl w:val="0"/>
          <w:numId w:val="28"/>
        </w:numPr>
        <w:spacing w:before="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13C35D4" w14:textId="4A2751BE" w:rsidR="008E3A38" w:rsidRDefault="0097313B"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98104CF" w14:textId="77777777" w:rsidR="00B22A3C" w:rsidRPr="00FE069E" w:rsidRDefault="00B22A3C" w:rsidP="008E3A38">
      <w:pPr>
        <w:widowControl w:val="0"/>
        <w:overflowPunct w:val="0"/>
        <w:autoSpaceDE w:val="0"/>
        <w:autoSpaceDN w:val="0"/>
        <w:adjustRightInd w:val="0"/>
        <w:ind w:left="720"/>
        <w:jc w:val="both"/>
        <w:rPr>
          <w:rFonts w:ascii="Arial" w:hAnsi="Arial"/>
          <w:b/>
          <w:bCs/>
          <w:sz w:val="24"/>
          <w:lang w:val="en-GB"/>
        </w:rPr>
      </w:pPr>
    </w:p>
    <w:p w14:paraId="054F7BF5" w14:textId="3F3FFAF5" w:rsidR="00640E94" w:rsidRDefault="00640E94" w:rsidP="00A41F33">
      <w:pPr>
        <w:pStyle w:val="List"/>
        <w:numPr>
          <w:ilvl w:val="0"/>
          <w:numId w:val="28"/>
        </w:numPr>
        <w:spacing w:before="0"/>
        <w:jc w:val="both"/>
        <w:rPr>
          <w:rFonts w:ascii="Arial" w:hAnsi="Arial"/>
        </w:rPr>
      </w:pPr>
      <w:r>
        <w:rPr>
          <w:rFonts w:ascii="Arial" w:hAnsi="Arial"/>
        </w:rPr>
        <w:t xml:space="preserve">Report on any employee </w:t>
      </w:r>
      <w:r w:rsidR="00B030CB">
        <w:rPr>
          <w:rFonts w:ascii="Arial" w:hAnsi="Arial"/>
        </w:rPr>
        <w:t>hiring’s</w:t>
      </w:r>
      <w:r>
        <w:rPr>
          <w:rFonts w:ascii="Arial" w:hAnsi="Arial"/>
        </w:rPr>
        <w:t xml:space="preserve">, </w:t>
      </w:r>
      <w:proofErr w:type="gramStart"/>
      <w:r>
        <w:rPr>
          <w:rFonts w:ascii="Arial" w:hAnsi="Arial"/>
        </w:rPr>
        <w:t>terminations</w:t>
      </w:r>
      <w:proofErr w:type="gramEnd"/>
      <w:r>
        <w:rPr>
          <w:rFonts w:ascii="Arial" w:hAnsi="Arial"/>
        </w:rPr>
        <w:t xml:space="preserve"> or lay-offs with details of anticipated length of lay-offs.</w:t>
      </w:r>
    </w:p>
    <w:p w14:paraId="573DE90B" w14:textId="77777777" w:rsidR="00605E4F" w:rsidRDefault="00605E4F" w:rsidP="00605E4F">
      <w:pPr>
        <w:pStyle w:val="ListParagraph"/>
        <w:widowControl w:val="0"/>
        <w:autoSpaceDE w:val="0"/>
        <w:autoSpaceDN w:val="0"/>
        <w:adjustRightInd w:val="0"/>
        <w:spacing w:line="239" w:lineRule="auto"/>
        <w:jc w:val="both"/>
        <w:rPr>
          <w:rFonts w:ascii="Arial" w:hAnsi="Arial"/>
          <w:b/>
          <w:bCs/>
          <w:color w:val="000000"/>
          <w:sz w:val="24"/>
          <w:lang w:val="en-GB"/>
        </w:rPr>
      </w:pPr>
    </w:p>
    <w:p w14:paraId="58E4D660" w14:textId="6262CE04" w:rsidR="00A41F33" w:rsidRDefault="00B931CC" w:rsidP="00A41F3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689E8226" w14:textId="77777777" w:rsidR="000232F3" w:rsidRPr="00FE069E" w:rsidRDefault="000232F3" w:rsidP="00A41F33">
      <w:pPr>
        <w:widowControl w:val="0"/>
        <w:overflowPunct w:val="0"/>
        <w:autoSpaceDE w:val="0"/>
        <w:autoSpaceDN w:val="0"/>
        <w:adjustRightInd w:val="0"/>
        <w:ind w:left="720"/>
        <w:jc w:val="both"/>
        <w:rPr>
          <w:rFonts w:ascii="Arial" w:hAnsi="Arial"/>
          <w:b/>
          <w:bCs/>
          <w:sz w:val="24"/>
          <w:lang w:val="en-GB"/>
        </w:rPr>
      </w:pPr>
    </w:p>
    <w:p w14:paraId="1B6B4A37" w14:textId="77777777" w:rsidR="00640E94" w:rsidRDefault="00640E94" w:rsidP="00A41F33">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02058E2B" w14:textId="2018273F"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665173A4"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BDAB290" w14:textId="77777777" w:rsidR="00640E94" w:rsidRDefault="00640E94" w:rsidP="00A41F33">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A8D839" w14:textId="59A64F96" w:rsidR="008E3A38" w:rsidRDefault="00E77638"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4FD9A3B3"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09D9FFA7" w14:textId="1CEBB56B" w:rsidR="00473AA7" w:rsidRPr="000975FB" w:rsidRDefault="00640E94">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56B4EE29" w14:textId="77777777" w:rsidR="00A90505" w:rsidRPr="000975FB" w:rsidRDefault="00A90505" w:rsidP="000975FB">
      <w:pPr>
        <w:pStyle w:val="List"/>
        <w:ind w:left="1440" w:hanging="720"/>
        <w:rPr>
          <w:rFonts w:ascii="Arial" w:hAnsi="Arial" w:cs="Arial"/>
          <w:b/>
          <w:bCs/>
        </w:rPr>
      </w:pPr>
      <w:r w:rsidRPr="000975FB">
        <w:rPr>
          <w:rFonts w:ascii="Arial" w:hAnsi="Arial" w:cs="Arial"/>
          <w:b/>
          <w:bCs/>
        </w:rPr>
        <w:t>None.</w:t>
      </w:r>
    </w:p>
    <w:p w14:paraId="54BFF97A" w14:textId="40C905F6" w:rsidR="00A41F33" w:rsidRDefault="00A41F33" w:rsidP="00A90505">
      <w:pPr>
        <w:pStyle w:val="List"/>
        <w:spacing w:before="0"/>
        <w:ind w:left="720" w:firstLine="0"/>
        <w:jc w:val="both"/>
        <w:rPr>
          <w:rFonts w:ascii="Arial" w:hAnsi="Arial"/>
        </w:rPr>
      </w:pPr>
    </w:p>
    <w:p w14:paraId="6DEEBFF2" w14:textId="70CC49BF" w:rsidR="00640E94" w:rsidRDefault="00640E94" w:rsidP="00A41F33">
      <w:pPr>
        <w:pStyle w:val="List"/>
        <w:numPr>
          <w:ilvl w:val="0"/>
          <w:numId w:val="28"/>
        </w:numPr>
        <w:spacing w:before="0" w:after="120"/>
        <w:jc w:val="both"/>
        <w:rPr>
          <w:rFonts w:ascii="Arial" w:hAnsi="Arial"/>
        </w:rPr>
      </w:pPr>
      <w:r>
        <w:rPr>
          <w:rFonts w:ascii="Arial" w:hAnsi="Arial"/>
        </w:rPr>
        <w:t>Provide details of any securities issued and options or warrants granted.</w:t>
      </w:r>
    </w:p>
    <w:p w14:paraId="68362124" w14:textId="77777777" w:rsidR="00385006" w:rsidRDefault="00385006" w:rsidP="00385006">
      <w:pPr>
        <w:pStyle w:val="List"/>
        <w:spacing w:before="0" w:after="120"/>
        <w:ind w:left="720" w:firstLine="0"/>
        <w:jc w:val="both"/>
        <w:rPr>
          <w:rFonts w:ascii="Arial" w:hAnsi="Arial"/>
        </w:rPr>
      </w:pPr>
    </w:p>
    <w:tbl>
      <w:tblPr>
        <w:tblW w:w="874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351"/>
        <w:gridCol w:w="3872"/>
        <w:gridCol w:w="1621"/>
      </w:tblGrid>
      <w:tr w:rsidR="00385006" w14:paraId="11E7503A" w14:textId="77777777" w:rsidTr="00385006">
        <w:tc>
          <w:tcPr>
            <w:tcW w:w="1901" w:type="dxa"/>
            <w:tcBorders>
              <w:top w:val="single" w:sz="4" w:space="0" w:color="auto"/>
              <w:left w:val="single" w:sz="4" w:space="0" w:color="auto"/>
              <w:bottom w:val="single" w:sz="4" w:space="0" w:color="auto"/>
              <w:right w:val="single" w:sz="4" w:space="0" w:color="auto"/>
            </w:tcBorders>
            <w:hideMark/>
          </w:tcPr>
          <w:p w14:paraId="22FD65D1" w14:textId="77777777" w:rsidR="00385006" w:rsidRDefault="00385006">
            <w:pPr>
              <w:pStyle w:val="List"/>
              <w:tabs>
                <w:tab w:val="left" w:pos="360"/>
              </w:tabs>
              <w:spacing w:before="0"/>
              <w:ind w:left="0" w:firstLine="0"/>
              <w:jc w:val="center"/>
              <w:rPr>
                <w:rFonts w:ascii="Arial" w:hAnsi="Arial"/>
                <w:b/>
              </w:rPr>
            </w:pPr>
            <w:r>
              <w:rPr>
                <w:rFonts w:ascii="Arial" w:hAnsi="Arial"/>
                <w:b/>
              </w:rPr>
              <w:t>Security</w:t>
            </w:r>
          </w:p>
        </w:tc>
        <w:tc>
          <w:tcPr>
            <w:tcW w:w="1350" w:type="dxa"/>
            <w:tcBorders>
              <w:top w:val="single" w:sz="4" w:space="0" w:color="auto"/>
              <w:left w:val="single" w:sz="4" w:space="0" w:color="auto"/>
              <w:bottom w:val="single" w:sz="4" w:space="0" w:color="auto"/>
              <w:right w:val="single" w:sz="4" w:space="0" w:color="auto"/>
            </w:tcBorders>
            <w:hideMark/>
          </w:tcPr>
          <w:p w14:paraId="6E37D8A4" w14:textId="77777777" w:rsidR="00385006" w:rsidRDefault="00385006">
            <w:pPr>
              <w:pStyle w:val="List"/>
              <w:tabs>
                <w:tab w:val="left" w:pos="360"/>
              </w:tabs>
              <w:spacing w:before="0"/>
              <w:ind w:left="0" w:firstLine="0"/>
              <w:jc w:val="center"/>
              <w:rPr>
                <w:rFonts w:ascii="Arial" w:hAnsi="Arial"/>
                <w:b/>
              </w:rPr>
            </w:pPr>
            <w:r>
              <w:rPr>
                <w:rFonts w:ascii="Arial" w:hAnsi="Arial"/>
                <w:b/>
              </w:rPr>
              <w:t>Number Issued</w:t>
            </w:r>
          </w:p>
        </w:tc>
        <w:tc>
          <w:tcPr>
            <w:tcW w:w="3870" w:type="dxa"/>
            <w:tcBorders>
              <w:top w:val="single" w:sz="4" w:space="0" w:color="auto"/>
              <w:left w:val="single" w:sz="4" w:space="0" w:color="auto"/>
              <w:bottom w:val="single" w:sz="4" w:space="0" w:color="auto"/>
              <w:right w:val="single" w:sz="4" w:space="0" w:color="auto"/>
            </w:tcBorders>
            <w:hideMark/>
          </w:tcPr>
          <w:p w14:paraId="6F7F03FC" w14:textId="77777777" w:rsidR="00385006" w:rsidRDefault="00385006">
            <w:pPr>
              <w:pStyle w:val="List"/>
              <w:tabs>
                <w:tab w:val="left" w:pos="360"/>
              </w:tabs>
              <w:spacing w:before="0"/>
              <w:ind w:left="0" w:firstLine="0"/>
              <w:jc w:val="center"/>
              <w:rPr>
                <w:rFonts w:ascii="Arial" w:hAnsi="Arial"/>
                <w:b/>
              </w:rPr>
            </w:pPr>
            <w:r>
              <w:rPr>
                <w:rFonts w:ascii="Arial" w:hAnsi="Arial"/>
                <w:b/>
              </w:rPr>
              <w:t>Details of Issuance</w:t>
            </w:r>
          </w:p>
        </w:tc>
        <w:tc>
          <w:tcPr>
            <w:tcW w:w="1620" w:type="dxa"/>
            <w:tcBorders>
              <w:top w:val="single" w:sz="4" w:space="0" w:color="auto"/>
              <w:left w:val="single" w:sz="4" w:space="0" w:color="auto"/>
              <w:bottom w:val="single" w:sz="4" w:space="0" w:color="auto"/>
              <w:right w:val="single" w:sz="4" w:space="0" w:color="auto"/>
            </w:tcBorders>
            <w:hideMark/>
          </w:tcPr>
          <w:p w14:paraId="76C8D6DA" w14:textId="77777777" w:rsidR="00385006" w:rsidRDefault="00385006">
            <w:pPr>
              <w:pStyle w:val="List"/>
              <w:tabs>
                <w:tab w:val="left" w:pos="360"/>
              </w:tabs>
              <w:spacing w:before="0"/>
              <w:ind w:left="0" w:firstLine="0"/>
              <w:jc w:val="center"/>
              <w:rPr>
                <w:rFonts w:ascii="Arial" w:hAnsi="Arial"/>
                <w:b/>
              </w:rPr>
            </w:pPr>
            <w:r>
              <w:rPr>
                <w:rFonts w:ascii="Arial" w:hAnsi="Arial"/>
                <w:b/>
              </w:rPr>
              <w:t xml:space="preserve">Use of Proceeds </w:t>
            </w:r>
            <w:r>
              <w:rPr>
                <w:rFonts w:ascii="Arial" w:hAnsi="Arial"/>
                <w:b/>
                <w:vertAlign w:val="superscript"/>
              </w:rPr>
              <w:t>(1)</w:t>
            </w:r>
          </w:p>
        </w:tc>
      </w:tr>
      <w:tr w:rsidR="00385006" w14:paraId="48494B05" w14:textId="77777777" w:rsidTr="00385006">
        <w:tc>
          <w:tcPr>
            <w:tcW w:w="1901" w:type="dxa"/>
            <w:tcBorders>
              <w:top w:val="single" w:sz="4" w:space="0" w:color="auto"/>
              <w:left w:val="single" w:sz="4" w:space="0" w:color="auto"/>
              <w:bottom w:val="single" w:sz="4" w:space="0" w:color="auto"/>
              <w:right w:val="single" w:sz="4" w:space="0" w:color="auto"/>
            </w:tcBorders>
            <w:hideMark/>
          </w:tcPr>
          <w:p w14:paraId="71FD6B41" w14:textId="77777777"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Common Shares</w:t>
            </w:r>
          </w:p>
        </w:tc>
        <w:tc>
          <w:tcPr>
            <w:tcW w:w="1350" w:type="dxa"/>
            <w:tcBorders>
              <w:top w:val="single" w:sz="4" w:space="0" w:color="auto"/>
              <w:left w:val="single" w:sz="4" w:space="0" w:color="auto"/>
              <w:bottom w:val="single" w:sz="4" w:space="0" w:color="auto"/>
              <w:right w:val="single" w:sz="4" w:space="0" w:color="auto"/>
            </w:tcBorders>
            <w:hideMark/>
          </w:tcPr>
          <w:p w14:paraId="22088092" w14:textId="5BEE9C1E"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4</w:t>
            </w:r>
            <w:r>
              <w:rPr>
                <w:rFonts w:ascii="Arial" w:hAnsi="Arial"/>
                <w:b/>
                <w:sz w:val="20"/>
                <w:szCs w:val="16"/>
              </w:rPr>
              <w:t>,</w:t>
            </w:r>
            <w:r>
              <w:rPr>
                <w:rFonts w:ascii="Arial" w:hAnsi="Arial"/>
                <w:b/>
                <w:sz w:val="20"/>
                <w:szCs w:val="16"/>
              </w:rPr>
              <w:t>3</w:t>
            </w:r>
            <w:r>
              <w:rPr>
                <w:rFonts w:ascii="Arial" w:hAnsi="Arial"/>
                <w:b/>
                <w:sz w:val="20"/>
                <w:szCs w:val="16"/>
              </w:rPr>
              <w:t>00,000</w:t>
            </w:r>
          </w:p>
        </w:tc>
        <w:tc>
          <w:tcPr>
            <w:tcW w:w="3870" w:type="dxa"/>
            <w:tcBorders>
              <w:top w:val="single" w:sz="4" w:space="0" w:color="auto"/>
              <w:left w:val="single" w:sz="4" w:space="0" w:color="auto"/>
              <w:bottom w:val="single" w:sz="4" w:space="0" w:color="auto"/>
              <w:right w:val="single" w:sz="4" w:space="0" w:color="auto"/>
            </w:tcBorders>
            <w:hideMark/>
          </w:tcPr>
          <w:p w14:paraId="3B392081" w14:textId="0011762D"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Polaris Acquisition</w:t>
            </w:r>
          </w:p>
        </w:tc>
        <w:tc>
          <w:tcPr>
            <w:tcW w:w="1620" w:type="dxa"/>
            <w:tcBorders>
              <w:top w:val="single" w:sz="4" w:space="0" w:color="auto"/>
              <w:left w:val="single" w:sz="4" w:space="0" w:color="auto"/>
              <w:bottom w:val="single" w:sz="4" w:space="0" w:color="auto"/>
              <w:right w:val="single" w:sz="4" w:space="0" w:color="auto"/>
            </w:tcBorders>
            <w:hideMark/>
          </w:tcPr>
          <w:p w14:paraId="19A0C8EF" w14:textId="77777777"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n/a</w:t>
            </w:r>
          </w:p>
        </w:tc>
      </w:tr>
      <w:tr w:rsidR="00385006" w14:paraId="22BFABEF" w14:textId="77777777" w:rsidTr="00385006">
        <w:tc>
          <w:tcPr>
            <w:tcW w:w="1901" w:type="dxa"/>
            <w:tcBorders>
              <w:top w:val="single" w:sz="4" w:space="0" w:color="auto"/>
              <w:left w:val="single" w:sz="4" w:space="0" w:color="auto"/>
              <w:bottom w:val="single" w:sz="4" w:space="0" w:color="auto"/>
              <w:right w:val="single" w:sz="4" w:space="0" w:color="auto"/>
            </w:tcBorders>
          </w:tcPr>
          <w:p w14:paraId="3ECFE29F" w14:textId="0BE8E121"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Stock Options</w:t>
            </w:r>
          </w:p>
        </w:tc>
        <w:tc>
          <w:tcPr>
            <w:tcW w:w="1350" w:type="dxa"/>
            <w:tcBorders>
              <w:top w:val="single" w:sz="4" w:space="0" w:color="auto"/>
              <w:left w:val="single" w:sz="4" w:space="0" w:color="auto"/>
              <w:bottom w:val="single" w:sz="4" w:space="0" w:color="auto"/>
              <w:right w:val="single" w:sz="4" w:space="0" w:color="auto"/>
            </w:tcBorders>
          </w:tcPr>
          <w:p w14:paraId="4835C581" w14:textId="73FEBDEC"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1,090,000</w:t>
            </w:r>
          </w:p>
        </w:tc>
        <w:tc>
          <w:tcPr>
            <w:tcW w:w="3870" w:type="dxa"/>
            <w:tcBorders>
              <w:top w:val="single" w:sz="4" w:space="0" w:color="auto"/>
              <w:left w:val="single" w:sz="4" w:space="0" w:color="auto"/>
              <w:bottom w:val="single" w:sz="4" w:space="0" w:color="auto"/>
              <w:right w:val="single" w:sz="4" w:space="0" w:color="auto"/>
            </w:tcBorders>
          </w:tcPr>
          <w:p w14:paraId="51E6B43D" w14:textId="75230018"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Stock Option Grant</w:t>
            </w:r>
          </w:p>
        </w:tc>
        <w:tc>
          <w:tcPr>
            <w:tcW w:w="1620" w:type="dxa"/>
            <w:tcBorders>
              <w:top w:val="single" w:sz="4" w:space="0" w:color="auto"/>
              <w:left w:val="single" w:sz="4" w:space="0" w:color="auto"/>
              <w:bottom w:val="single" w:sz="4" w:space="0" w:color="auto"/>
              <w:right w:val="single" w:sz="4" w:space="0" w:color="auto"/>
            </w:tcBorders>
          </w:tcPr>
          <w:p w14:paraId="1A9D61DA" w14:textId="6415F4FD" w:rsidR="00385006" w:rsidRDefault="00385006">
            <w:pPr>
              <w:pStyle w:val="List"/>
              <w:tabs>
                <w:tab w:val="left" w:pos="360"/>
              </w:tabs>
              <w:spacing w:before="0"/>
              <w:ind w:left="0" w:firstLine="0"/>
              <w:jc w:val="center"/>
              <w:rPr>
                <w:rFonts w:ascii="Arial" w:hAnsi="Arial"/>
                <w:b/>
                <w:sz w:val="20"/>
                <w:szCs w:val="16"/>
              </w:rPr>
            </w:pPr>
            <w:r>
              <w:rPr>
                <w:rFonts w:ascii="Arial" w:hAnsi="Arial"/>
                <w:b/>
                <w:sz w:val="20"/>
                <w:szCs w:val="16"/>
              </w:rPr>
              <w:t>n/a</w:t>
            </w:r>
          </w:p>
        </w:tc>
      </w:tr>
      <w:tr w:rsidR="00385006" w14:paraId="18A819F0" w14:textId="77777777" w:rsidTr="00385006">
        <w:tc>
          <w:tcPr>
            <w:tcW w:w="1901" w:type="dxa"/>
            <w:tcBorders>
              <w:top w:val="single" w:sz="4" w:space="0" w:color="auto"/>
              <w:left w:val="single" w:sz="4" w:space="0" w:color="auto"/>
              <w:bottom w:val="single" w:sz="4" w:space="0" w:color="auto"/>
              <w:right w:val="single" w:sz="4" w:space="0" w:color="auto"/>
            </w:tcBorders>
          </w:tcPr>
          <w:p w14:paraId="2E33AB18" w14:textId="77777777" w:rsidR="00385006" w:rsidRDefault="00385006">
            <w:pPr>
              <w:pStyle w:val="List"/>
              <w:tabs>
                <w:tab w:val="left" w:pos="360"/>
              </w:tabs>
              <w:spacing w:before="0"/>
              <w:ind w:left="0" w:firstLine="0"/>
              <w:jc w:val="center"/>
              <w:rPr>
                <w:rFonts w:ascii="Arial" w:hAnsi="Arial"/>
                <w:b/>
                <w:sz w:val="20"/>
                <w:szCs w:val="16"/>
              </w:rPr>
            </w:pPr>
          </w:p>
        </w:tc>
        <w:tc>
          <w:tcPr>
            <w:tcW w:w="1350" w:type="dxa"/>
            <w:tcBorders>
              <w:top w:val="single" w:sz="4" w:space="0" w:color="auto"/>
              <w:left w:val="single" w:sz="4" w:space="0" w:color="auto"/>
              <w:bottom w:val="single" w:sz="4" w:space="0" w:color="auto"/>
              <w:right w:val="single" w:sz="4" w:space="0" w:color="auto"/>
            </w:tcBorders>
          </w:tcPr>
          <w:p w14:paraId="0F378533" w14:textId="77777777" w:rsidR="00385006" w:rsidRDefault="00385006">
            <w:pPr>
              <w:pStyle w:val="List"/>
              <w:tabs>
                <w:tab w:val="left" w:pos="360"/>
              </w:tabs>
              <w:spacing w:before="0"/>
              <w:ind w:left="0" w:firstLine="0"/>
              <w:jc w:val="center"/>
              <w:rPr>
                <w:rFonts w:ascii="Arial" w:hAnsi="Arial"/>
                <w:b/>
                <w:sz w:val="20"/>
                <w:szCs w:val="16"/>
              </w:rPr>
            </w:pPr>
          </w:p>
        </w:tc>
        <w:tc>
          <w:tcPr>
            <w:tcW w:w="3870" w:type="dxa"/>
            <w:tcBorders>
              <w:top w:val="single" w:sz="4" w:space="0" w:color="auto"/>
              <w:left w:val="single" w:sz="4" w:space="0" w:color="auto"/>
              <w:bottom w:val="single" w:sz="4" w:space="0" w:color="auto"/>
              <w:right w:val="single" w:sz="4" w:space="0" w:color="auto"/>
            </w:tcBorders>
          </w:tcPr>
          <w:p w14:paraId="5FFDA1F5" w14:textId="77777777" w:rsidR="00385006" w:rsidRDefault="00385006">
            <w:pPr>
              <w:pStyle w:val="List"/>
              <w:tabs>
                <w:tab w:val="left" w:pos="360"/>
              </w:tabs>
              <w:spacing w:before="0"/>
              <w:ind w:left="0" w:firstLine="0"/>
              <w:jc w:val="center"/>
              <w:rPr>
                <w:rFonts w:ascii="Arial" w:hAnsi="Arial"/>
                <w:b/>
                <w:sz w:val="20"/>
                <w:szCs w:val="16"/>
              </w:rPr>
            </w:pPr>
          </w:p>
        </w:tc>
        <w:tc>
          <w:tcPr>
            <w:tcW w:w="1620" w:type="dxa"/>
            <w:tcBorders>
              <w:top w:val="single" w:sz="4" w:space="0" w:color="auto"/>
              <w:left w:val="single" w:sz="4" w:space="0" w:color="auto"/>
              <w:bottom w:val="single" w:sz="4" w:space="0" w:color="auto"/>
              <w:right w:val="single" w:sz="4" w:space="0" w:color="auto"/>
            </w:tcBorders>
          </w:tcPr>
          <w:p w14:paraId="203B2932" w14:textId="77777777" w:rsidR="00385006" w:rsidRDefault="00385006">
            <w:pPr>
              <w:pStyle w:val="List"/>
              <w:tabs>
                <w:tab w:val="left" w:pos="360"/>
              </w:tabs>
              <w:spacing w:before="0"/>
              <w:ind w:left="0" w:firstLine="0"/>
              <w:jc w:val="center"/>
              <w:rPr>
                <w:rFonts w:ascii="Arial" w:hAnsi="Arial"/>
                <w:b/>
                <w:sz w:val="20"/>
                <w:szCs w:val="16"/>
              </w:rPr>
            </w:pPr>
          </w:p>
        </w:tc>
      </w:tr>
      <w:tr w:rsidR="00385006" w14:paraId="1AA4DAB8" w14:textId="77777777" w:rsidTr="00385006">
        <w:tc>
          <w:tcPr>
            <w:tcW w:w="1901" w:type="dxa"/>
            <w:tcBorders>
              <w:top w:val="single" w:sz="4" w:space="0" w:color="auto"/>
              <w:left w:val="single" w:sz="4" w:space="0" w:color="auto"/>
              <w:bottom w:val="single" w:sz="4" w:space="0" w:color="auto"/>
              <w:right w:val="single" w:sz="4" w:space="0" w:color="auto"/>
            </w:tcBorders>
          </w:tcPr>
          <w:p w14:paraId="03F7DD90" w14:textId="77777777" w:rsidR="00385006" w:rsidRDefault="00385006">
            <w:pPr>
              <w:pStyle w:val="List"/>
              <w:tabs>
                <w:tab w:val="left" w:pos="360"/>
              </w:tabs>
              <w:spacing w:before="0"/>
              <w:ind w:left="0" w:firstLine="0"/>
              <w:jc w:val="center"/>
              <w:rPr>
                <w:rFonts w:ascii="Arial" w:hAnsi="Arial"/>
                <w:b/>
                <w:sz w:val="20"/>
                <w:szCs w:val="16"/>
              </w:rPr>
            </w:pPr>
          </w:p>
        </w:tc>
        <w:tc>
          <w:tcPr>
            <w:tcW w:w="1350" w:type="dxa"/>
            <w:tcBorders>
              <w:top w:val="single" w:sz="4" w:space="0" w:color="auto"/>
              <w:left w:val="single" w:sz="4" w:space="0" w:color="auto"/>
              <w:bottom w:val="single" w:sz="4" w:space="0" w:color="auto"/>
              <w:right w:val="single" w:sz="4" w:space="0" w:color="auto"/>
            </w:tcBorders>
          </w:tcPr>
          <w:p w14:paraId="56FB9AD4" w14:textId="77777777" w:rsidR="00385006" w:rsidRDefault="00385006">
            <w:pPr>
              <w:pStyle w:val="List"/>
              <w:tabs>
                <w:tab w:val="left" w:pos="360"/>
              </w:tabs>
              <w:spacing w:before="0"/>
              <w:ind w:left="0" w:firstLine="0"/>
              <w:jc w:val="center"/>
              <w:rPr>
                <w:rFonts w:ascii="Arial" w:hAnsi="Arial"/>
                <w:b/>
                <w:sz w:val="20"/>
                <w:szCs w:val="16"/>
              </w:rPr>
            </w:pPr>
          </w:p>
        </w:tc>
        <w:tc>
          <w:tcPr>
            <w:tcW w:w="3870" w:type="dxa"/>
            <w:tcBorders>
              <w:top w:val="single" w:sz="4" w:space="0" w:color="auto"/>
              <w:left w:val="single" w:sz="4" w:space="0" w:color="auto"/>
              <w:bottom w:val="single" w:sz="4" w:space="0" w:color="auto"/>
              <w:right w:val="single" w:sz="4" w:space="0" w:color="auto"/>
            </w:tcBorders>
          </w:tcPr>
          <w:p w14:paraId="0D6F95BA" w14:textId="77777777" w:rsidR="00385006" w:rsidRDefault="00385006">
            <w:pPr>
              <w:pStyle w:val="List"/>
              <w:tabs>
                <w:tab w:val="left" w:pos="360"/>
              </w:tabs>
              <w:spacing w:before="0"/>
              <w:ind w:left="0" w:firstLine="0"/>
              <w:jc w:val="center"/>
              <w:rPr>
                <w:rFonts w:ascii="Arial" w:hAnsi="Arial"/>
                <w:b/>
                <w:sz w:val="20"/>
                <w:szCs w:val="16"/>
              </w:rPr>
            </w:pPr>
          </w:p>
        </w:tc>
        <w:tc>
          <w:tcPr>
            <w:tcW w:w="1620" w:type="dxa"/>
            <w:tcBorders>
              <w:top w:val="single" w:sz="4" w:space="0" w:color="auto"/>
              <w:left w:val="single" w:sz="4" w:space="0" w:color="auto"/>
              <w:bottom w:val="single" w:sz="4" w:space="0" w:color="auto"/>
              <w:right w:val="single" w:sz="4" w:space="0" w:color="auto"/>
            </w:tcBorders>
          </w:tcPr>
          <w:p w14:paraId="0CCFCAD4" w14:textId="77777777" w:rsidR="00385006" w:rsidRDefault="00385006">
            <w:pPr>
              <w:pStyle w:val="List"/>
              <w:tabs>
                <w:tab w:val="left" w:pos="360"/>
              </w:tabs>
              <w:spacing w:before="0"/>
              <w:ind w:left="0" w:firstLine="0"/>
              <w:jc w:val="center"/>
              <w:rPr>
                <w:rFonts w:ascii="Arial" w:hAnsi="Arial"/>
                <w:b/>
                <w:sz w:val="20"/>
                <w:szCs w:val="16"/>
              </w:rPr>
            </w:pPr>
          </w:p>
        </w:tc>
      </w:tr>
    </w:tbl>
    <w:p w14:paraId="0B74C175" w14:textId="77777777" w:rsidR="00AE7DA5" w:rsidRDefault="00AE7DA5" w:rsidP="00970D79">
      <w:pPr>
        <w:pStyle w:val="ListParagraph"/>
        <w:widowControl w:val="0"/>
        <w:autoSpaceDE w:val="0"/>
        <w:autoSpaceDN w:val="0"/>
        <w:adjustRightInd w:val="0"/>
        <w:spacing w:line="239" w:lineRule="auto"/>
        <w:jc w:val="both"/>
        <w:rPr>
          <w:rFonts w:ascii="Arial" w:hAnsi="Arial"/>
          <w:b/>
          <w:bCs/>
          <w:color w:val="000000"/>
          <w:sz w:val="24"/>
          <w:lang w:val="en-GB"/>
        </w:rPr>
      </w:pPr>
    </w:p>
    <w:p w14:paraId="7A18BDB0" w14:textId="02EF8083" w:rsidR="00640E94" w:rsidRDefault="00640E94" w:rsidP="00A41F33">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728A535C" w14:textId="56CF01FA" w:rsidR="008E3A38" w:rsidRDefault="00B03660" w:rsidP="00A41F33">
      <w:pPr>
        <w:widowControl w:val="0"/>
        <w:overflowPunct w:val="0"/>
        <w:autoSpaceDE w:val="0"/>
        <w:autoSpaceDN w:val="0"/>
        <w:adjustRightInd w:val="0"/>
        <w:spacing w:before="120"/>
        <w:ind w:left="720"/>
        <w:jc w:val="both"/>
        <w:rPr>
          <w:rFonts w:ascii="Arial" w:hAnsi="Arial"/>
          <w:b/>
          <w:bCs/>
          <w:sz w:val="24"/>
          <w:lang w:val="en-GB"/>
        </w:rPr>
      </w:pPr>
      <w:r>
        <w:rPr>
          <w:rFonts w:ascii="Arial" w:hAnsi="Arial"/>
          <w:b/>
          <w:bCs/>
          <w:sz w:val="24"/>
          <w:lang w:val="en-GB"/>
        </w:rPr>
        <w:t>None.</w:t>
      </w:r>
    </w:p>
    <w:p w14:paraId="50E24CAA" w14:textId="77777777" w:rsidR="00A41F33" w:rsidRPr="00FE069E" w:rsidRDefault="00A41F33" w:rsidP="00A41F33">
      <w:pPr>
        <w:widowControl w:val="0"/>
        <w:overflowPunct w:val="0"/>
        <w:autoSpaceDE w:val="0"/>
        <w:autoSpaceDN w:val="0"/>
        <w:adjustRightInd w:val="0"/>
        <w:ind w:left="720"/>
        <w:jc w:val="both"/>
        <w:rPr>
          <w:rFonts w:ascii="Arial" w:hAnsi="Arial"/>
          <w:b/>
          <w:bCs/>
          <w:sz w:val="24"/>
          <w:lang w:val="en-GB"/>
        </w:rPr>
      </w:pPr>
    </w:p>
    <w:p w14:paraId="66FCEE4A" w14:textId="712D5EB7" w:rsidR="00640E94" w:rsidRDefault="00640E94" w:rsidP="00A41F33">
      <w:pPr>
        <w:pStyle w:val="List"/>
        <w:keepNext/>
        <w:keepLines/>
        <w:numPr>
          <w:ilvl w:val="0"/>
          <w:numId w:val="28"/>
        </w:numPr>
        <w:spacing w:befor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4978172" w14:textId="77777777" w:rsidR="000A201A" w:rsidRDefault="000A201A" w:rsidP="000975FB">
      <w:pPr>
        <w:pStyle w:val="List"/>
        <w:keepNext/>
        <w:keepLines/>
        <w:spacing w:before="0"/>
        <w:ind w:left="720" w:firstLine="0"/>
        <w:jc w:val="both"/>
        <w:rPr>
          <w:rFonts w:ascii="Arial" w:hAnsi="Arial"/>
        </w:rPr>
      </w:pPr>
    </w:p>
    <w:p w14:paraId="3D84A401" w14:textId="3288743F" w:rsidR="000232F3" w:rsidRDefault="00B60F6C" w:rsidP="000232F3">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None.</w:t>
      </w:r>
    </w:p>
    <w:p w14:paraId="2AABACBE" w14:textId="77777777" w:rsidR="000A201A" w:rsidRPr="00FE069E" w:rsidRDefault="000A201A" w:rsidP="008E3A38">
      <w:pPr>
        <w:widowControl w:val="0"/>
        <w:overflowPunct w:val="0"/>
        <w:autoSpaceDE w:val="0"/>
        <w:autoSpaceDN w:val="0"/>
        <w:adjustRightInd w:val="0"/>
        <w:ind w:left="720"/>
        <w:jc w:val="both"/>
        <w:rPr>
          <w:rFonts w:ascii="Arial" w:hAnsi="Arial"/>
          <w:b/>
          <w:bCs/>
          <w:sz w:val="24"/>
          <w:lang w:val="en-GB"/>
        </w:rPr>
      </w:pPr>
    </w:p>
    <w:p w14:paraId="0CCCD983" w14:textId="77777777" w:rsidR="00640E94" w:rsidRDefault="00640E94" w:rsidP="00340DF7">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52144F4A" w14:textId="77777777" w:rsidR="00BD0B7D" w:rsidRDefault="0097313B" w:rsidP="00BA7426">
      <w:pPr>
        <w:pStyle w:val="List"/>
        <w:keepNext/>
        <w:spacing w:before="120"/>
        <w:ind w:left="720" w:firstLine="0"/>
        <w:jc w:val="both"/>
        <w:rPr>
          <w:rFonts w:ascii="Arial" w:hAnsi="Arial"/>
          <w:b/>
          <w:bCs/>
          <w:color w:val="000000"/>
        </w:rPr>
      </w:pPr>
      <w:r w:rsidRPr="0097313B">
        <w:rPr>
          <w:rFonts w:ascii="Arial" w:hAnsi="Arial"/>
          <w:b/>
          <w:bCs/>
          <w:color w:val="000000"/>
        </w:rPr>
        <w:t>The trends and risks which are likely to impact the Issuer are detailed in the</w:t>
      </w:r>
      <w:r>
        <w:rPr>
          <w:rFonts w:ascii="Arial" w:hAnsi="Arial"/>
          <w:b/>
          <w:bCs/>
          <w:color w:val="000000"/>
        </w:rPr>
        <w:t xml:space="preserve"> </w:t>
      </w:r>
      <w:r w:rsidRPr="0097313B">
        <w:rPr>
          <w:rFonts w:ascii="Arial" w:hAnsi="Arial"/>
          <w:b/>
          <w:bCs/>
          <w:color w:val="000000"/>
        </w:rPr>
        <w:t xml:space="preserve">Issuer’s </w:t>
      </w:r>
      <w:r w:rsidR="00724502">
        <w:rPr>
          <w:rFonts w:ascii="Arial" w:hAnsi="Arial"/>
          <w:b/>
          <w:bCs/>
          <w:color w:val="000000"/>
        </w:rPr>
        <w:t>Prospectus</w:t>
      </w:r>
      <w:r w:rsidRPr="0097313B">
        <w:rPr>
          <w:rFonts w:ascii="Arial" w:hAnsi="Arial"/>
          <w:b/>
          <w:bCs/>
          <w:color w:val="000000"/>
        </w:rPr>
        <w:t xml:space="preserve"> dated </w:t>
      </w:r>
      <w:r w:rsidR="00724502">
        <w:rPr>
          <w:rFonts w:ascii="Arial" w:hAnsi="Arial"/>
          <w:b/>
          <w:bCs/>
          <w:color w:val="000000"/>
        </w:rPr>
        <w:t>February 25</w:t>
      </w:r>
      <w:r w:rsidRPr="0097313B">
        <w:rPr>
          <w:rFonts w:ascii="Arial" w:hAnsi="Arial"/>
          <w:b/>
          <w:bCs/>
          <w:color w:val="000000"/>
        </w:rPr>
        <w:t>, 202</w:t>
      </w:r>
      <w:r w:rsidR="006A4904">
        <w:rPr>
          <w:rFonts w:ascii="Arial" w:hAnsi="Arial"/>
          <w:b/>
          <w:bCs/>
          <w:color w:val="000000"/>
        </w:rPr>
        <w:t>2</w:t>
      </w:r>
      <w:r w:rsidRPr="0097313B">
        <w:rPr>
          <w:rFonts w:ascii="Arial" w:hAnsi="Arial"/>
          <w:b/>
          <w:bCs/>
          <w:color w:val="000000"/>
        </w:rPr>
        <w:t xml:space="preserve"> (the “MD&amp;A”) under the</w:t>
      </w:r>
      <w:r>
        <w:rPr>
          <w:rFonts w:ascii="Arial" w:hAnsi="Arial"/>
          <w:b/>
          <w:bCs/>
          <w:color w:val="000000"/>
        </w:rPr>
        <w:t xml:space="preserve"> </w:t>
      </w:r>
      <w:r w:rsidRPr="0097313B">
        <w:rPr>
          <w:rFonts w:ascii="Arial" w:hAnsi="Arial"/>
          <w:b/>
          <w:bCs/>
          <w:color w:val="000000"/>
        </w:rPr>
        <w:t xml:space="preserve">headings “Risk Factors”. The </w:t>
      </w:r>
      <w:r w:rsidR="00724502">
        <w:rPr>
          <w:rFonts w:ascii="Arial" w:hAnsi="Arial"/>
          <w:b/>
          <w:bCs/>
          <w:color w:val="000000"/>
        </w:rPr>
        <w:t>Prospectus</w:t>
      </w:r>
      <w:r w:rsidRPr="0097313B">
        <w:rPr>
          <w:rFonts w:ascii="Arial" w:hAnsi="Arial"/>
          <w:b/>
          <w:bCs/>
          <w:color w:val="000000"/>
        </w:rPr>
        <w:t xml:space="preserve"> is available on the Issuer’s SEDAR</w:t>
      </w:r>
      <w:r>
        <w:rPr>
          <w:rFonts w:ascii="Arial" w:hAnsi="Arial"/>
          <w:b/>
          <w:bCs/>
          <w:color w:val="000000"/>
        </w:rPr>
        <w:t xml:space="preserve"> </w:t>
      </w:r>
      <w:r w:rsidRPr="0097313B">
        <w:rPr>
          <w:rFonts w:ascii="Arial" w:hAnsi="Arial"/>
          <w:b/>
          <w:bCs/>
          <w:color w:val="000000"/>
        </w:rPr>
        <w:t xml:space="preserve">profile at </w:t>
      </w:r>
      <w:hyperlink r:id="rId8" w:history="1">
        <w:r w:rsidR="00B22288" w:rsidRPr="0004078C">
          <w:rPr>
            <w:rStyle w:val="Hyperlink"/>
            <w:rFonts w:ascii="Arial" w:hAnsi="Arial"/>
            <w:b/>
            <w:bCs/>
          </w:rPr>
          <w:t>SEDAR</w:t>
        </w:r>
      </w:hyperlink>
      <w:r w:rsidRPr="0097313B">
        <w:rPr>
          <w:rFonts w:ascii="Arial" w:hAnsi="Arial"/>
          <w:b/>
          <w:bCs/>
          <w:color w:val="000000"/>
        </w:rPr>
        <w:t>.</w:t>
      </w:r>
    </w:p>
    <w:p w14:paraId="0C20FA26" w14:textId="77777777" w:rsidR="00BD0B7D" w:rsidRDefault="00BD0B7D">
      <w:pPr>
        <w:rPr>
          <w:rFonts w:ascii="Arial" w:hAnsi="Arial"/>
          <w:b/>
          <w:bCs/>
          <w:color w:val="000000"/>
          <w:sz w:val="24"/>
          <w:lang w:val="en-GB"/>
        </w:rPr>
      </w:pPr>
      <w:r>
        <w:rPr>
          <w:rFonts w:ascii="Arial" w:hAnsi="Arial"/>
          <w:b/>
          <w:bCs/>
          <w:color w:val="000000"/>
        </w:rPr>
        <w:br w:type="page"/>
      </w:r>
    </w:p>
    <w:p w14:paraId="5B879AD1" w14:textId="19C7414E" w:rsidR="00640E94" w:rsidRPr="0097313B" w:rsidRDefault="00640E94" w:rsidP="00BD0B7D">
      <w:pPr>
        <w:pStyle w:val="List"/>
        <w:keepNext/>
        <w:spacing w:before="120"/>
        <w:jc w:val="both"/>
        <w:rPr>
          <w:rFonts w:ascii="Arial" w:hAnsi="Arial"/>
          <w:b/>
          <w:bCs/>
          <w:color w:val="000000"/>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7A08C25" w14:textId="309E546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A5FD9">
        <w:rPr>
          <w:rFonts w:ascii="Arial" w:hAnsi="Arial"/>
          <w:b/>
          <w:bCs/>
          <w:color w:val="000000"/>
          <w:u w:val="single"/>
        </w:rPr>
        <w:t>August 10</w:t>
      </w:r>
      <w:r w:rsidR="008A6642">
        <w:rPr>
          <w:rFonts w:ascii="Arial" w:hAnsi="Arial"/>
          <w:b/>
          <w:bCs/>
          <w:color w:val="000000"/>
          <w:u w:val="single"/>
        </w:rPr>
        <w:t>, 202</w:t>
      </w:r>
      <w:r w:rsidR="004E7AF2">
        <w:rPr>
          <w:rFonts w:ascii="Arial" w:hAnsi="Arial"/>
          <w:b/>
          <w:bCs/>
          <w:color w:val="000000"/>
          <w:u w:val="single"/>
        </w:rPr>
        <w:t>2</w:t>
      </w:r>
      <w:r>
        <w:rPr>
          <w:rFonts w:ascii="Arial" w:hAnsi="Arial"/>
          <w:u w:val="single"/>
        </w:rPr>
        <w:tab/>
      </w:r>
      <w:r>
        <w:rPr>
          <w:rFonts w:ascii="Arial" w:hAnsi="Arial"/>
        </w:rPr>
        <w:t>.</w:t>
      </w:r>
    </w:p>
    <w:p w14:paraId="452D55D0" w14:textId="73EBCB5E" w:rsidR="00640E94" w:rsidRDefault="00640E94">
      <w:pPr>
        <w:pStyle w:val="List"/>
        <w:tabs>
          <w:tab w:val="left" w:pos="9180"/>
        </w:tabs>
        <w:ind w:left="5760" w:hanging="5760"/>
        <w:rPr>
          <w:rFonts w:ascii="Arial" w:hAnsi="Arial"/>
        </w:rPr>
      </w:pPr>
      <w:r>
        <w:rPr>
          <w:rFonts w:ascii="Arial" w:hAnsi="Arial"/>
        </w:rPr>
        <w:tab/>
      </w:r>
      <w:r w:rsidR="00405698">
        <w:rPr>
          <w:rFonts w:ascii="Arial" w:hAnsi="Arial"/>
          <w:b/>
          <w:bCs/>
          <w:color w:val="000000"/>
          <w:u w:val="single"/>
        </w:rPr>
        <w:t>Wes Short</w:t>
      </w:r>
      <w:r>
        <w:rPr>
          <w:rFonts w:ascii="Arial" w:hAnsi="Arial"/>
          <w:u w:val="single"/>
        </w:rPr>
        <w:tab/>
      </w:r>
      <w:r>
        <w:rPr>
          <w:rFonts w:ascii="Arial" w:hAnsi="Arial"/>
          <w:u w:val="single"/>
        </w:rPr>
        <w:br/>
      </w:r>
      <w:r>
        <w:rPr>
          <w:rFonts w:ascii="Arial" w:hAnsi="Arial"/>
        </w:rPr>
        <w:t>Name of Director or Senior Officer</w:t>
      </w:r>
    </w:p>
    <w:p w14:paraId="7741D564" w14:textId="08769DA1"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 xml:space="preserve">/s/ </w:t>
      </w:r>
      <w:r w:rsidR="00405698">
        <w:rPr>
          <w:rFonts w:ascii="Arial" w:hAnsi="Arial"/>
          <w:b/>
          <w:bCs/>
          <w:color w:val="000000"/>
          <w:u w:val="single"/>
        </w:rPr>
        <w:t>Wes Short</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33513860" w:rsidR="00640E94" w:rsidRDefault="00405698">
      <w:pPr>
        <w:pStyle w:val="BodyText"/>
        <w:tabs>
          <w:tab w:val="left" w:pos="9180"/>
        </w:tabs>
        <w:spacing w:before="0"/>
        <w:ind w:left="5760"/>
        <w:rPr>
          <w:rFonts w:ascii="Arial" w:hAnsi="Arial"/>
        </w:rPr>
      </w:pPr>
      <w:r>
        <w:rPr>
          <w:rFonts w:ascii="Arial" w:hAnsi="Arial"/>
          <w:b/>
          <w:bCs/>
          <w:color w:val="000000"/>
          <w:u w:val="single"/>
        </w:rPr>
        <w:t>CFO, 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0FE2C62F" w:rsidR="00640E94" w:rsidRPr="0097313B" w:rsidRDefault="00405698" w:rsidP="003C2890">
            <w:pPr>
              <w:pStyle w:val="BodyText"/>
              <w:spacing w:before="0"/>
              <w:rPr>
                <w:rFonts w:ascii="Arial" w:hAnsi="Arial"/>
                <w:b/>
                <w:bCs/>
                <w:color w:val="000000"/>
                <w:u w:val="single"/>
                <w:lang w:val="en-US"/>
              </w:rPr>
            </w:pPr>
            <w:r>
              <w:rPr>
                <w:rFonts w:ascii="Arial" w:hAnsi="Arial"/>
                <w:b/>
                <w:bCs/>
                <w:color w:val="000000"/>
                <w:u w:val="single"/>
                <w:lang w:val="en-US"/>
              </w:rPr>
              <w:t>Cosa Resources</w:t>
            </w:r>
            <w:r w:rsidR="0097313B">
              <w:rPr>
                <w:rFonts w:ascii="Arial" w:hAnsi="Arial"/>
                <w:b/>
                <w:bCs/>
                <w:color w:val="000000"/>
                <w:u w:val="single"/>
                <w:lang w:val="en-US"/>
              </w:rPr>
              <w:t xml:space="preserve"> Corp</w:t>
            </w:r>
            <w:r w:rsidR="005408BD" w:rsidRPr="005408BD">
              <w:rPr>
                <w:rFonts w:ascii="Arial" w:hAnsi="Arial"/>
                <w:b/>
                <w:bCs/>
                <w:color w:val="000000"/>
                <w:u w:val="single"/>
                <w:lang w:val="en-US"/>
              </w:rPr>
              <w:t xml:space="preserve">. </w:t>
            </w:r>
          </w:p>
        </w:tc>
        <w:tc>
          <w:tcPr>
            <w:tcW w:w="2176" w:type="dxa"/>
            <w:tcBorders>
              <w:top w:val="single" w:sz="18" w:space="0" w:color="auto"/>
              <w:left w:val="single" w:sz="18" w:space="0" w:color="auto"/>
              <w:bottom w:val="nil"/>
              <w:right w:val="single" w:sz="18" w:space="0" w:color="auto"/>
            </w:tcBorders>
          </w:tcPr>
          <w:p w14:paraId="52B8341B" w14:textId="0107A4E9" w:rsidR="00640E94" w:rsidRPr="003C2890" w:rsidRDefault="00B22A3C">
            <w:pPr>
              <w:pStyle w:val="BodyText"/>
              <w:spacing w:before="0"/>
              <w:rPr>
                <w:rFonts w:ascii="Arial" w:hAnsi="Arial"/>
                <w:color w:val="000000"/>
              </w:rPr>
            </w:pPr>
            <w:r w:rsidRPr="003C2890">
              <w:rPr>
                <w:rFonts w:ascii="Arial" w:hAnsi="Arial"/>
                <w:color w:val="000000"/>
              </w:rPr>
              <w:t>For Month</w:t>
            </w:r>
            <w:r w:rsidR="00640E94" w:rsidRPr="003C2890">
              <w:rPr>
                <w:rFonts w:ascii="Arial" w:hAnsi="Arial"/>
                <w:color w:val="000000"/>
              </w:rPr>
              <w:t xml:space="preserve"> End</w:t>
            </w:r>
          </w:p>
          <w:p w14:paraId="0AF498A1" w14:textId="77777777" w:rsidR="003D4F8C" w:rsidRDefault="003D4F8C">
            <w:pPr>
              <w:pStyle w:val="BodyText"/>
              <w:spacing w:before="0"/>
              <w:rPr>
                <w:rFonts w:ascii="Arial" w:hAnsi="Arial"/>
                <w:b/>
                <w:bCs/>
                <w:color w:val="000000"/>
              </w:rPr>
            </w:pPr>
          </w:p>
          <w:p w14:paraId="7FB3DF73" w14:textId="29D0AC14" w:rsidR="003C2890" w:rsidRPr="003C2890" w:rsidRDefault="00AE7DA5">
            <w:pPr>
              <w:pStyle w:val="BodyText"/>
              <w:spacing w:before="0"/>
              <w:rPr>
                <w:rFonts w:ascii="Arial" w:hAnsi="Arial"/>
                <w:b/>
                <w:bCs/>
                <w:color w:val="000000"/>
              </w:rPr>
            </w:pPr>
            <w:r>
              <w:rPr>
                <w:rFonts w:ascii="Arial" w:hAnsi="Arial"/>
                <w:b/>
                <w:bCs/>
                <w:color w:val="000000"/>
              </w:rPr>
              <w:t>Ju</w:t>
            </w:r>
            <w:r w:rsidR="00EA5FD9">
              <w:rPr>
                <w:rFonts w:ascii="Arial" w:hAnsi="Arial"/>
                <w:b/>
                <w:bCs/>
                <w:color w:val="000000"/>
              </w:rPr>
              <w:t>ly</w:t>
            </w:r>
            <w:r w:rsidR="0055117E">
              <w:rPr>
                <w:rFonts w:ascii="Arial" w:hAnsi="Arial"/>
                <w:b/>
                <w:bCs/>
                <w:color w:val="000000"/>
              </w:rPr>
              <w:t xml:space="preserve"> 2022</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018991DF" w:rsidR="003C2890" w:rsidRDefault="008A6642">
            <w:pPr>
              <w:pStyle w:val="BodyText"/>
              <w:spacing w:before="0"/>
              <w:rPr>
                <w:rFonts w:ascii="Arial" w:hAnsi="Arial"/>
              </w:rPr>
            </w:pPr>
            <w:r>
              <w:rPr>
                <w:rFonts w:ascii="Arial" w:hAnsi="Arial"/>
                <w:b/>
                <w:bCs/>
                <w:color w:val="000000"/>
              </w:rPr>
              <w:t>2</w:t>
            </w:r>
            <w:r w:rsidR="004E7AF2">
              <w:rPr>
                <w:rFonts w:ascii="Arial" w:hAnsi="Arial"/>
                <w:b/>
                <w:bCs/>
                <w:color w:val="000000"/>
              </w:rPr>
              <w:t>2</w:t>
            </w:r>
            <w:r>
              <w:rPr>
                <w:rFonts w:ascii="Arial" w:hAnsi="Arial"/>
                <w:b/>
                <w:bCs/>
                <w:color w:val="000000"/>
              </w:rPr>
              <w:t>/</w:t>
            </w:r>
            <w:r w:rsidR="004E7AF2">
              <w:rPr>
                <w:rFonts w:ascii="Arial" w:hAnsi="Arial"/>
                <w:b/>
                <w:bCs/>
                <w:color w:val="000000"/>
              </w:rPr>
              <w:t>0</w:t>
            </w:r>
            <w:r w:rsidR="00EA5FD9">
              <w:rPr>
                <w:rFonts w:ascii="Arial" w:hAnsi="Arial"/>
                <w:b/>
                <w:bCs/>
                <w:color w:val="000000"/>
              </w:rPr>
              <w:t>8</w:t>
            </w:r>
            <w:r w:rsidR="0097313B">
              <w:rPr>
                <w:rFonts w:ascii="Arial" w:hAnsi="Arial"/>
                <w:b/>
                <w:bCs/>
                <w:color w:val="000000"/>
              </w:rPr>
              <w:t>/</w:t>
            </w:r>
            <w:r w:rsidR="00EA5FD9">
              <w:rPr>
                <w:rFonts w:ascii="Arial" w:hAnsi="Arial"/>
                <w:b/>
                <w:bCs/>
                <w:color w:val="000000"/>
              </w:rPr>
              <w:t>10</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0CC529A3" w:rsidR="00640E94" w:rsidRPr="003C2890" w:rsidRDefault="003C2890">
            <w:pPr>
              <w:pStyle w:val="BodyText"/>
              <w:spacing w:before="0"/>
              <w:rPr>
                <w:rFonts w:ascii="Arial" w:hAnsi="Arial"/>
                <w:b/>
                <w:bCs/>
                <w:color w:val="000000"/>
              </w:rPr>
            </w:pPr>
            <w:r w:rsidRPr="003C2890">
              <w:rPr>
                <w:rFonts w:ascii="Arial" w:hAnsi="Arial"/>
                <w:b/>
                <w:bCs/>
                <w:color w:val="000000"/>
              </w:rPr>
              <w:t>#</w:t>
            </w:r>
            <w:r w:rsidR="00405698">
              <w:rPr>
                <w:rFonts w:ascii="Arial" w:hAnsi="Arial"/>
                <w:b/>
                <w:bCs/>
                <w:color w:val="000000"/>
              </w:rPr>
              <w:t>801 – 1295 Richards Street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63268D07" w:rsidR="00640E94" w:rsidRDefault="003C2890" w:rsidP="004F4E56">
            <w:pPr>
              <w:pStyle w:val="BodyText"/>
              <w:spacing w:before="0"/>
              <w:rPr>
                <w:rFonts w:ascii="Arial" w:hAnsi="Arial"/>
              </w:rPr>
            </w:pPr>
            <w:r w:rsidRPr="003C2890">
              <w:rPr>
                <w:rFonts w:ascii="Arial" w:hAnsi="Arial"/>
                <w:b/>
                <w:bCs/>
                <w:color w:val="000000"/>
              </w:rPr>
              <w:t xml:space="preserve">Vancouver, BC </w:t>
            </w:r>
            <w:r w:rsidR="00405698">
              <w:rPr>
                <w:rFonts w:ascii="Arial" w:hAnsi="Arial"/>
                <w:b/>
                <w:bCs/>
                <w:color w:val="000000"/>
              </w:rPr>
              <w:t>V6B 1B7</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2FD57997" w:rsidR="00640E94" w:rsidRDefault="00640E94">
            <w:pPr>
              <w:pStyle w:val="BodyText"/>
              <w:spacing w:before="0"/>
              <w:rPr>
                <w:rFonts w:ascii="Arial" w:hAnsi="Arial"/>
              </w:rPr>
            </w:pP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6E486330" w:rsidR="00640E94" w:rsidRDefault="00BD0B7D">
            <w:pPr>
              <w:pStyle w:val="BodyText"/>
              <w:spacing w:before="0"/>
              <w:rPr>
                <w:rFonts w:ascii="Arial" w:hAnsi="Arial"/>
              </w:rPr>
            </w:pPr>
            <w:r>
              <w:rPr>
                <w:rFonts w:ascii="Arial" w:hAnsi="Arial"/>
                <w:b/>
                <w:bCs/>
                <w:color w:val="000000"/>
              </w:rPr>
              <w:t>+1 899 888 2672</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08CD023D" w:rsidR="00640E94" w:rsidRPr="003C2890" w:rsidRDefault="00B805BB">
            <w:pPr>
              <w:pStyle w:val="BodyText"/>
              <w:spacing w:before="0"/>
              <w:rPr>
                <w:rFonts w:ascii="Arial" w:hAnsi="Arial"/>
                <w:b/>
                <w:bCs/>
                <w:color w:val="000000"/>
              </w:rPr>
            </w:pPr>
            <w:r>
              <w:rPr>
                <w:rFonts w:ascii="Arial" w:hAnsi="Arial"/>
                <w:b/>
                <w:bCs/>
                <w:color w:val="000000"/>
              </w:rPr>
              <w:t>Wes Short</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6621911A" w:rsidR="003C2890" w:rsidRDefault="00405698">
            <w:pPr>
              <w:pStyle w:val="BodyText"/>
              <w:spacing w:before="0"/>
              <w:rPr>
                <w:rFonts w:ascii="Arial" w:hAnsi="Arial"/>
              </w:rPr>
            </w:pPr>
            <w:r>
              <w:rPr>
                <w:rFonts w:ascii="Arial" w:hAnsi="Arial"/>
                <w:b/>
                <w:bCs/>
                <w:color w:val="000000"/>
              </w:rPr>
              <w:t>CFO</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0CEB19C3" w:rsidR="003C2890" w:rsidRDefault="003C2890">
            <w:pPr>
              <w:pStyle w:val="BodyText"/>
              <w:spacing w:before="0"/>
              <w:rPr>
                <w:rFonts w:ascii="Arial" w:hAnsi="Arial"/>
              </w:rPr>
            </w:pPr>
            <w:r w:rsidRPr="003C2890">
              <w:rPr>
                <w:rFonts w:ascii="Arial" w:hAnsi="Arial"/>
                <w:b/>
                <w:bCs/>
                <w:color w:val="000000"/>
              </w:rPr>
              <w:t>(</w:t>
            </w:r>
            <w:r w:rsidR="00B805BB">
              <w:rPr>
                <w:rFonts w:ascii="Arial" w:hAnsi="Arial"/>
                <w:b/>
                <w:bCs/>
                <w:color w:val="000000"/>
              </w:rPr>
              <w:t>250</w:t>
            </w:r>
            <w:r w:rsidR="005B17F5">
              <w:rPr>
                <w:rFonts w:ascii="Arial" w:hAnsi="Arial"/>
                <w:b/>
                <w:bCs/>
                <w:color w:val="000000"/>
              </w:rPr>
              <w:t xml:space="preserve">) </w:t>
            </w:r>
            <w:r w:rsidR="00B805BB">
              <w:rPr>
                <w:rFonts w:ascii="Arial" w:hAnsi="Arial"/>
                <w:b/>
                <w:bCs/>
                <w:color w:val="000000"/>
              </w:rPr>
              <w:t>218-2077</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69D25458" w:rsidR="00640E94" w:rsidRDefault="001C0B2F" w:rsidP="003C2890">
            <w:pPr>
              <w:pStyle w:val="BodyText"/>
              <w:spacing w:before="0"/>
              <w:rPr>
                <w:rFonts w:ascii="Arial" w:hAnsi="Arial"/>
              </w:rPr>
            </w:pPr>
            <w:hyperlink r:id="rId9" w:history="1">
              <w:r w:rsidR="00405698" w:rsidRPr="002628F5">
                <w:rPr>
                  <w:rStyle w:val="Hyperlink"/>
                  <w:rFonts w:ascii="Arial" w:hAnsi="Arial"/>
                  <w:b/>
                  <w:bCs/>
                </w:rPr>
                <w:t>wshort@cosaresources.ca</w:t>
              </w:r>
            </w:hyperlink>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A6148F0" w:rsidR="00640E94" w:rsidRPr="00EA5FD9" w:rsidRDefault="00405698">
            <w:pPr>
              <w:pStyle w:val="BodyText"/>
              <w:spacing w:before="0"/>
              <w:rPr>
                <w:rFonts w:ascii="Arial" w:hAnsi="Arial"/>
                <w:b/>
                <w:bCs/>
              </w:rPr>
            </w:pPr>
            <w:r w:rsidRPr="00EA5FD9">
              <w:rPr>
                <w:rFonts w:ascii="Arial" w:hAnsi="Arial"/>
                <w:b/>
                <w:bCs/>
              </w:rPr>
              <w:t>cosaresources.ca</w:t>
            </w:r>
            <w:r w:rsidR="00EA5FD9">
              <w:rPr>
                <w:rFonts w:ascii="Arial" w:hAnsi="Arial"/>
                <w:b/>
                <w:bCs/>
              </w:rPr>
              <w:t xml:space="preserve"> </w:t>
            </w:r>
            <w:r w:rsidRPr="00EA5FD9">
              <w:rPr>
                <w:rFonts w:ascii="Arial" w:hAnsi="Arial"/>
                <w:b/>
                <w:bCs/>
              </w:rPr>
              <w:t xml:space="preserve"> </w:t>
            </w:r>
          </w:p>
        </w:tc>
      </w:tr>
    </w:tbl>
    <w:p w14:paraId="492DA32D" w14:textId="77777777" w:rsidR="00640E94" w:rsidRDefault="00640E94" w:rsidP="00922A46">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A6B3" w14:textId="77777777" w:rsidR="001C0B2F" w:rsidRDefault="001C0B2F">
      <w:r>
        <w:separator/>
      </w:r>
    </w:p>
  </w:endnote>
  <w:endnote w:type="continuationSeparator" w:id="0">
    <w:p w14:paraId="56C31E1E" w14:textId="77777777" w:rsidR="001C0B2F" w:rsidRDefault="001C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FB558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1D43D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6D8DF" w14:textId="77777777" w:rsidR="001C0B2F" w:rsidRDefault="001C0B2F">
      <w:r>
        <w:separator/>
      </w:r>
    </w:p>
  </w:footnote>
  <w:footnote w:type="continuationSeparator" w:id="0">
    <w:p w14:paraId="62A47F2F" w14:textId="77777777" w:rsidR="001C0B2F" w:rsidRDefault="001C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3BD1580"/>
    <w:multiLevelType w:val="hybridMultilevel"/>
    <w:tmpl w:val="0F8E1ED2"/>
    <w:lvl w:ilvl="0" w:tplc="6130D10C">
      <w:numFmt w:val="bullet"/>
      <w:lvlText w:val="•"/>
      <w:lvlJc w:val="left"/>
      <w:pPr>
        <w:ind w:left="1440" w:hanging="7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70BE8AD8">
      <w:numFmt w:val="bullet"/>
      <w:lvlText w:val=""/>
      <w:lvlJc w:val="left"/>
      <w:pPr>
        <w:ind w:left="2880" w:hanging="720"/>
      </w:pPr>
      <w:rPr>
        <w:rFonts w:ascii="Symbol" w:eastAsia="Times New Roman"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08F6"/>
    <w:multiLevelType w:val="hybridMultilevel"/>
    <w:tmpl w:val="CE842E00"/>
    <w:lvl w:ilvl="0" w:tplc="438EED8C">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4FC213E8"/>
    <w:multiLevelType w:val="hybridMultilevel"/>
    <w:tmpl w:val="C130E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8B7C31"/>
    <w:multiLevelType w:val="hybridMultilevel"/>
    <w:tmpl w:val="6AD4B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7"/>
  </w:num>
  <w:num w:numId="4">
    <w:abstractNumId w:val="12"/>
  </w:num>
  <w:num w:numId="5">
    <w:abstractNumId w:val="3"/>
  </w:num>
  <w:num w:numId="6">
    <w:abstractNumId w:val="26"/>
  </w:num>
  <w:num w:numId="7">
    <w:abstractNumId w:val="8"/>
  </w:num>
  <w:num w:numId="8">
    <w:abstractNumId w:val="28"/>
  </w:num>
  <w:num w:numId="9">
    <w:abstractNumId w:val="22"/>
  </w:num>
  <w:num w:numId="10">
    <w:abstractNumId w:val="10"/>
  </w:num>
  <w:num w:numId="11">
    <w:abstractNumId w:val="15"/>
  </w:num>
  <w:num w:numId="12">
    <w:abstractNumId w:val="16"/>
  </w:num>
  <w:num w:numId="13">
    <w:abstractNumId w:val="30"/>
  </w:num>
  <w:num w:numId="14">
    <w:abstractNumId w:val="6"/>
  </w:num>
  <w:num w:numId="15">
    <w:abstractNumId w:val="9"/>
  </w:num>
  <w:num w:numId="16">
    <w:abstractNumId w:val="11"/>
  </w:num>
  <w:num w:numId="17">
    <w:abstractNumId w:val="20"/>
  </w:num>
  <w:num w:numId="18">
    <w:abstractNumId w:val="2"/>
  </w:num>
  <w:num w:numId="19">
    <w:abstractNumId w:val="7"/>
  </w:num>
  <w:num w:numId="20">
    <w:abstractNumId w:val="27"/>
  </w:num>
  <w:num w:numId="21">
    <w:abstractNumId w:val="1"/>
  </w:num>
  <w:num w:numId="22">
    <w:abstractNumId w:val="0"/>
  </w:num>
  <w:num w:numId="23">
    <w:abstractNumId w:val="25"/>
  </w:num>
  <w:num w:numId="24">
    <w:abstractNumId w:val="21"/>
  </w:num>
  <w:num w:numId="25">
    <w:abstractNumId w:val="4"/>
  </w:num>
  <w:num w:numId="26">
    <w:abstractNumId w:val="29"/>
  </w:num>
  <w:num w:numId="27">
    <w:abstractNumId w:val="31"/>
  </w:num>
  <w:num w:numId="28">
    <w:abstractNumId w:val="5"/>
  </w:num>
  <w:num w:numId="29">
    <w:abstractNumId w:val="14"/>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32F3"/>
    <w:rsid w:val="0004078C"/>
    <w:rsid w:val="00040993"/>
    <w:rsid w:val="00054D9D"/>
    <w:rsid w:val="000632B6"/>
    <w:rsid w:val="00072640"/>
    <w:rsid w:val="00096E3D"/>
    <w:rsid w:val="000975FB"/>
    <w:rsid w:val="000A091C"/>
    <w:rsid w:val="000A1AB1"/>
    <w:rsid w:val="000A201A"/>
    <w:rsid w:val="000C242D"/>
    <w:rsid w:val="000E5706"/>
    <w:rsid w:val="000F37E4"/>
    <w:rsid w:val="00116B8B"/>
    <w:rsid w:val="00133434"/>
    <w:rsid w:val="00135549"/>
    <w:rsid w:val="00150B7C"/>
    <w:rsid w:val="00185937"/>
    <w:rsid w:val="00186226"/>
    <w:rsid w:val="001C0B2F"/>
    <w:rsid w:val="001C348D"/>
    <w:rsid w:val="001D18C6"/>
    <w:rsid w:val="00200082"/>
    <w:rsid w:val="00221BCE"/>
    <w:rsid w:val="0023566E"/>
    <w:rsid w:val="0026194B"/>
    <w:rsid w:val="00275D53"/>
    <w:rsid w:val="002B06BF"/>
    <w:rsid w:val="002B1183"/>
    <w:rsid w:val="002C281E"/>
    <w:rsid w:val="002D1CE1"/>
    <w:rsid w:val="002F00EB"/>
    <w:rsid w:val="002F1910"/>
    <w:rsid w:val="002F772B"/>
    <w:rsid w:val="00312574"/>
    <w:rsid w:val="0032758F"/>
    <w:rsid w:val="00340DF7"/>
    <w:rsid w:val="00343CC8"/>
    <w:rsid w:val="00347ABE"/>
    <w:rsid w:val="00360190"/>
    <w:rsid w:val="003669A9"/>
    <w:rsid w:val="00371A64"/>
    <w:rsid w:val="003821C7"/>
    <w:rsid w:val="00385006"/>
    <w:rsid w:val="00387FA8"/>
    <w:rsid w:val="003B4702"/>
    <w:rsid w:val="003C2890"/>
    <w:rsid w:val="003D4F8C"/>
    <w:rsid w:val="00403E85"/>
    <w:rsid w:val="00405698"/>
    <w:rsid w:val="00422278"/>
    <w:rsid w:val="00466CB9"/>
    <w:rsid w:val="00470D5E"/>
    <w:rsid w:val="00473AA7"/>
    <w:rsid w:val="00487A9B"/>
    <w:rsid w:val="004940AD"/>
    <w:rsid w:val="004B41F0"/>
    <w:rsid w:val="004E332A"/>
    <w:rsid w:val="004E7AF2"/>
    <w:rsid w:val="004F4E56"/>
    <w:rsid w:val="0051010C"/>
    <w:rsid w:val="00512A82"/>
    <w:rsid w:val="0052022B"/>
    <w:rsid w:val="00527306"/>
    <w:rsid w:val="005408BD"/>
    <w:rsid w:val="005453C8"/>
    <w:rsid w:val="0055117E"/>
    <w:rsid w:val="00564F01"/>
    <w:rsid w:val="005961D3"/>
    <w:rsid w:val="005A51DF"/>
    <w:rsid w:val="005B17F5"/>
    <w:rsid w:val="005B1EBB"/>
    <w:rsid w:val="005B2DD6"/>
    <w:rsid w:val="005F1EB1"/>
    <w:rsid w:val="005F6D8F"/>
    <w:rsid w:val="00605E4F"/>
    <w:rsid w:val="00620E7F"/>
    <w:rsid w:val="00626E43"/>
    <w:rsid w:val="00630525"/>
    <w:rsid w:val="00633ED3"/>
    <w:rsid w:val="00635E9A"/>
    <w:rsid w:val="00636D6C"/>
    <w:rsid w:val="00640E94"/>
    <w:rsid w:val="00661843"/>
    <w:rsid w:val="006620AE"/>
    <w:rsid w:val="00681E52"/>
    <w:rsid w:val="006877E1"/>
    <w:rsid w:val="006A4904"/>
    <w:rsid w:val="006A5E46"/>
    <w:rsid w:val="006B3B0F"/>
    <w:rsid w:val="006B45A9"/>
    <w:rsid w:val="006B7CC9"/>
    <w:rsid w:val="006C6ADD"/>
    <w:rsid w:val="006D1A06"/>
    <w:rsid w:val="006D677F"/>
    <w:rsid w:val="006E1DCD"/>
    <w:rsid w:val="006F34FA"/>
    <w:rsid w:val="006F6FEF"/>
    <w:rsid w:val="007005BA"/>
    <w:rsid w:val="00710942"/>
    <w:rsid w:val="00724502"/>
    <w:rsid w:val="00746A5E"/>
    <w:rsid w:val="00760152"/>
    <w:rsid w:val="0076262E"/>
    <w:rsid w:val="00773AE9"/>
    <w:rsid w:val="007861E7"/>
    <w:rsid w:val="007A5131"/>
    <w:rsid w:val="007D1442"/>
    <w:rsid w:val="007F1E88"/>
    <w:rsid w:val="0082181B"/>
    <w:rsid w:val="00840EB0"/>
    <w:rsid w:val="00893C01"/>
    <w:rsid w:val="008A3E5E"/>
    <w:rsid w:val="008A6642"/>
    <w:rsid w:val="008B66EA"/>
    <w:rsid w:val="008B7E92"/>
    <w:rsid w:val="008E3A38"/>
    <w:rsid w:val="008F13DE"/>
    <w:rsid w:val="009049F6"/>
    <w:rsid w:val="00922A46"/>
    <w:rsid w:val="00952B20"/>
    <w:rsid w:val="00956A6F"/>
    <w:rsid w:val="00970D79"/>
    <w:rsid w:val="0097313B"/>
    <w:rsid w:val="00984AA6"/>
    <w:rsid w:val="00992111"/>
    <w:rsid w:val="009D292E"/>
    <w:rsid w:val="009D3404"/>
    <w:rsid w:val="00A00EEB"/>
    <w:rsid w:val="00A110C9"/>
    <w:rsid w:val="00A25CBE"/>
    <w:rsid w:val="00A36A30"/>
    <w:rsid w:val="00A41F33"/>
    <w:rsid w:val="00A47914"/>
    <w:rsid w:val="00A6637A"/>
    <w:rsid w:val="00A74111"/>
    <w:rsid w:val="00A90505"/>
    <w:rsid w:val="00AA24BE"/>
    <w:rsid w:val="00AC6BAB"/>
    <w:rsid w:val="00AE35A6"/>
    <w:rsid w:val="00AE4B2B"/>
    <w:rsid w:val="00AE7DA5"/>
    <w:rsid w:val="00AF1651"/>
    <w:rsid w:val="00B030CB"/>
    <w:rsid w:val="00B03660"/>
    <w:rsid w:val="00B12E78"/>
    <w:rsid w:val="00B22288"/>
    <w:rsid w:val="00B22A3C"/>
    <w:rsid w:val="00B32160"/>
    <w:rsid w:val="00B4005D"/>
    <w:rsid w:val="00B60AFB"/>
    <w:rsid w:val="00B60F6C"/>
    <w:rsid w:val="00B7100D"/>
    <w:rsid w:val="00B73B6B"/>
    <w:rsid w:val="00B805BB"/>
    <w:rsid w:val="00B900E3"/>
    <w:rsid w:val="00B931CC"/>
    <w:rsid w:val="00BA7426"/>
    <w:rsid w:val="00BD0B7D"/>
    <w:rsid w:val="00BD1190"/>
    <w:rsid w:val="00BE3942"/>
    <w:rsid w:val="00BE39F8"/>
    <w:rsid w:val="00BF61CB"/>
    <w:rsid w:val="00C14C33"/>
    <w:rsid w:val="00C21922"/>
    <w:rsid w:val="00C23311"/>
    <w:rsid w:val="00C27A18"/>
    <w:rsid w:val="00C370C2"/>
    <w:rsid w:val="00C40560"/>
    <w:rsid w:val="00C6383E"/>
    <w:rsid w:val="00C73DB8"/>
    <w:rsid w:val="00C75366"/>
    <w:rsid w:val="00C90A33"/>
    <w:rsid w:val="00C922D1"/>
    <w:rsid w:val="00CA36C0"/>
    <w:rsid w:val="00CC27EE"/>
    <w:rsid w:val="00CD5B45"/>
    <w:rsid w:val="00CD6DF2"/>
    <w:rsid w:val="00CE2E99"/>
    <w:rsid w:val="00CF5CD7"/>
    <w:rsid w:val="00D23202"/>
    <w:rsid w:val="00D62A50"/>
    <w:rsid w:val="00D6532D"/>
    <w:rsid w:val="00D80438"/>
    <w:rsid w:val="00D8338F"/>
    <w:rsid w:val="00D857F1"/>
    <w:rsid w:val="00D943CB"/>
    <w:rsid w:val="00DC14B4"/>
    <w:rsid w:val="00DD123F"/>
    <w:rsid w:val="00E051C5"/>
    <w:rsid w:val="00E052E3"/>
    <w:rsid w:val="00E23FF5"/>
    <w:rsid w:val="00E36141"/>
    <w:rsid w:val="00E74F24"/>
    <w:rsid w:val="00E77638"/>
    <w:rsid w:val="00E77EB7"/>
    <w:rsid w:val="00E81A71"/>
    <w:rsid w:val="00E83E58"/>
    <w:rsid w:val="00EA44C0"/>
    <w:rsid w:val="00EA5FD9"/>
    <w:rsid w:val="00EE6306"/>
    <w:rsid w:val="00EE7AF6"/>
    <w:rsid w:val="00F52DCF"/>
    <w:rsid w:val="00F55B84"/>
    <w:rsid w:val="00F629DB"/>
    <w:rsid w:val="00F640E1"/>
    <w:rsid w:val="00F714F9"/>
    <w:rsid w:val="00F7212E"/>
    <w:rsid w:val="00F728CC"/>
    <w:rsid w:val="00F77C04"/>
    <w:rsid w:val="00FA34B7"/>
    <w:rsid w:val="00FC497F"/>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 w:type="paragraph" w:styleId="ListParagraph">
    <w:name w:val="List Paragraph"/>
    <w:basedOn w:val="Normal"/>
    <w:uiPriority w:val="34"/>
    <w:qFormat/>
    <w:rsid w:val="00D8338F"/>
    <w:pPr>
      <w:ind w:left="720"/>
      <w:contextualSpacing/>
    </w:pPr>
  </w:style>
  <w:style w:type="character" w:styleId="CommentReference">
    <w:name w:val="annotation reference"/>
    <w:basedOn w:val="DefaultParagraphFont"/>
    <w:uiPriority w:val="99"/>
    <w:semiHidden/>
    <w:unhideWhenUsed/>
    <w:rsid w:val="00BE39F8"/>
    <w:rPr>
      <w:sz w:val="16"/>
      <w:szCs w:val="16"/>
    </w:rPr>
  </w:style>
  <w:style w:type="paragraph" w:styleId="CommentText">
    <w:name w:val="annotation text"/>
    <w:basedOn w:val="Normal"/>
    <w:link w:val="CommentTextChar"/>
    <w:uiPriority w:val="99"/>
    <w:semiHidden/>
    <w:unhideWhenUsed/>
    <w:rsid w:val="00BE39F8"/>
  </w:style>
  <w:style w:type="character" w:customStyle="1" w:styleId="CommentTextChar">
    <w:name w:val="Comment Text Char"/>
    <w:basedOn w:val="DefaultParagraphFont"/>
    <w:link w:val="CommentText"/>
    <w:uiPriority w:val="99"/>
    <w:semiHidden/>
    <w:rsid w:val="00BE39F8"/>
  </w:style>
  <w:style w:type="paragraph" w:styleId="CommentSubject">
    <w:name w:val="annotation subject"/>
    <w:basedOn w:val="CommentText"/>
    <w:next w:val="CommentText"/>
    <w:link w:val="CommentSubjectChar"/>
    <w:uiPriority w:val="99"/>
    <w:semiHidden/>
    <w:unhideWhenUsed/>
    <w:rsid w:val="00BE39F8"/>
    <w:rPr>
      <w:b/>
      <w:bCs/>
    </w:rPr>
  </w:style>
  <w:style w:type="character" w:customStyle="1" w:styleId="CommentSubjectChar">
    <w:name w:val="Comment Subject Char"/>
    <w:basedOn w:val="CommentTextChar"/>
    <w:link w:val="CommentSubject"/>
    <w:uiPriority w:val="99"/>
    <w:semiHidden/>
    <w:rsid w:val="00BE39F8"/>
    <w:rPr>
      <w:b/>
      <w:bCs/>
    </w:rPr>
  </w:style>
  <w:style w:type="character" w:styleId="Hyperlink">
    <w:name w:val="Hyperlink"/>
    <w:basedOn w:val="DefaultParagraphFont"/>
    <w:uiPriority w:val="99"/>
    <w:unhideWhenUsed/>
    <w:rsid w:val="00473AA7"/>
    <w:rPr>
      <w:color w:val="0000FF" w:themeColor="hyperlink"/>
      <w:u w:val="single"/>
    </w:rPr>
  </w:style>
  <w:style w:type="character" w:styleId="UnresolvedMention">
    <w:name w:val="Unresolved Mention"/>
    <w:basedOn w:val="DefaultParagraphFont"/>
    <w:uiPriority w:val="99"/>
    <w:semiHidden/>
    <w:unhideWhenUsed/>
    <w:rsid w:val="00473AA7"/>
    <w:rPr>
      <w:color w:val="605E5C"/>
      <w:shd w:val="clear" w:color="auto" w:fill="E1DFDD"/>
    </w:rPr>
  </w:style>
  <w:style w:type="character" w:styleId="FollowedHyperlink">
    <w:name w:val="FollowedHyperlink"/>
    <w:basedOn w:val="DefaultParagraphFont"/>
    <w:uiPriority w:val="99"/>
    <w:semiHidden/>
    <w:unhideWhenUsed/>
    <w:rsid w:val="005B17F5"/>
    <w:rPr>
      <w:color w:val="800080" w:themeColor="followedHyperlink"/>
      <w:u w:val="single"/>
    </w:rPr>
  </w:style>
  <w:style w:type="paragraph" w:styleId="Revision">
    <w:name w:val="Revision"/>
    <w:hidden/>
    <w:uiPriority w:val="99"/>
    <w:semiHidden/>
    <w:rsid w:val="003D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60406">
      <w:bodyDiv w:val="1"/>
      <w:marLeft w:val="0"/>
      <w:marRight w:val="0"/>
      <w:marTop w:val="0"/>
      <w:marBottom w:val="0"/>
      <w:divBdr>
        <w:top w:val="none" w:sz="0" w:space="0" w:color="auto"/>
        <w:left w:val="none" w:sz="0" w:space="0" w:color="auto"/>
        <w:bottom w:val="none" w:sz="0" w:space="0" w:color="auto"/>
        <w:right w:val="none" w:sz="0" w:space="0" w:color="auto"/>
      </w:divBdr>
    </w:div>
    <w:div w:id="1110396356">
      <w:bodyDiv w:val="1"/>
      <w:marLeft w:val="0"/>
      <w:marRight w:val="0"/>
      <w:marTop w:val="0"/>
      <w:marBottom w:val="0"/>
      <w:divBdr>
        <w:top w:val="none" w:sz="0" w:space="0" w:color="auto"/>
        <w:left w:val="none" w:sz="0" w:space="0" w:color="auto"/>
        <w:bottom w:val="none" w:sz="0" w:space="0" w:color="auto"/>
        <w:right w:val="none" w:sz="0" w:space="0" w:color="auto"/>
      </w:divBdr>
    </w:div>
    <w:div w:id="1888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r.com/DisplayProfile.do?lang=EN&amp;issuerType=03&amp;issuerNo=000509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hort@cosaresource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969-9E04-4DD5-AAFA-24085663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Wes Short</cp:lastModifiedBy>
  <cp:revision>2</cp:revision>
  <cp:lastPrinted>2019-11-01T18:01:00Z</cp:lastPrinted>
  <dcterms:created xsi:type="dcterms:W3CDTF">2022-08-10T23:23:00Z</dcterms:created>
  <dcterms:modified xsi:type="dcterms:W3CDTF">2022-08-10T23:23:00Z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