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5A13CA0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46A5E">
        <w:rPr>
          <w:rFonts w:ascii="Arial" w:hAnsi="Arial"/>
          <w:b/>
          <w:bCs/>
          <w:color w:val="000000"/>
          <w:u w:val="single"/>
        </w:rPr>
        <w:t>Cosa Resources</w:t>
      </w:r>
      <w:r w:rsidR="0097313B">
        <w:rPr>
          <w:rFonts w:ascii="Arial" w:hAnsi="Arial"/>
          <w:b/>
          <w:bCs/>
          <w:color w:val="000000"/>
          <w:u w:val="single"/>
        </w:rPr>
        <w:t xml:space="preserve">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62C8D49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46A5E">
        <w:rPr>
          <w:rFonts w:ascii="Arial" w:hAnsi="Arial"/>
          <w:b/>
          <w:bCs/>
          <w:color w:val="000000"/>
          <w:u w:val="single"/>
        </w:rPr>
        <w:t>COSA</w:t>
      </w:r>
      <w:r>
        <w:rPr>
          <w:rFonts w:ascii="Arial" w:hAnsi="Arial"/>
          <w:color w:val="000000"/>
          <w:u w:val="single"/>
        </w:rPr>
        <w:tab/>
      </w:r>
      <w:r>
        <w:rPr>
          <w:rFonts w:ascii="Arial" w:hAnsi="Arial"/>
          <w:color w:val="000000"/>
          <w:u w:val="single"/>
        </w:rPr>
        <w:tab/>
      </w:r>
    </w:p>
    <w:p w14:paraId="08156A1C" w14:textId="5411AF3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C27EE">
        <w:rPr>
          <w:rFonts w:ascii="Arial" w:hAnsi="Arial"/>
          <w:b/>
          <w:bCs/>
          <w:color w:val="000000"/>
          <w:u w:val="single"/>
          <w:lang w:val="en-US"/>
        </w:rPr>
        <w:t>28,412,785</w:t>
      </w:r>
      <w:r>
        <w:rPr>
          <w:rFonts w:ascii="Arial" w:hAnsi="Arial"/>
          <w:color w:val="000000"/>
          <w:u w:val="single"/>
        </w:rPr>
        <w:tab/>
      </w:r>
      <w:r>
        <w:rPr>
          <w:rFonts w:ascii="Arial" w:hAnsi="Arial"/>
          <w:color w:val="000000"/>
          <w:u w:val="single"/>
        </w:rPr>
        <w:tab/>
      </w:r>
    </w:p>
    <w:p w14:paraId="38947835" w14:textId="67D5D4B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632B6">
        <w:rPr>
          <w:rFonts w:ascii="Arial" w:hAnsi="Arial"/>
          <w:b/>
          <w:bCs/>
          <w:color w:val="000000"/>
          <w:u w:val="single"/>
        </w:rPr>
        <w:t>May 4</w:t>
      </w:r>
      <w:r w:rsidR="006D677F">
        <w:rPr>
          <w:rFonts w:ascii="Arial" w:hAnsi="Arial"/>
          <w:b/>
          <w:bCs/>
          <w:color w:val="000000"/>
          <w:u w:val="single"/>
        </w:rPr>
        <w:t>, 202</w:t>
      </w:r>
      <w:r w:rsidR="00135549">
        <w:rPr>
          <w:rFonts w:ascii="Arial" w:hAnsi="Arial"/>
          <w:b/>
          <w:bCs/>
          <w:color w:val="000000"/>
          <w:u w:val="single"/>
        </w:rPr>
        <w:t>2</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3CA4D3A" w14:textId="62D3AED4" w:rsidR="00EE7AF6" w:rsidRDefault="00746A5E" w:rsidP="0097313B">
      <w:pPr>
        <w:widowControl w:val="0"/>
        <w:autoSpaceDE w:val="0"/>
        <w:autoSpaceDN w:val="0"/>
        <w:adjustRightInd w:val="0"/>
        <w:spacing w:line="239" w:lineRule="auto"/>
        <w:ind w:left="720"/>
        <w:jc w:val="both"/>
        <w:rPr>
          <w:rFonts w:ascii="Arial" w:hAnsi="Arial"/>
          <w:b/>
          <w:bCs/>
          <w:color w:val="000000"/>
          <w:sz w:val="24"/>
          <w:lang w:val="en-GB"/>
        </w:rPr>
      </w:pPr>
      <w:r w:rsidRPr="00746A5E">
        <w:rPr>
          <w:rFonts w:ascii="Arial" w:hAnsi="Arial"/>
          <w:b/>
          <w:bCs/>
          <w:color w:val="000000"/>
          <w:sz w:val="24"/>
          <w:lang w:val="en-GB"/>
        </w:rPr>
        <w:t>Cosa Resources is a Canadian mineral exploration company based in Vancouver, BC and is currently focused on the exploration of its Heron Copper Project</w:t>
      </w:r>
      <w:r w:rsidR="004940AD">
        <w:rPr>
          <w:rFonts w:ascii="Arial" w:hAnsi="Arial"/>
          <w:b/>
          <w:bCs/>
          <w:color w:val="000000"/>
          <w:sz w:val="24"/>
          <w:lang w:val="en-GB"/>
        </w:rPr>
        <w:t xml:space="preserve"> in Saskatchewan, Canada.  </w:t>
      </w:r>
    </w:p>
    <w:p w14:paraId="495A7A92" w14:textId="77777777" w:rsidR="00746A5E" w:rsidRDefault="00746A5E" w:rsidP="0097313B">
      <w:pPr>
        <w:widowControl w:val="0"/>
        <w:autoSpaceDE w:val="0"/>
        <w:autoSpaceDN w:val="0"/>
        <w:adjustRightInd w:val="0"/>
        <w:spacing w:line="239" w:lineRule="auto"/>
        <w:ind w:left="720"/>
        <w:jc w:val="both"/>
        <w:rPr>
          <w:rFonts w:ascii="Arial" w:hAnsi="Arial"/>
          <w:b/>
          <w:bCs/>
          <w:color w:val="000000"/>
          <w:sz w:val="24"/>
          <w:lang w:val="en-GB"/>
        </w:rPr>
      </w:pPr>
    </w:p>
    <w:p w14:paraId="63FB466D" w14:textId="5E0A5332" w:rsidR="00AC6BAB" w:rsidRDefault="00760152" w:rsidP="00B60F6C">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During the month of </w:t>
      </w:r>
      <w:r w:rsidR="00CC27EE">
        <w:rPr>
          <w:rFonts w:ascii="Arial" w:hAnsi="Arial"/>
          <w:b/>
          <w:bCs/>
          <w:color w:val="000000"/>
          <w:sz w:val="24"/>
          <w:lang w:val="en-GB"/>
        </w:rPr>
        <w:t>April</w:t>
      </w:r>
      <w:r>
        <w:rPr>
          <w:rFonts w:ascii="Arial" w:hAnsi="Arial"/>
          <w:b/>
          <w:bCs/>
          <w:color w:val="000000"/>
          <w:sz w:val="24"/>
          <w:lang w:val="en-GB"/>
        </w:rPr>
        <w:t xml:space="preserve"> 2022, the Issuer c</w:t>
      </w:r>
      <w:r w:rsidR="00CC27EE">
        <w:rPr>
          <w:rFonts w:ascii="Arial" w:hAnsi="Arial"/>
          <w:b/>
          <w:bCs/>
          <w:color w:val="000000"/>
          <w:sz w:val="24"/>
          <w:lang w:val="en-GB"/>
        </w:rPr>
        <w:t>losed</w:t>
      </w:r>
      <w:r>
        <w:rPr>
          <w:rFonts w:ascii="Arial" w:hAnsi="Arial"/>
          <w:b/>
          <w:bCs/>
          <w:color w:val="000000"/>
          <w:sz w:val="24"/>
          <w:lang w:val="en-GB"/>
        </w:rPr>
        <w:t xml:space="preserve"> its </w:t>
      </w:r>
      <w:r w:rsidR="00CC27EE">
        <w:rPr>
          <w:rFonts w:ascii="Arial" w:hAnsi="Arial"/>
          <w:b/>
          <w:bCs/>
          <w:color w:val="000000"/>
          <w:sz w:val="24"/>
          <w:lang w:val="en-GB"/>
        </w:rPr>
        <w:t xml:space="preserve">previously announced non-brokered private placement of common shares and flow-through common shares for gross proceeds of $2 million.  </w:t>
      </w:r>
      <w:r w:rsidR="00CC27EE">
        <w:rPr>
          <w:rFonts w:ascii="Arial" w:hAnsi="Arial"/>
          <w:b/>
          <w:bCs/>
          <w:color w:val="000000"/>
          <w:sz w:val="24"/>
          <w:lang w:val="en-GB"/>
        </w:rPr>
        <w:t xml:space="preserve">Each common share </w:t>
      </w:r>
      <w:r w:rsidR="00CC27EE">
        <w:rPr>
          <w:rFonts w:ascii="Arial" w:hAnsi="Arial"/>
          <w:b/>
          <w:bCs/>
          <w:color w:val="000000"/>
          <w:sz w:val="24"/>
          <w:lang w:val="en-GB"/>
        </w:rPr>
        <w:t>was</w:t>
      </w:r>
      <w:r w:rsidR="00CC27EE">
        <w:rPr>
          <w:rFonts w:ascii="Arial" w:hAnsi="Arial"/>
          <w:b/>
          <w:bCs/>
          <w:color w:val="000000"/>
          <w:sz w:val="24"/>
          <w:lang w:val="en-GB"/>
        </w:rPr>
        <w:t xml:space="preserve"> issued at a price of $0.25 per share, and each flow-through common share </w:t>
      </w:r>
      <w:r w:rsidR="00CC27EE">
        <w:rPr>
          <w:rFonts w:ascii="Arial" w:hAnsi="Arial"/>
          <w:b/>
          <w:bCs/>
          <w:color w:val="000000"/>
          <w:sz w:val="24"/>
          <w:lang w:val="en-GB"/>
        </w:rPr>
        <w:t>was</w:t>
      </w:r>
      <w:r w:rsidR="00CC27EE">
        <w:rPr>
          <w:rFonts w:ascii="Arial" w:hAnsi="Arial"/>
          <w:b/>
          <w:bCs/>
          <w:color w:val="000000"/>
          <w:sz w:val="24"/>
          <w:lang w:val="en-GB"/>
        </w:rPr>
        <w:t xml:space="preserve"> issued at a price of $0.35 per share.  </w:t>
      </w:r>
    </w:p>
    <w:p w14:paraId="05F117CA" w14:textId="0D2A5596" w:rsidR="00760152" w:rsidRDefault="00760152" w:rsidP="00CC27EE">
      <w:pPr>
        <w:widowControl w:val="0"/>
        <w:autoSpaceDE w:val="0"/>
        <w:autoSpaceDN w:val="0"/>
        <w:adjustRightInd w:val="0"/>
        <w:spacing w:line="239" w:lineRule="auto"/>
        <w:jc w:val="both"/>
        <w:rPr>
          <w:rFonts w:ascii="Arial" w:hAnsi="Arial"/>
          <w:b/>
          <w:bCs/>
          <w:color w:val="000000"/>
          <w:sz w:val="24"/>
          <w:lang w:val="en-GB"/>
        </w:rPr>
      </w:pPr>
    </w:p>
    <w:p w14:paraId="2C220D9F" w14:textId="5E98E0AA" w:rsidR="00760152" w:rsidRDefault="00CC27EE" w:rsidP="00B60F6C">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On April 28, 2022, the Issuer announced the completion of the field portion of magnetic and electromagnetic ground geophysical surveys.</w:t>
      </w:r>
      <w:r w:rsidR="004B41F0">
        <w:rPr>
          <w:rFonts w:ascii="Arial" w:hAnsi="Arial"/>
          <w:b/>
          <w:bCs/>
          <w:color w:val="000000"/>
          <w:sz w:val="24"/>
          <w:lang w:val="en-GB"/>
        </w:rPr>
        <w:t xml:space="preserve">  </w:t>
      </w:r>
      <w:r w:rsidR="004B41F0" w:rsidRPr="004B41F0">
        <w:rPr>
          <w:rFonts w:ascii="Arial" w:hAnsi="Arial"/>
          <w:b/>
          <w:bCs/>
          <w:color w:val="000000"/>
          <w:sz w:val="24"/>
          <w:lang w:val="en-GB"/>
        </w:rPr>
        <w:t xml:space="preserve">The surveys were designed to follow up on the highest priority target area from the 2021 airborne geophysical survey. The primary objective of the geophysical program was to map and characterize the electrical and magnetic properties of the subsurface within the project area to focus future drilling programs for the exploration of sedimentary-hosted copper deposits. The program consisted of a combined total of 60 km of magnetic and electromagnetic survey coverage with a line spacing of 100 m, tightening to 50 m spacing overtop of the strongest airborne anomalies.   </w:t>
      </w:r>
    </w:p>
    <w:p w14:paraId="0D6E1928" w14:textId="77777777" w:rsidR="0097313B" w:rsidRPr="0097313B" w:rsidRDefault="0097313B" w:rsidP="004E332A">
      <w:pPr>
        <w:widowControl w:val="0"/>
        <w:autoSpaceDE w:val="0"/>
        <w:autoSpaceDN w:val="0"/>
        <w:adjustRightInd w:val="0"/>
        <w:spacing w:line="239" w:lineRule="auto"/>
        <w:jc w:val="both"/>
        <w:rPr>
          <w:rFonts w:ascii="Arial" w:hAnsi="Arial"/>
          <w:b/>
          <w:bCs/>
          <w:color w:val="000000"/>
          <w:sz w:val="24"/>
          <w:lang w:val="en-GB"/>
        </w:rPr>
      </w:pPr>
    </w:p>
    <w:p w14:paraId="2B78422C" w14:textId="74E7BCB6"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93F8D5F" w14:textId="7E6EC557" w:rsidR="004B41F0" w:rsidRDefault="004B41F0" w:rsidP="004B41F0">
      <w:pPr>
        <w:pStyle w:val="List"/>
        <w:spacing w:before="0"/>
        <w:ind w:left="720" w:firstLine="0"/>
        <w:jc w:val="both"/>
        <w:rPr>
          <w:rFonts w:ascii="Arial" w:hAnsi="Arial"/>
        </w:rPr>
      </w:pPr>
    </w:p>
    <w:p w14:paraId="57BCF064" w14:textId="74273CEB" w:rsidR="004B41F0" w:rsidRDefault="004B41F0" w:rsidP="004B41F0">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 xml:space="preserve">During the month of April 2022, the Issuer closed its previously announced non-brokered private placement of common shares and flow-through common shares for gross proceeds of $2 million.  </w:t>
      </w:r>
    </w:p>
    <w:p w14:paraId="7A959689" w14:textId="77777777" w:rsidR="004B41F0" w:rsidRDefault="004B41F0" w:rsidP="004B41F0">
      <w:pPr>
        <w:pStyle w:val="List"/>
        <w:spacing w:before="0"/>
        <w:ind w:left="720" w:firstLine="0"/>
        <w:jc w:val="both"/>
        <w:rPr>
          <w:rFonts w:ascii="Arial" w:hAnsi="Arial"/>
        </w:rPr>
      </w:pPr>
    </w:p>
    <w:p w14:paraId="4DA74C2B" w14:textId="563ECDBA" w:rsidR="00A6637A" w:rsidRDefault="004B41F0" w:rsidP="00F640E1">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T</w:t>
      </w:r>
      <w:r>
        <w:rPr>
          <w:rFonts w:ascii="Arial" w:hAnsi="Arial"/>
          <w:b/>
          <w:bCs/>
          <w:color w:val="000000"/>
          <w:sz w:val="24"/>
          <w:lang w:val="en-GB"/>
        </w:rPr>
        <w:t xml:space="preserve">he Issuer </w:t>
      </w:r>
      <w:r w:rsidR="00BD0B7D">
        <w:rPr>
          <w:rFonts w:ascii="Arial" w:hAnsi="Arial"/>
          <w:b/>
          <w:bCs/>
          <w:color w:val="000000"/>
          <w:sz w:val="24"/>
          <w:lang w:val="en-GB"/>
        </w:rPr>
        <w:t>also completed</w:t>
      </w:r>
      <w:r>
        <w:rPr>
          <w:rFonts w:ascii="Arial" w:hAnsi="Arial"/>
          <w:b/>
          <w:bCs/>
          <w:color w:val="000000"/>
          <w:sz w:val="24"/>
          <w:lang w:val="en-GB"/>
        </w:rPr>
        <w:t xml:space="preserve"> the field portion of magnetic and electromagnetic ground geophysical surveys</w:t>
      </w:r>
      <w:r w:rsidR="00BD0B7D">
        <w:rPr>
          <w:rFonts w:ascii="Arial" w:hAnsi="Arial"/>
          <w:b/>
          <w:bCs/>
          <w:color w:val="000000"/>
          <w:sz w:val="24"/>
          <w:lang w:val="en-GB"/>
        </w:rPr>
        <w:t xml:space="preserve"> at the Issuer’s Heron Copper Project in </w:t>
      </w:r>
      <w:r w:rsidR="00BD0B7D">
        <w:rPr>
          <w:rFonts w:ascii="Arial" w:hAnsi="Arial"/>
          <w:b/>
          <w:bCs/>
          <w:color w:val="000000"/>
          <w:sz w:val="24"/>
          <w:lang w:val="en-GB"/>
        </w:rPr>
        <w:lastRenderedPageBreak/>
        <w:t xml:space="preserve">Northern Saskatchewan, Canada.  </w:t>
      </w:r>
    </w:p>
    <w:p w14:paraId="6B2CCB48" w14:textId="77777777" w:rsidR="00F640E1" w:rsidRDefault="00F640E1" w:rsidP="00F640E1">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E30847F" w14:textId="77777777" w:rsidR="006B7CC9" w:rsidRDefault="006B7CC9" w:rsidP="00D8338F">
      <w:pPr>
        <w:pStyle w:val="ListParagraph"/>
        <w:widowControl w:val="0"/>
        <w:autoSpaceDE w:val="0"/>
        <w:autoSpaceDN w:val="0"/>
        <w:adjustRightInd w:val="0"/>
        <w:spacing w:line="239" w:lineRule="auto"/>
        <w:jc w:val="both"/>
        <w:rPr>
          <w:rFonts w:ascii="Arial" w:hAnsi="Arial"/>
          <w:b/>
          <w:bCs/>
          <w:color w:val="000000"/>
          <w:sz w:val="24"/>
          <w:lang w:val="en-GB"/>
        </w:rPr>
      </w:pPr>
    </w:p>
    <w:p w14:paraId="72FD0491" w14:textId="6597305D" w:rsidR="00BD0B7D" w:rsidRDefault="00BD0B7D" w:rsidP="00BD0B7D">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During the month of April 2022, the Issuer</w:t>
      </w:r>
      <w:r>
        <w:rPr>
          <w:rFonts w:ascii="Arial" w:hAnsi="Arial"/>
          <w:b/>
          <w:bCs/>
          <w:color w:val="000000"/>
          <w:sz w:val="24"/>
          <w:lang w:val="en-GB"/>
        </w:rPr>
        <w:t xml:space="preserve"> announced the completion of the field portions of magnetic and electromagnetic ground geophysical surveys.  </w:t>
      </w:r>
      <w:r w:rsidRPr="004B41F0">
        <w:rPr>
          <w:rFonts w:ascii="Arial" w:hAnsi="Arial"/>
          <w:b/>
          <w:bCs/>
          <w:color w:val="000000"/>
          <w:sz w:val="24"/>
          <w:lang w:val="en-GB"/>
        </w:rPr>
        <w:t xml:space="preserve">The surveys were designed to follow up on the highest priority target area from the 2021 airborne geophysical survey. The primary objective of the geophysical program was to map and characterize the electrical and magnetic properties of the subsurface within the project area to focus future drilling programs for the exploration of sedimentary-hosted copper deposits. The program consisted of a combined total of 60 km of magnetic and electromagnetic survey coverage with a line spacing of 100 m, tightening to 50 m spacing overtop of the strongest airborne anomalies.   </w:t>
      </w:r>
    </w:p>
    <w:p w14:paraId="388884FF" w14:textId="77777777" w:rsidR="00636D6C" w:rsidRDefault="00636D6C"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77777777" w:rsidR="00473AA7" w:rsidRDefault="00473AA7" w:rsidP="00473AA7">
      <w:pPr>
        <w:pStyle w:val="ListParagraph"/>
        <w:widowControl w:val="0"/>
        <w:autoSpaceDE w:val="0"/>
        <w:autoSpaceDN w:val="0"/>
        <w:adjustRightInd w:val="0"/>
        <w:spacing w:line="239" w:lineRule="auto"/>
        <w:jc w:val="both"/>
        <w:rPr>
          <w:rFonts w:ascii="Arial" w:hAnsi="Arial"/>
          <w:b/>
          <w:bCs/>
          <w:color w:val="000000"/>
          <w:sz w:val="24"/>
          <w:lang w:val="en-GB"/>
        </w:rPr>
      </w:pPr>
    </w:p>
    <w:p w14:paraId="1EBAF5B0" w14:textId="095877C3" w:rsidR="005B17F5" w:rsidRDefault="008A6642" w:rsidP="005B17F5">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7921D4CB" w14:textId="4673C454" w:rsidR="0032758F" w:rsidRDefault="00B805BB"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6C9366D7" w14:textId="77777777" w:rsidR="00B805BB" w:rsidRPr="00FE069E" w:rsidRDefault="00B805BB"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7FF60A07" w:rsidR="008E3A38" w:rsidRDefault="00473AA7"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2799900" w14:textId="11398107" w:rsidR="0032758F" w:rsidRDefault="0032758F" w:rsidP="00A41F33">
      <w:pPr>
        <w:widowControl w:val="0"/>
        <w:overflowPunct w:val="0"/>
        <w:autoSpaceDE w:val="0"/>
        <w:autoSpaceDN w:val="0"/>
        <w:adjustRightInd w:val="0"/>
        <w:ind w:left="720"/>
        <w:jc w:val="both"/>
        <w:rPr>
          <w:rFonts w:ascii="Arial" w:hAnsi="Arial"/>
          <w:b/>
          <w:bCs/>
          <w:color w:val="000000"/>
          <w:sz w:val="24"/>
        </w:rPr>
      </w:pPr>
    </w:p>
    <w:p w14:paraId="7C0529D9" w14:textId="5E243E21" w:rsidR="006B45A9" w:rsidRDefault="00952B20" w:rsidP="006B45A9">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28A0644D" w14:textId="77777777" w:rsidR="0032758F" w:rsidRPr="0032758F" w:rsidRDefault="0032758F" w:rsidP="0032758F">
      <w:pPr>
        <w:pStyle w:val="ListParagraph"/>
        <w:widowControl w:val="0"/>
        <w:overflowPunct w:val="0"/>
        <w:autoSpaceDE w:val="0"/>
        <w:autoSpaceDN w:val="0"/>
        <w:adjustRightInd w:val="0"/>
        <w:ind w:left="144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lastRenderedPageBreak/>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73DE90B" w14:textId="77777777" w:rsidR="00605E4F" w:rsidRDefault="00605E4F" w:rsidP="00605E4F">
      <w:pPr>
        <w:pStyle w:val="ListParagraph"/>
        <w:widowControl w:val="0"/>
        <w:autoSpaceDE w:val="0"/>
        <w:autoSpaceDN w:val="0"/>
        <w:adjustRightInd w:val="0"/>
        <w:spacing w:line="239" w:lineRule="auto"/>
        <w:jc w:val="both"/>
        <w:rPr>
          <w:rFonts w:ascii="Arial" w:hAnsi="Arial"/>
          <w:b/>
          <w:bCs/>
          <w:color w:val="000000"/>
          <w:sz w:val="24"/>
          <w:lang w:val="en-GB"/>
        </w:rPr>
      </w:pPr>
    </w:p>
    <w:p w14:paraId="58E4D660" w14:textId="6262CE04" w:rsidR="00A41F33" w:rsidRDefault="00B931CC" w:rsidP="00A41F3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689E8226" w14:textId="77777777" w:rsidR="000232F3" w:rsidRPr="00FE069E" w:rsidRDefault="000232F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54BFF97A" w14:textId="40C905F6" w:rsidR="00A41F33" w:rsidRDefault="00A41F33" w:rsidP="00A90505">
      <w:pPr>
        <w:pStyle w:val="List"/>
        <w:spacing w:before="0"/>
        <w:ind w:left="720" w:firstLine="0"/>
        <w:jc w:val="both"/>
        <w:rPr>
          <w:rFonts w:ascii="Arial" w:hAnsi="Arial"/>
        </w:rPr>
      </w:pPr>
    </w:p>
    <w:p w14:paraId="6DEEBFF2" w14:textId="7B3C308A"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tbl>
      <w:tblPr>
        <w:tblW w:w="87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1350"/>
        <w:gridCol w:w="3870"/>
        <w:gridCol w:w="1620"/>
      </w:tblGrid>
      <w:tr w:rsidR="008A6642" w14:paraId="1F8AD040" w14:textId="77777777" w:rsidTr="00724502">
        <w:tc>
          <w:tcPr>
            <w:tcW w:w="1901" w:type="dxa"/>
          </w:tcPr>
          <w:p w14:paraId="05D29C64"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Security</w:t>
            </w:r>
          </w:p>
        </w:tc>
        <w:tc>
          <w:tcPr>
            <w:tcW w:w="1350" w:type="dxa"/>
          </w:tcPr>
          <w:p w14:paraId="7BC64DB7"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Number Issued</w:t>
            </w:r>
          </w:p>
        </w:tc>
        <w:tc>
          <w:tcPr>
            <w:tcW w:w="3870" w:type="dxa"/>
          </w:tcPr>
          <w:p w14:paraId="01A057D3" w14:textId="77777777" w:rsidR="008A6642" w:rsidRDefault="008A6642" w:rsidP="00B31A6A">
            <w:pPr>
              <w:pStyle w:val="List"/>
              <w:tabs>
                <w:tab w:val="left" w:pos="360"/>
              </w:tabs>
              <w:spacing w:before="0"/>
              <w:ind w:left="0" w:firstLine="0"/>
              <w:jc w:val="center"/>
              <w:rPr>
                <w:rFonts w:ascii="Arial" w:hAnsi="Arial"/>
                <w:b/>
              </w:rPr>
            </w:pPr>
            <w:r>
              <w:rPr>
                <w:rFonts w:ascii="Arial" w:hAnsi="Arial"/>
                <w:b/>
              </w:rPr>
              <w:t>Details of Issuance</w:t>
            </w:r>
          </w:p>
        </w:tc>
        <w:tc>
          <w:tcPr>
            <w:tcW w:w="1620" w:type="dxa"/>
          </w:tcPr>
          <w:p w14:paraId="7F55F451" w14:textId="2E2DA42D" w:rsidR="008A6642" w:rsidRDefault="008A6642" w:rsidP="00B31A6A">
            <w:pPr>
              <w:pStyle w:val="List"/>
              <w:tabs>
                <w:tab w:val="left" w:pos="360"/>
              </w:tabs>
              <w:spacing w:before="0"/>
              <w:ind w:left="0" w:firstLine="0"/>
              <w:jc w:val="center"/>
              <w:rPr>
                <w:rFonts w:ascii="Arial" w:hAnsi="Arial"/>
                <w:b/>
              </w:rPr>
            </w:pPr>
            <w:r>
              <w:rPr>
                <w:rFonts w:ascii="Arial" w:hAnsi="Arial"/>
                <w:b/>
              </w:rPr>
              <w:t>Use of Proceeds</w:t>
            </w:r>
            <w:r w:rsidR="00AF1651">
              <w:rPr>
                <w:rFonts w:ascii="Arial" w:hAnsi="Arial"/>
                <w:b/>
              </w:rPr>
              <w:t xml:space="preserve"> </w:t>
            </w:r>
            <w:r>
              <w:rPr>
                <w:rFonts w:ascii="Arial" w:hAnsi="Arial"/>
                <w:b/>
                <w:vertAlign w:val="superscript"/>
              </w:rPr>
              <w:t>(1)</w:t>
            </w:r>
          </w:p>
        </w:tc>
      </w:tr>
      <w:tr w:rsidR="00B73B6B" w14:paraId="2E9B2205" w14:textId="77777777" w:rsidTr="00724502">
        <w:tc>
          <w:tcPr>
            <w:tcW w:w="1901" w:type="dxa"/>
          </w:tcPr>
          <w:p w14:paraId="05E5D001" w14:textId="081AC173" w:rsidR="00B73B6B" w:rsidRPr="005961D3" w:rsidRDefault="00A6637A"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Common Shares</w:t>
            </w:r>
          </w:p>
        </w:tc>
        <w:tc>
          <w:tcPr>
            <w:tcW w:w="1350" w:type="dxa"/>
          </w:tcPr>
          <w:p w14:paraId="5C697A8C" w14:textId="654C31D6" w:rsidR="00B73B6B" w:rsidRPr="005961D3" w:rsidRDefault="004B41F0"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5,600,000</w:t>
            </w:r>
          </w:p>
        </w:tc>
        <w:tc>
          <w:tcPr>
            <w:tcW w:w="3870" w:type="dxa"/>
          </w:tcPr>
          <w:p w14:paraId="558F31F0" w14:textId="3FB591AB" w:rsidR="00B73B6B" w:rsidRPr="005961D3" w:rsidRDefault="004B41F0"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Private Placement of Common Shares at $0.25 per share</w:t>
            </w:r>
          </w:p>
        </w:tc>
        <w:tc>
          <w:tcPr>
            <w:tcW w:w="1620" w:type="dxa"/>
          </w:tcPr>
          <w:p w14:paraId="717B9F4C" w14:textId="2D50E816" w:rsidR="00B73B6B" w:rsidRPr="005961D3" w:rsidRDefault="00A6637A"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Working Capital</w:t>
            </w:r>
          </w:p>
        </w:tc>
      </w:tr>
      <w:tr w:rsidR="00D23202" w14:paraId="6AF81EFC" w14:textId="77777777" w:rsidTr="00724502">
        <w:tc>
          <w:tcPr>
            <w:tcW w:w="1901" w:type="dxa"/>
          </w:tcPr>
          <w:p w14:paraId="64D88043" w14:textId="42267AFE" w:rsidR="00D23202" w:rsidRPr="005961D3" w:rsidRDefault="00A6637A"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Common Shares</w:t>
            </w:r>
          </w:p>
        </w:tc>
        <w:tc>
          <w:tcPr>
            <w:tcW w:w="1350" w:type="dxa"/>
          </w:tcPr>
          <w:p w14:paraId="60BD8718" w14:textId="659ED655" w:rsidR="00D23202" w:rsidRPr="005961D3" w:rsidRDefault="004B41F0"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1,714,285</w:t>
            </w:r>
          </w:p>
        </w:tc>
        <w:tc>
          <w:tcPr>
            <w:tcW w:w="3870" w:type="dxa"/>
          </w:tcPr>
          <w:p w14:paraId="61F48E1D" w14:textId="78EBBEFE" w:rsidR="00D23202" w:rsidRPr="005961D3" w:rsidRDefault="004B41F0"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Private Placement of flow-through common shares at $0.35 per flow-through share</w:t>
            </w:r>
          </w:p>
        </w:tc>
        <w:tc>
          <w:tcPr>
            <w:tcW w:w="1620" w:type="dxa"/>
          </w:tcPr>
          <w:p w14:paraId="7DFCEC09" w14:textId="56328D79" w:rsidR="00D23202" w:rsidRPr="005961D3" w:rsidRDefault="005961D3" w:rsidP="00B31A6A">
            <w:pPr>
              <w:pStyle w:val="List"/>
              <w:tabs>
                <w:tab w:val="left" w:pos="360"/>
              </w:tabs>
              <w:spacing w:before="0"/>
              <w:ind w:left="0" w:firstLine="0"/>
              <w:jc w:val="center"/>
              <w:rPr>
                <w:rFonts w:ascii="Arial" w:hAnsi="Arial"/>
                <w:b/>
                <w:sz w:val="20"/>
                <w:szCs w:val="16"/>
              </w:rPr>
            </w:pPr>
            <w:r>
              <w:rPr>
                <w:rFonts w:ascii="Arial" w:hAnsi="Arial"/>
                <w:b/>
                <w:sz w:val="20"/>
                <w:szCs w:val="16"/>
              </w:rPr>
              <w:t xml:space="preserve">Eligible </w:t>
            </w:r>
            <w:r w:rsidR="004B41F0" w:rsidRPr="005961D3">
              <w:rPr>
                <w:rFonts w:ascii="Arial" w:hAnsi="Arial"/>
                <w:b/>
                <w:sz w:val="20"/>
                <w:szCs w:val="16"/>
              </w:rPr>
              <w:t>Canadian Exploration Expenditures</w:t>
            </w:r>
          </w:p>
        </w:tc>
      </w:tr>
      <w:tr w:rsidR="00724502" w14:paraId="7E8F91F0" w14:textId="77777777" w:rsidTr="00724502">
        <w:tc>
          <w:tcPr>
            <w:tcW w:w="1901" w:type="dxa"/>
          </w:tcPr>
          <w:p w14:paraId="65A647D2" w14:textId="0354747D" w:rsidR="00724502" w:rsidRPr="005961D3" w:rsidRDefault="00724502"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Warrants</w:t>
            </w:r>
          </w:p>
        </w:tc>
        <w:tc>
          <w:tcPr>
            <w:tcW w:w="1350" w:type="dxa"/>
          </w:tcPr>
          <w:p w14:paraId="371E2EC6" w14:textId="76FB589B" w:rsidR="00724502" w:rsidRPr="005961D3" w:rsidRDefault="005961D3"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94,200</w:t>
            </w:r>
          </w:p>
        </w:tc>
        <w:tc>
          <w:tcPr>
            <w:tcW w:w="3870" w:type="dxa"/>
          </w:tcPr>
          <w:p w14:paraId="1BF53E3E" w14:textId="549DBEB5" w:rsidR="00724502" w:rsidRPr="005961D3" w:rsidRDefault="004B41F0"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 xml:space="preserve">Broker Warrants </w:t>
            </w:r>
            <w:r w:rsidR="00BD0B7D">
              <w:rPr>
                <w:rFonts w:ascii="Arial" w:hAnsi="Arial"/>
                <w:b/>
                <w:sz w:val="20"/>
                <w:szCs w:val="16"/>
              </w:rPr>
              <w:t>exercisable at $0.25.  I</w:t>
            </w:r>
            <w:r w:rsidR="005961D3" w:rsidRPr="005961D3">
              <w:rPr>
                <w:rFonts w:ascii="Arial" w:hAnsi="Arial"/>
                <w:b/>
                <w:sz w:val="20"/>
                <w:szCs w:val="16"/>
              </w:rPr>
              <w:t>ssued in connection with the $0.25 private placement</w:t>
            </w:r>
          </w:p>
        </w:tc>
        <w:tc>
          <w:tcPr>
            <w:tcW w:w="1620" w:type="dxa"/>
          </w:tcPr>
          <w:p w14:paraId="2A61A1F9" w14:textId="2707AA04" w:rsidR="00724502" w:rsidRPr="005961D3" w:rsidRDefault="00724502" w:rsidP="00B31A6A">
            <w:pPr>
              <w:pStyle w:val="List"/>
              <w:tabs>
                <w:tab w:val="left" w:pos="360"/>
              </w:tabs>
              <w:spacing w:before="0"/>
              <w:ind w:left="0" w:firstLine="0"/>
              <w:jc w:val="center"/>
              <w:rPr>
                <w:rFonts w:ascii="Arial" w:hAnsi="Arial"/>
                <w:b/>
                <w:sz w:val="20"/>
                <w:szCs w:val="16"/>
              </w:rPr>
            </w:pPr>
            <w:r w:rsidRPr="005961D3">
              <w:rPr>
                <w:rFonts w:ascii="Arial" w:hAnsi="Arial"/>
                <w:b/>
                <w:sz w:val="20"/>
                <w:szCs w:val="16"/>
              </w:rPr>
              <w:t>No proceeds</w:t>
            </w:r>
          </w:p>
        </w:tc>
      </w:tr>
      <w:tr w:rsidR="005961D3" w14:paraId="49AB522E" w14:textId="77777777" w:rsidTr="00724502">
        <w:tc>
          <w:tcPr>
            <w:tcW w:w="1901" w:type="dxa"/>
          </w:tcPr>
          <w:p w14:paraId="2BBB31BD" w14:textId="2106C688" w:rsidR="005961D3" w:rsidRPr="005961D3" w:rsidRDefault="005961D3" w:rsidP="005961D3">
            <w:pPr>
              <w:pStyle w:val="List"/>
              <w:tabs>
                <w:tab w:val="left" w:pos="360"/>
              </w:tabs>
              <w:spacing w:before="0"/>
              <w:ind w:left="0" w:firstLine="0"/>
              <w:jc w:val="center"/>
              <w:rPr>
                <w:rFonts w:ascii="Arial" w:hAnsi="Arial"/>
                <w:b/>
                <w:sz w:val="20"/>
                <w:szCs w:val="16"/>
              </w:rPr>
            </w:pPr>
            <w:r w:rsidRPr="005961D3">
              <w:rPr>
                <w:rFonts w:ascii="Arial" w:hAnsi="Arial"/>
                <w:b/>
                <w:sz w:val="20"/>
                <w:szCs w:val="16"/>
              </w:rPr>
              <w:t>Warrants</w:t>
            </w:r>
          </w:p>
        </w:tc>
        <w:tc>
          <w:tcPr>
            <w:tcW w:w="1350" w:type="dxa"/>
          </w:tcPr>
          <w:p w14:paraId="476FF634" w14:textId="2A718B00" w:rsidR="005961D3" w:rsidRPr="005961D3" w:rsidRDefault="005961D3" w:rsidP="005961D3">
            <w:pPr>
              <w:pStyle w:val="List"/>
              <w:tabs>
                <w:tab w:val="left" w:pos="360"/>
              </w:tabs>
              <w:spacing w:before="0"/>
              <w:ind w:left="0" w:firstLine="0"/>
              <w:jc w:val="center"/>
              <w:rPr>
                <w:rFonts w:ascii="Arial" w:hAnsi="Arial"/>
                <w:b/>
                <w:sz w:val="20"/>
                <w:szCs w:val="16"/>
              </w:rPr>
            </w:pPr>
            <w:r w:rsidRPr="005961D3">
              <w:rPr>
                <w:rFonts w:ascii="Arial" w:hAnsi="Arial"/>
                <w:b/>
                <w:sz w:val="20"/>
                <w:szCs w:val="16"/>
              </w:rPr>
              <w:t>11,142</w:t>
            </w:r>
          </w:p>
        </w:tc>
        <w:tc>
          <w:tcPr>
            <w:tcW w:w="3870" w:type="dxa"/>
          </w:tcPr>
          <w:p w14:paraId="2D44FADD" w14:textId="4FFC935C" w:rsidR="005961D3" w:rsidRPr="005961D3" w:rsidRDefault="005961D3" w:rsidP="005961D3">
            <w:pPr>
              <w:pStyle w:val="List"/>
              <w:tabs>
                <w:tab w:val="left" w:pos="360"/>
              </w:tabs>
              <w:spacing w:before="0"/>
              <w:ind w:left="0" w:firstLine="0"/>
              <w:jc w:val="center"/>
              <w:rPr>
                <w:rFonts w:ascii="Arial" w:hAnsi="Arial"/>
                <w:b/>
                <w:sz w:val="20"/>
                <w:szCs w:val="16"/>
              </w:rPr>
            </w:pPr>
            <w:r w:rsidRPr="005961D3">
              <w:rPr>
                <w:rFonts w:ascii="Arial" w:hAnsi="Arial"/>
                <w:b/>
                <w:sz w:val="20"/>
                <w:szCs w:val="16"/>
              </w:rPr>
              <w:t xml:space="preserve">Broker Warrants </w:t>
            </w:r>
            <w:r w:rsidR="00BD0B7D">
              <w:rPr>
                <w:rFonts w:ascii="Arial" w:hAnsi="Arial"/>
                <w:b/>
                <w:sz w:val="20"/>
                <w:szCs w:val="16"/>
              </w:rPr>
              <w:t>exercisable at $0.35.  I</w:t>
            </w:r>
            <w:r w:rsidRPr="005961D3">
              <w:rPr>
                <w:rFonts w:ascii="Arial" w:hAnsi="Arial"/>
                <w:b/>
                <w:sz w:val="20"/>
                <w:szCs w:val="16"/>
              </w:rPr>
              <w:t>ssued in connect</w:t>
            </w:r>
            <w:r w:rsidRPr="005961D3">
              <w:rPr>
                <w:rFonts w:ascii="Arial" w:hAnsi="Arial"/>
                <w:b/>
                <w:sz w:val="20"/>
                <w:szCs w:val="16"/>
              </w:rPr>
              <w:t>ion</w:t>
            </w:r>
            <w:r w:rsidRPr="005961D3">
              <w:rPr>
                <w:rFonts w:ascii="Arial" w:hAnsi="Arial"/>
                <w:b/>
                <w:sz w:val="20"/>
                <w:szCs w:val="16"/>
              </w:rPr>
              <w:t xml:space="preserve"> with the $0.</w:t>
            </w:r>
            <w:r w:rsidRPr="005961D3">
              <w:rPr>
                <w:rFonts w:ascii="Arial" w:hAnsi="Arial"/>
                <w:b/>
                <w:sz w:val="20"/>
                <w:szCs w:val="16"/>
              </w:rPr>
              <w:t>3</w:t>
            </w:r>
            <w:r w:rsidRPr="005961D3">
              <w:rPr>
                <w:rFonts w:ascii="Arial" w:hAnsi="Arial"/>
                <w:b/>
                <w:sz w:val="20"/>
                <w:szCs w:val="16"/>
              </w:rPr>
              <w:t xml:space="preserve">5 </w:t>
            </w:r>
            <w:r w:rsidRPr="005961D3">
              <w:rPr>
                <w:rFonts w:ascii="Arial" w:hAnsi="Arial"/>
                <w:b/>
                <w:sz w:val="20"/>
                <w:szCs w:val="16"/>
              </w:rPr>
              <w:t xml:space="preserve">flow-through </w:t>
            </w:r>
            <w:r w:rsidRPr="005961D3">
              <w:rPr>
                <w:rFonts w:ascii="Arial" w:hAnsi="Arial"/>
                <w:b/>
                <w:sz w:val="20"/>
                <w:szCs w:val="16"/>
              </w:rPr>
              <w:t>private placement</w:t>
            </w:r>
          </w:p>
        </w:tc>
        <w:tc>
          <w:tcPr>
            <w:tcW w:w="1620" w:type="dxa"/>
          </w:tcPr>
          <w:p w14:paraId="4A58BF2F" w14:textId="161549BE" w:rsidR="005961D3" w:rsidRPr="005961D3" w:rsidRDefault="005961D3" w:rsidP="005961D3">
            <w:pPr>
              <w:pStyle w:val="List"/>
              <w:tabs>
                <w:tab w:val="left" w:pos="360"/>
              </w:tabs>
              <w:spacing w:before="0"/>
              <w:ind w:left="0" w:firstLine="0"/>
              <w:jc w:val="center"/>
              <w:rPr>
                <w:rFonts w:ascii="Arial" w:hAnsi="Arial"/>
                <w:b/>
                <w:sz w:val="20"/>
                <w:szCs w:val="16"/>
              </w:rPr>
            </w:pPr>
            <w:r w:rsidRPr="005961D3">
              <w:rPr>
                <w:rFonts w:ascii="Arial" w:hAnsi="Arial"/>
                <w:b/>
                <w:sz w:val="20"/>
                <w:szCs w:val="16"/>
              </w:rPr>
              <w:t>No proceeds</w:t>
            </w:r>
          </w:p>
        </w:tc>
      </w:tr>
    </w:tbl>
    <w:p w14:paraId="19B20C39" w14:textId="329142BA" w:rsidR="000A201A" w:rsidRDefault="000A201A" w:rsidP="00970D79">
      <w:pPr>
        <w:pStyle w:val="ListParagraph"/>
        <w:widowControl w:val="0"/>
        <w:autoSpaceDE w:val="0"/>
        <w:autoSpaceDN w:val="0"/>
        <w:adjustRightInd w:val="0"/>
        <w:spacing w:line="239" w:lineRule="auto"/>
        <w:jc w:val="both"/>
        <w:rPr>
          <w:rFonts w:ascii="Arial" w:hAnsi="Arial"/>
          <w:b/>
          <w:bCs/>
          <w:color w:val="000000"/>
          <w:sz w:val="24"/>
          <w:lang w:val="en-GB"/>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56CF01FA" w:rsidR="008E3A38" w:rsidRDefault="00B03660"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lastRenderedPageBreak/>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4978172" w14:textId="77777777" w:rsidR="000A201A" w:rsidRDefault="000A201A" w:rsidP="000975FB">
      <w:pPr>
        <w:pStyle w:val="List"/>
        <w:keepNext/>
        <w:keepLines/>
        <w:spacing w:before="0"/>
        <w:ind w:left="720" w:firstLine="0"/>
        <w:jc w:val="both"/>
        <w:rPr>
          <w:rFonts w:ascii="Arial" w:hAnsi="Arial"/>
        </w:rPr>
      </w:pPr>
    </w:p>
    <w:p w14:paraId="3D84A401" w14:textId="3288743F" w:rsidR="000232F3" w:rsidRDefault="00B60F6C" w:rsidP="000232F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2144F4A" w14:textId="77777777" w:rsidR="00BD0B7D"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 xml:space="preserve">Issuer’s </w:t>
      </w:r>
      <w:r w:rsidR="00724502">
        <w:rPr>
          <w:rFonts w:ascii="Arial" w:hAnsi="Arial"/>
          <w:b/>
          <w:bCs/>
          <w:color w:val="000000"/>
        </w:rPr>
        <w:t>Prospectus</w:t>
      </w:r>
      <w:r w:rsidRPr="0097313B">
        <w:rPr>
          <w:rFonts w:ascii="Arial" w:hAnsi="Arial"/>
          <w:b/>
          <w:bCs/>
          <w:color w:val="000000"/>
        </w:rPr>
        <w:t xml:space="preserve"> dated </w:t>
      </w:r>
      <w:r w:rsidR="00724502">
        <w:rPr>
          <w:rFonts w:ascii="Arial" w:hAnsi="Arial"/>
          <w:b/>
          <w:bCs/>
          <w:color w:val="000000"/>
        </w:rPr>
        <w:t>February 25</w:t>
      </w:r>
      <w:r w:rsidRPr="0097313B">
        <w:rPr>
          <w:rFonts w:ascii="Arial" w:hAnsi="Arial"/>
          <w:b/>
          <w:bCs/>
          <w:color w:val="000000"/>
        </w:rPr>
        <w:t>, 202</w:t>
      </w:r>
      <w:r w:rsidR="006A4904">
        <w:rPr>
          <w:rFonts w:ascii="Arial" w:hAnsi="Arial"/>
          <w:b/>
          <w:bCs/>
          <w:color w:val="000000"/>
        </w:rPr>
        <w:t>2</w:t>
      </w:r>
      <w:r w:rsidRPr="0097313B">
        <w:rPr>
          <w:rFonts w:ascii="Arial" w:hAnsi="Arial"/>
          <w:b/>
          <w:bCs/>
          <w:color w:val="000000"/>
        </w:rPr>
        <w:t xml:space="preserve"> (the “MD&amp;A”) under the</w:t>
      </w:r>
      <w:r>
        <w:rPr>
          <w:rFonts w:ascii="Arial" w:hAnsi="Arial"/>
          <w:b/>
          <w:bCs/>
          <w:color w:val="000000"/>
        </w:rPr>
        <w:t xml:space="preserve"> </w:t>
      </w:r>
      <w:r w:rsidRPr="0097313B">
        <w:rPr>
          <w:rFonts w:ascii="Arial" w:hAnsi="Arial"/>
          <w:b/>
          <w:bCs/>
          <w:color w:val="000000"/>
        </w:rPr>
        <w:t xml:space="preserve">headings “Risk Factors”. The </w:t>
      </w:r>
      <w:r w:rsidR="00724502">
        <w:rPr>
          <w:rFonts w:ascii="Arial" w:hAnsi="Arial"/>
          <w:b/>
          <w:bCs/>
          <w:color w:val="000000"/>
        </w:rPr>
        <w:t>Prospectus</w:t>
      </w:r>
      <w:r w:rsidRPr="0097313B">
        <w:rPr>
          <w:rFonts w:ascii="Arial" w:hAnsi="Arial"/>
          <w:b/>
          <w:bCs/>
          <w:color w:val="000000"/>
        </w:rPr>
        <w:t xml:space="preserve">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proofErr w:type="spellStart"/>
        <w:r w:rsidR="00B22288" w:rsidRPr="0004078C">
          <w:rPr>
            <w:rStyle w:val="Hyperlink"/>
            <w:rFonts w:ascii="Arial" w:hAnsi="Arial"/>
            <w:b/>
            <w:bCs/>
          </w:rPr>
          <w:t>SEDAR</w:t>
        </w:r>
      </w:hyperlink>
      <w:r w:rsidRPr="0097313B">
        <w:rPr>
          <w:rFonts w:ascii="Arial" w:hAnsi="Arial"/>
          <w:b/>
          <w:bCs/>
          <w:color w:val="000000"/>
        </w:rPr>
        <w:t>.</w:t>
      </w:r>
      <w:proofErr w:type="spellEnd"/>
    </w:p>
    <w:p w14:paraId="0C20FA26" w14:textId="77777777" w:rsidR="00BD0B7D" w:rsidRDefault="00BD0B7D">
      <w:pPr>
        <w:rPr>
          <w:rFonts w:ascii="Arial" w:hAnsi="Arial"/>
          <w:b/>
          <w:bCs/>
          <w:color w:val="000000"/>
          <w:sz w:val="24"/>
          <w:lang w:val="en-GB"/>
        </w:rPr>
      </w:pPr>
      <w:r>
        <w:rPr>
          <w:rFonts w:ascii="Arial" w:hAnsi="Arial"/>
          <w:b/>
          <w:bCs/>
          <w:color w:val="000000"/>
        </w:rPr>
        <w:br w:type="page"/>
      </w:r>
    </w:p>
    <w:p w14:paraId="5B879AD1" w14:textId="19C7414E" w:rsidR="00640E94" w:rsidRPr="0097313B" w:rsidRDefault="00640E94" w:rsidP="00BD0B7D">
      <w:pPr>
        <w:pStyle w:val="List"/>
        <w:keepNext/>
        <w:spacing w:before="120"/>
        <w:jc w:val="both"/>
        <w:rPr>
          <w:rFonts w:ascii="Arial" w:hAnsi="Arial"/>
          <w:b/>
          <w:bCs/>
          <w:color w:val="000000"/>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7A08C25" w14:textId="1957CD6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BD0B7D">
        <w:rPr>
          <w:rFonts w:ascii="Arial" w:hAnsi="Arial"/>
          <w:b/>
          <w:bCs/>
          <w:color w:val="000000"/>
          <w:u w:val="single"/>
        </w:rPr>
        <w:t>May 4</w:t>
      </w:r>
      <w:r w:rsidR="008A6642">
        <w:rPr>
          <w:rFonts w:ascii="Arial" w:hAnsi="Arial"/>
          <w:b/>
          <w:bCs/>
          <w:color w:val="000000"/>
          <w:u w:val="single"/>
        </w:rPr>
        <w:t>, 202</w:t>
      </w:r>
      <w:r w:rsidR="004E7AF2">
        <w:rPr>
          <w:rFonts w:ascii="Arial" w:hAnsi="Arial"/>
          <w:b/>
          <w:bCs/>
          <w:color w:val="000000"/>
          <w:u w:val="single"/>
        </w:rPr>
        <w:t>2</w:t>
      </w:r>
      <w:r>
        <w:rPr>
          <w:rFonts w:ascii="Arial" w:hAnsi="Arial"/>
          <w:u w:val="single"/>
        </w:rPr>
        <w:tab/>
      </w:r>
      <w:r>
        <w:rPr>
          <w:rFonts w:ascii="Arial" w:hAnsi="Arial"/>
        </w:rPr>
        <w:t>.</w:t>
      </w:r>
    </w:p>
    <w:p w14:paraId="452D55D0" w14:textId="73EBCB5E" w:rsidR="00640E94" w:rsidRDefault="00640E94">
      <w:pPr>
        <w:pStyle w:val="List"/>
        <w:tabs>
          <w:tab w:val="left" w:pos="9180"/>
        </w:tabs>
        <w:ind w:left="5760" w:hanging="5760"/>
        <w:rPr>
          <w:rFonts w:ascii="Arial" w:hAnsi="Arial"/>
        </w:rPr>
      </w:pPr>
      <w:r>
        <w:rPr>
          <w:rFonts w:ascii="Arial" w:hAnsi="Arial"/>
        </w:rPr>
        <w:tab/>
      </w:r>
      <w:r w:rsidR="00405698">
        <w:rPr>
          <w:rFonts w:ascii="Arial" w:hAnsi="Arial"/>
          <w:b/>
          <w:bCs/>
          <w:color w:val="000000"/>
          <w:u w:val="single"/>
        </w:rPr>
        <w:t>Wes Short</w:t>
      </w:r>
      <w:r>
        <w:rPr>
          <w:rFonts w:ascii="Arial" w:hAnsi="Arial"/>
          <w:u w:val="single"/>
        </w:rPr>
        <w:tab/>
      </w:r>
      <w:r>
        <w:rPr>
          <w:rFonts w:ascii="Arial" w:hAnsi="Arial"/>
          <w:u w:val="single"/>
        </w:rPr>
        <w:br/>
      </w:r>
      <w:r>
        <w:rPr>
          <w:rFonts w:ascii="Arial" w:hAnsi="Arial"/>
        </w:rPr>
        <w:t>Name of Director or Senior Officer</w:t>
      </w:r>
    </w:p>
    <w:p w14:paraId="7741D564" w14:textId="08769DA1"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405698">
        <w:rPr>
          <w:rFonts w:ascii="Arial" w:hAnsi="Arial"/>
          <w:b/>
          <w:bCs/>
          <w:color w:val="000000"/>
          <w:u w:val="single"/>
        </w:rPr>
        <w:t>Wes Short</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33513860" w:rsidR="00640E94" w:rsidRDefault="00405698">
      <w:pPr>
        <w:pStyle w:val="BodyText"/>
        <w:tabs>
          <w:tab w:val="left" w:pos="9180"/>
        </w:tabs>
        <w:spacing w:before="0"/>
        <w:ind w:left="5760"/>
        <w:rPr>
          <w:rFonts w:ascii="Arial" w:hAnsi="Arial"/>
        </w:rPr>
      </w:pPr>
      <w:r>
        <w:rPr>
          <w:rFonts w:ascii="Arial" w:hAnsi="Arial"/>
          <w:b/>
          <w:bCs/>
          <w:color w:val="000000"/>
          <w:u w:val="single"/>
        </w:rPr>
        <w:t>CFO, 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FE2C62F" w:rsidR="00640E94" w:rsidRPr="0097313B" w:rsidRDefault="00405698" w:rsidP="003C2890">
            <w:pPr>
              <w:pStyle w:val="BodyText"/>
              <w:spacing w:before="0"/>
              <w:rPr>
                <w:rFonts w:ascii="Arial" w:hAnsi="Arial"/>
                <w:b/>
                <w:bCs/>
                <w:color w:val="000000"/>
                <w:u w:val="single"/>
                <w:lang w:val="en-US"/>
              </w:rPr>
            </w:pPr>
            <w:r>
              <w:rPr>
                <w:rFonts w:ascii="Arial" w:hAnsi="Arial"/>
                <w:b/>
                <w:bCs/>
                <w:color w:val="000000"/>
                <w:u w:val="single"/>
                <w:lang w:val="en-US"/>
              </w:rPr>
              <w:t>Cosa Resources</w:t>
            </w:r>
            <w:r w:rsidR="0097313B">
              <w:rPr>
                <w:rFonts w:ascii="Arial" w:hAnsi="Arial"/>
                <w:b/>
                <w:bCs/>
                <w:color w:val="000000"/>
                <w:u w:val="single"/>
                <w:lang w:val="en-US"/>
              </w:rPr>
              <w:t xml:space="preserve"> Corp</w:t>
            </w:r>
            <w:r w:rsidR="005408BD" w:rsidRPr="005408BD">
              <w:rPr>
                <w:rFonts w:ascii="Arial" w:hAnsi="Arial"/>
                <w:b/>
                <w:bCs/>
                <w:color w:val="000000"/>
                <w:u w:val="single"/>
                <w:lang w:val="en-US"/>
              </w:rPr>
              <w:t xml:space="preserve">. </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34145C0F" w:rsidR="003C2890" w:rsidRPr="003C2890" w:rsidRDefault="00BD0B7D">
            <w:pPr>
              <w:pStyle w:val="BodyText"/>
              <w:spacing w:before="0"/>
              <w:rPr>
                <w:rFonts w:ascii="Arial" w:hAnsi="Arial"/>
                <w:b/>
                <w:bCs/>
                <w:color w:val="000000"/>
              </w:rPr>
            </w:pPr>
            <w:r>
              <w:rPr>
                <w:rFonts w:ascii="Arial" w:hAnsi="Arial"/>
                <w:b/>
                <w:bCs/>
                <w:color w:val="000000"/>
              </w:rPr>
              <w:t>April</w:t>
            </w:r>
            <w:r w:rsidR="0055117E">
              <w:rPr>
                <w:rFonts w:ascii="Arial" w:hAnsi="Arial"/>
                <w:b/>
                <w:bCs/>
                <w:color w:val="000000"/>
              </w:rPr>
              <w:t xml:space="preserve"> 2022</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173B72AD" w:rsidR="003C2890" w:rsidRDefault="008A6642">
            <w:pPr>
              <w:pStyle w:val="BodyText"/>
              <w:spacing w:before="0"/>
              <w:rPr>
                <w:rFonts w:ascii="Arial" w:hAnsi="Arial"/>
              </w:rPr>
            </w:pPr>
            <w:r>
              <w:rPr>
                <w:rFonts w:ascii="Arial" w:hAnsi="Arial"/>
                <w:b/>
                <w:bCs/>
                <w:color w:val="000000"/>
              </w:rPr>
              <w:t>2</w:t>
            </w:r>
            <w:r w:rsidR="004E7AF2">
              <w:rPr>
                <w:rFonts w:ascii="Arial" w:hAnsi="Arial"/>
                <w:b/>
                <w:bCs/>
                <w:color w:val="000000"/>
              </w:rPr>
              <w:t>2</w:t>
            </w:r>
            <w:r>
              <w:rPr>
                <w:rFonts w:ascii="Arial" w:hAnsi="Arial"/>
                <w:b/>
                <w:bCs/>
                <w:color w:val="000000"/>
              </w:rPr>
              <w:t>/</w:t>
            </w:r>
            <w:r w:rsidR="004E7AF2">
              <w:rPr>
                <w:rFonts w:ascii="Arial" w:hAnsi="Arial"/>
                <w:b/>
                <w:bCs/>
                <w:color w:val="000000"/>
              </w:rPr>
              <w:t>0</w:t>
            </w:r>
            <w:r w:rsidR="00BD0B7D">
              <w:rPr>
                <w:rFonts w:ascii="Arial" w:hAnsi="Arial"/>
                <w:b/>
                <w:bCs/>
                <w:color w:val="000000"/>
              </w:rPr>
              <w:t>5</w:t>
            </w:r>
            <w:r w:rsidR="0097313B">
              <w:rPr>
                <w:rFonts w:ascii="Arial" w:hAnsi="Arial"/>
                <w:b/>
                <w:bCs/>
                <w:color w:val="000000"/>
              </w:rPr>
              <w:t>/</w:t>
            </w:r>
            <w:r w:rsidR="00D23202">
              <w:rPr>
                <w:rFonts w:ascii="Arial" w:hAnsi="Arial"/>
                <w:b/>
                <w:bCs/>
                <w:color w:val="000000"/>
              </w:rPr>
              <w:t>0</w:t>
            </w:r>
            <w:r w:rsidR="00BD0B7D">
              <w:rPr>
                <w:rFonts w:ascii="Arial" w:hAnsi="Arial"/>
                <w:b/>
                <w:bCs/>
                <w:color w:val="000000"/>
              </w:rPr>
              <w:t>4</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0CC529A3" w:rsidR="00640E94" w:rsidRPr="003C2890" w:rsidRDefault="003C2890">
            <w:pPr>
              <w:pStyle w:val="BodyText"/>
              <w:spacing w:before="0"/>
              <w:rPr>
                <w:rFonts w:ascii="Arial" w:hAnsi="Arial"/>
                <w:b/>
                <w:bCs/>
                <w:color w:val="000000"/>
              </w:rPr>
            </w:pPr>
            <w:r w:rsidRPr="003C2890">
              <w:rPr>
                <w:rFonts w:ascii="Arial" w:hAnsi="Arial"/>
                <w:b/>
                <w:bCs/>
                <w:color w:val="000000"/>
              </w:rPr>
              <w:t>#</w:t>
            </w:r>
            <w:r w:rsidR="00405698">
              <w:rPr>
                <w:rFonts w:ascii="Arial" w:hAnsi="Arial"/>
                <w:b/>
                <w:bCs/>
                <w:color w:val="000000"/>
              </w:rPr>
              <w:t>801 – 1295 Richards Street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63268D07"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405698">
              <w:rPr>
                <w:rFonts w:ascii="Arial" w:hAnsi="Arial"/>
                <w:b/>
                <w:bCs/>
                <w:color w:val="000000"/>
              </w:rPr>
              <w:t>V6B 1B7</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6E486330" w:rsidR="00640E94" w:rsidRDefault="00BD0B7D">
            <w:pPr>
              <w:pStyle w:val="BodyText"/>
              <w:spacing w:before="0"/>
              <w:rPr>
                <w:rFonts w:ascii="Arial" w:hAnsi="Arial"/>
              </w:rPr>
            </w:pPr>
            <w:r>
              <w:rPr>
                <w:rFonts w:ascii="Arial" w:hAnsi="Arial"/>
                <w:b/>
                <w:bCs/>
                <w:color w:val="000000"/>
              </w:rPr>
              <w:t>+1 899 888 2672</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08CD023D" w:rsidR="00640E94" w:rsidRPr="003C2890" w:rsidRDefault="00B805BB">
            <w:pPr>
              <w:pStyle w:val="BodyText"/>
              <w:spacing w:before="0"/>
              <w:rPr>
                <w:rFonts w:ascii="Arial" w:hAnsi="Arial"/>
                <w:b/>
                <w:bCs/>
                <w:color w:val="000000"/>
              </w:rPr>
            </w:pPr>
            <w:r>
              <w:rPr>
                <w:rFonts w:ascii="Arial" w:hAnsi="Arial"/>
                <w:b/>
                <w:bCs/>
                <w:color w:val="000000"/>
              </w:rPr>
              <w:t>Wes Short</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6621911A" w:rsidR="003C2890" w:rsidRDefault="00405698">
            <w:pPr>
              <w:pStyle w:val="BodyText"/>
              <w:spacing w:before="0"/>
              <w:rPr>
                <w:rFonts w:ascii="Arial" w:hAnsi="Arial"/>
              </w:rPr>
            </w:pPr>
            <w:r>
              <w:rPr>
                <w:rFonts w:ascii="Arial" w:hAnsi="Arial"/>
                <w:b/>
                <w:bCs/>
                <w:color w:val="000000"/>
              </w:rPr>
              <w:t>CFO</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69D25458" w:rsidR="00640E94" w:rsidRDefault="003B4702" w:rsidP="003C2890">
            <w:pPr>
              <w:pStyle w:val="BodyText"/>
              <w:spacing w:before="0"/>
              <w:rPr>
                <w:rFonts w:ascii="Arial" w:hAnsi="Arial"/>
              </w:rPr>
            </w:pPr>
            <w:hyperlink r:id="rId9" w:history="1">
              <w:r w:rsidR="00405698" w:rsidRPr="002628F5">
                <w:rPr>
                  <w:rStyle w:val="Hyperlink"/>
                  <w:rFonts w:ascii="Arial" w:hAnsi="Arial"/>
                  <w:b/>
                  <w:bCs/>
                </w:rPr>
                <w:t>wshort@cosaresources.ca</w:t>
              </w:r>
            </w:hyperlink>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6DE11929" w:rsidR="00640E94" w:rsidRDefault="00405698">
            <w:pPr>
              <w:pStyle w:val="BodyText"/>
              <w:spacing w:before="0"/>
              <w:rPr>
                <w:rFonts w:ascii="Arial" w:hAnsi="Arial"/>
              </w:rPr>
            </w:pPr>
            <w:r>
              <w:rPr>
                <w:rFonts w:ascii="Arial" w:hAnsi="Arial"/>
              </w:rPr>
              <w:t xml:space="preserve">cosaresources.ca </w:t>
            </w:r>
          </w:p>
        </w:tc>
      </w:tr>
    </w:tbl>
    <w:p w14:paraId="492DA32D"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C848" w14:textId="77777777" w:rsidR="003B4702" w:rsidRDefault="003B4702">
      <w:r>
        <w:separator/>
      </w:r>
    </w:p>
  </w:endnote>
  <w:endnote w:type="continuationSeparator" w:id="0">
    <w:p w14:paraId="0410F137" w14:textId="77777777" w:rsidR="003B4702" w:rsidRDefault="003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FB55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1D43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7718" w14:textId="77777777" w:rsidR="003B4702" w:rsidRDefault="003B4702">
      <w:r>
        <w:separator/>
      </w:r>
    </w:p>
  </w:footnote>
  <w:footnote w:type="continuationSeparator" w:id="0">
    <w:p w14:paraId="00D477FB" w14:textId="77777777" w:rsidR="003B4702" w:rsidRDefault="003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2"/>
  </w:num>
  <w:num w:numId="5">
    <w:abstractNumId w:val="3"/>
  </w:num>
  <w:num w:numId="6">
    <w:abstractNumId w:val="26"/>
  </w:num>
  <w:num w:numId="7">
    <w:abstractNumId w:val="8"/>
  </w:num>
  <w:num w:numId="8">
    <w:abstractNumId w:val="28"/>
  </w:num>
  <w:num w:numId="9">
    <w:abstractNumId w:val="22"/>
  </w:num>
  <w:num w:numId="10">
    <w:abstractNumId w:val="10"/>
  </w:num>
  <w:num w:numId="11">
    <w:abstractNumId w:val="15"/>
  </w:num>
  <w:num w:numId="12">
    <w:abstractNumId w:val="16"/>
  </w:num>
  <w:num w:numId="13">
    <w:abstractNumId w:val="30"/>
  </w:num>
  <w:num w:numId="14">
    <w:abstractNumId w:val="6"/>
  </w:num>
  <w:num w:numId="15">
    <w:abstractNumId w:val="9"/>
  </w:num>
  <w:num w:numId="16">
    <w:abstractNumId w:val="11"/>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5"/>
  </w:num>
  <w:num w:numId="24">
    <w:abstractNumId w:val="21"/>
  </w:num>
  <w:num w:numId="25">
    <w:abstractNumId w:val="4"/>
  </w:num>
  <w:num w:numId="26">
    <w:abstractNumId w:val="29"/>
  </w:num>
  <w:num w:numId="27">
    <w:abstractNumId w:val="31"/>
  </w:num>
  <w:num w:numId="28">
    <w:abstractNumId w:val="5"/>
  </w:num>
  <w:num w:numId="29">
    <w:abstractNumId w:val="14"/>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2F3"/>
    <w:rsid w:val="0004078C"/>
    <w:rsid w:val="00040993"/>
    <w:rsid w:val="00054D9D"/>
    <w:rsid w:val="000632B6"/>
    <w:rsid w:val="00072640"/>
    <w:rsid w:val="00096E3D"/>
    <w:rsid w:val="000975FB"/>
    <w:rsid w:val="000A091C"/>
    <w:rsid w:val="000A1AB1"/>
    <w:rsid w:val="000A201A"/>
    <w:rsid w:val="000C242D"/>
    <w:rsid w:val="000E5706"/>
    <w:rsid w:val="00116B8B"/>
    <w:rsid w:val="00133434"/>
    <w:rsid w:val="00135549"/>
    <w:rsid w:val="00150B7C"/>
    <w:rsid w:val="00186226"/>
    <w:rsid w:val="001C348D"/>
    <w:rsid w:val="001D18C6"/>
    <w:rsid w:val="00200082"/>
    <w:rsid w:val="00221BCE"/>
    <w:rsid w:val="0023566E"/>
    <w:rsid w:val="0026194B"/>
    <w:rsid w:val="00275D53"/>
    <w:rsid w:val="002B06BF"/>
    <w:rsid w:val="002B1183"/>
    <w:rsid w:val="002C281E"/>
    <w:rsid w:val="002D1CE1"/>
    <w:rsid w:val="002F00EB"/>
    <w:rsid w:val="002F1910"/>
    <w:rsid w:val="002F772B"/>
    <w:rsid w:val="00312574"/>
    <w:rsid w:val="0032758F"/>
    <w:rsid w:val="00340DF7"/>
    <w:rsid w:val="00343CC8"/>
    <w:rsid w:val="00347ABE"/>
    <w:rsid w:val="00360190"/>
    <w:rsid w:val="003669A9"/>
    <w:rsid w:val="00371A64"/>
    <w:rsid w:val="003821C7"/>
    <w:rsid w:val="00387FA8"/>
    <w:rsid w:val="003B4702"/>
    <w:rsid w:val="003C2890"/>
    <w:rsid w:val="003D4F8C"/>
    <w:rsid w:val="00403E85"/>
    <w:rsid w:val="00405698"/>
    <w:rsid w:val="00422278"/>
    <w:rsid w:val="00466CB9"/>
    <w:rsid w:val="00470D5E"/>
    <w:rsid w:val="00473AA7"/>
    <w:rsid w:val="00487A9B"/>
    <w:rsid w:val="004940AD"/>
    <w:rsid w:val="004B41F0"/>
    <w:rsid w:val="004E332A"/>
    <w:rsid w:val="004E7AF2"/>
    <w:rsid w:val="004F4E56"/>
    <w:rsid w:val="00512A82"/>
    <w:rsid w:val="0052022B"/>
    <w:rsid w:val="00527306"/>
    <w:rsid w:val="005408BD"/>
    <w:rsid w:val="005453C8"/>
    <w:rsid w:val="0055117E"/>
    <w:rsid w:val="00564F01"/>
    <w:rsid w:val="005961D3"/>
    <w:rsid w:val="005A51DF"/>
    <w:rsid w:val="005B17F5"/>
    <w:rsid w:val="005B1EBB"/>
    <w:rsid w:val="005B2DD6"/>
    <w:rsid w:val="005F1EB1"/>
    <w:rsid w:val="005F6D8F"/>
    <w:rsid w:val="00605E4F"/>
    <w:rsid w:val="00620E7F"/>
    <w:rsid w:val="00626E43"/>
    <w:rsid w:val="00630525"/>
    <w:rsid w:val="00633ED3"/>
    <w:rsid w:val="00635E9A"/>
    <w:rsid w:val="00636D6C"/>
    <w:rsid w:val="00640E94"/>
    <w:rsid w:val="00661843"/>
    <w:rsid w:val="006620AE"/>
    <w:rsid w:val="00681E52"/>
    <w:rsid w:val="006877E1"/>
    <w:rsid w:val="006A4904"/>
    <w:rsid w:val="006A5E46"/>
    <w:rsid w:val="006B3B0F"/>
    <w:rsid w:val="006B45A9"/>
    <w:rsid w:val="006B7CC9"/>
    <w:rsid w:val="006C6ADD"/>
    <w:rsid w:val="006D1A06"/>
    <w:rsid w:val="006D677F"/>
    <w:rsid w:val="006E1DCD"/>
    <w:rsid w:val="006F34FA"/>
    <w:rsid w:val="006F6FEF"/>
    <w:rsid w:val="007005BA"/>
    <w:rsid w:val="00710942"/>
    <w:rsid w:val="00724502"/>
    <w:rsid w:val="00746A5E"/>
    <w:rsid w:val="00760152"/>
    <w:rsid w:val="0076262E"/>
    <w:rsid w:val="00773AE9"/>
    <w:rsid w:val="007861E7"/>
    <w:rsid w:val="007A5131"/>
    <w:rsid w:val="007D1442"/>
    <w:rsid w:val="007F1E88"/>
    <w:rsid w:val="0082181B"/>
    <w:rsid w:val="00893C01"/>
    <w:rsid w:val="008A3E5E"/>
    <w:rsid w:val="008A6642"/>
    <w:rsid w:val="008B66EA"/>
    <w:rsid w:val="008B7E92"/>
    <w:rsid w:val="008E3A38"/>
    <w:rsid w:val="008F13DE"/>
    <w:rsid w:val="009049F6"/>
    <w:rsid w:val="00922A46"/>
    <w:rsid w:val="00952B20"/>
    <w:rsid w:val="00956A6F"/>
    <w:rsid w:val="00970D79"/>
    <w:rsid w:val="0097313B"/>
    <w:rsid w:val="00984AA6"/>
    <w:rsid w:val="00992111"/>
    <w:rsid w:val="009D292E"/>
    <w:rsid w:val="009D3404"/>
    <w:rsid w:val="00A00EEB"/>
    <w:rsid w:val="00A110C9"/>
    <w:rsid w:val="00A25CBE"/>
    <w:rsid w:val="00A36A30"/>
    <w:rsid w:val="00A41F33"/>
    <w:rsid w:val="00A47914"/>
    <w:rsid w:val="00A6637A"/>
    <w:rsid w:val="00A74111"/>
    <w:rsid w:val="00A90505"/>
    <w:rsid w:val="00AA24BE"/>
    <w:rsid w:val="00AC6BAB"/>
    <w:rsid w:val="00AE35A6"/>
    <w:rsid w:val="00AE4B2B"/>
    <w:rsid w:val="00AF1651"/>
    <w:rsid w:val="00B030CB"/>
    <w:rsid w:val="00B03660"/>
    <w:rsid w:val="00B12E78"/>
    <w:rsid w:val="00B22288"/>
    <w:rsid w:val="00B22A3C"/>
    <w:rsid w:val="00B32160"/>
    <w:rsid w:val="00B4005D"/>
    <w:rsid w:val="00B60AFB"/>
    <w:rsid w:val="00B60F6C"/>
    <w:rsid w:val="00B7100D"/>
    <w:rsid w:val="00B73B6B"/>
    <w:rsid w:val="00B805BB"/>
    <w:rsid w:val="00B900E3"/>
    <w:rsid w:val="00B931CC"/>
    <w:rsid w:val="00BA7426"/>
    <w:rsid w:val="00BD0B7D"/>
    <w:rsid w:val="00BE3942"/>
    <w:rsid w:val="00BE39F8"/>
    <w:rsid w:val="00BF61CB"/>
    <w:rsid w:val="00C14C33"/>
    <w:rsid w:val="00C21922"/>
    <w:rsid w:val="00C23311"/>
    <w:rsid w:val="00C27A18"/>
    <w:rsid w:val="00C370C2"/>
    <w:rsid w:val="00C40560"/>
    <w:rsid w:val="00C6383E"/>
    <w:rsid w:val="00C73DB8"/>
    <w:rsid w:val="00C75366"/>
    <w:rsid w:val="00C90A33"/>
    <w:rsid w:val="00C922D1"/>
    <w:rsid w:val="00CA36C0"/>
    <w:rsid w:val="00CC27EE"/>
    <w:rsid w:val="00CD6DF2"/>
    <w:rsid w:val="00CE2E99"/>
    <w:rsid w:val="00CF5CD7"/>
    <w:rsid w:val="00D23202"/>
    <w:rsid w:val="00D62A50"/>
    <w:rsid w:val="00D6532D"/>
    <w:rsid w:val="00D80438"/>
    <w:rsid w:val="00D8338F"/>
    <w:rsid w:val="00D857F1"/>
    <w:rsid w:val="00D943CB"/>
    <w:rsid w:val="00DC14B4"/>
    <w:rsid w:val="00DD123F"/>
    <w:rsid w:val="00E051C5"/>
    <w:rsid w:val="00E052E3"/>
    <w:rsid w:val="00E23FF5"/>
    <w:rsid w:val="00E36141"/>
    <w:rsid w:val="00E74F24"/>
    <w:rsid w:val="00E77638"/>
    <w:rsid w:val="00E77EB7"/>
    <w:rsid w:val="00E81A71"/>
    <w:rsid w:val="00E83E58"/>
    <w:rsid w:val="00EA44C0"/>
    <w:rsid w:val="00EE7AF6"/>
    <w:rsid w:val="00F52DCF"/>
    <w:rsid w:val="00F55B84"/>
    <w:rsid w:val="00F640E1"/>
    <w:rsid w:val="00F714F9"/>
    <w:rsid w:val="00F7212E"/>
    <w:rsid w:val="00F728CC"/>
    <w:rsid w:val="00FA34B7"/>
    <w:rsid w:val="00FC497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hort@cosaresource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3</cp:revision>
  <cp:lastPrinted>2019-11-01T18:01:00Z</cp:lastPrinted>
  <dcterms:created xsi:type="dcterms:W3CDTF">2022-05-05T02:58:00Z</dcterms:created>
  <dcterms:modified xsi:type="dcterms:W3CDTF">2022-05-05T02:58:00Z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