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DE21" w14:textId="77777777" w:rsidR="0031779E" w:rsidRPr="002B4EB6" w:rsidRDefault="005175A9" w:rsidP="002B4EB6">
      <w:pPr>
        <w:spacing w:before="120" w:after="120" w:line="360" w:lineRule="auto"/>
        <w:rPr>
          <w:rFonts w:asciiTheme="minorHAnsi" w:hAnsiTheme="minorHAnsi" w:cstheme="minorHAnsi"/>
        </w:rPr>
      </w:pPr>
      <w:r w:rsidRPr="002B4EB6">
        <w:rPr>
          <w:rFonts w:asciiTheme="minorHAnsi" w:hAnsiTheme="minorHAnsi" w:cstheme="minorHAnsi"/>
          <w:noProof/>
          <w:lang w:val="en-US"/>
        </w:rPr>
        <w:drawing>
          <wp:inline distT="0" distB="0" distL="0" distR="0" wp14:anchorId="1CA2FB7B" wp14:editId="339667B7">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84705" cy="560705"/>
                    </a:xfrm>
                    <a:prstGeom prst="rect">
                      <a:avLst/>
                    </a:prstGeom>
                    <a:ln/>
                  </pic:spPr>
                </pic:pic>
              </a:graphicData>
            </a:graphic>
          </wp:inline>
        </w:drawing>
      </w:r>
    </w:p>
    <w:p w14:paraId="199FD267" w14:textId="77777777" w:rsidR="003E4181" w:rsidRPr="003E4181" w:rsidRDefault="003E4181" w:rsidP="003E418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bookmarkStart w:id="0" w:name="_gjdgxs" w:colFirst="0" w:colLast="0"/>
      <w:bookmarkEnd w:id="0"/>
      <w:r w:rsidRPr="003E4181">
        <w:rPr>
          <w:rFonts w:ascii="PT Sans" w:eastAsia="Times New Roman" w:hAnsi="PT Sans" w:cs="Times New Roman"/>
          <w:color w:val="222222"/>
          <w:sz w:val="45"/>
          <w:szCs w:val="45"/>
          <w:shd w:val="clear" w:color="auto" w:fill="FAFAFA"/>
        </w:rPr>
        <w:t>NetCents Technology Provides Review of 2018 Corporate Advancements</w:t>
      </w:r>
    </w:p>
    <w:p w14:paraId="643C9626" w14:textId="073A338D" w:rsidR="006C03A9" w:rsidRPr="002B4EB6" w:rsidRDefault="00616358" w:rsidP="002B4EB6">
      <w:pPr>
        <w:pStyle w:val="Normal0"/>
        <w:spacing w:before="120" w:after="120" w:line="360" w:lineRule="auto"/>
        <w:rPr>
          <w:rFonts w:asciiTheme="minorHAnsi" w:hAnsiTheme="minorHAnsi" w:cstheme="minorHAnsi"/>
        </w:rPr>
      </w:pPr>
      <w:r w:rsidRPr="002B4EB6">
        <w:rPr>
          <w:rFonts w:asciiTheme="minorHAnsi" w:hAnsiTheme="minorHAnsi" w:cstheme="minorHAnsi"/>
          <w:b/>
        </w:rPr>
        <w:t xml:space="preserve">VANCOUVER, B.C., </w:t>
      </w:r>
      <w:r w:rsidR="00E77D2E" w:rsidRPr="002B4EB6">
        <w:rPr>
          <w:rFonts w:asciiTheme="minorHAnsi" w:hAnsiTheme="minorHAnsi" w:cstheme="minorHAnsi"/>
          <w:b/>
        </w:rPr>
        <w:t xml:space="preserve">January </w:t>
      </w:r>
      <w:r w:rsidR="002B4EB6" w:rsidRPr="002B4EB6">
        <w:rPr>
          <w:rFonts w:asciiTheme="minorHAnsi" w:hAnsiTheme="minorHAnsi" w:cstheme="minorHAnsi"/>
          <w:b/>
        </w:rPr>
        <w:t>7</w:t>
      </w:r>
      <w:r w:rsidR="00E77D2E" w:rsidRPr="002B4EB6">
        <w:rPr>
          <w:rFonts w:asciiTheme="minorHAnsi" w:hAnsiTheme="minorHAnsi" w:cstheme="minorHAnsi"/>
          <w:b/>
        </w:rPr>
        <w:t xml:space="preserve">, 2019 </w:t>
      </w:r>
      <w:r w:rsidR="005175A9" w:rsidRPr="002B4EB6">
        <w:rPr>
          <w:rFonts w:asciiTheme="minorHAnsi" w:hAnsiTheme="minorHAnsi" w:cstheme="minorHAnsi"/>
        </w:rPr>
        <w:t xml:space="preserve"> – </w:t>
      </w:r>
      <w:r w:rsidR="005175A9" w:rsidRPr="002B4EB6">
        <w:rPr>
          <w:rFonts w:asciiTheme="minorHAnsi" w:hAnsiTheme="minorHAnsi" w:cstheme="minorHAnsi"/>
          <w:b/>
        </w:rPr>
        <w:t>NetCents Technology Inc.</w:t>
      </w:r>
      <w:r w:rsidR="005175A9" w:rsidRPr="002B4EB6">
        <w:rPr>
          <w:rFonts w:asciiTheme="minorHAnsi" w:hAnsiTheme="minorHAnsi" w:cstheme="minorHAnsi"/>
        </w:rPr>
        <w:t xml:space="preserve"> (“</w:t>
      </w:r>
      <w:r w:rsidR="005175A9" w:rsidRPr="002B4EB6">
        <w:rPr>
          <w:rFonts w:asciiTheme="minorHAnsi" w:hAnsiTheme="minorHAnsi" w:cstheme="minorHAnsi"/>
          <w:b/>
        </w:rPr>
        <w:t>NetCents</w:t>
      </w:r>
      <w:r w:rsidR="005175A9" w:rsidRPr="002B4EB6">
        <w:rPr>
          <w:rFonts w:asciiTheme="minorHAnsi" w:hAnsiTheme="minorHAnsi" w:cstheme="minorHAnsi"/>
        </w:rPr>
        <w:t>” or the “</w:t>
      </w:r>
      <w:r w:rsidR="005175A9" w:rsidRPr="002B4EB6">
        <w:rPr>
          <w:rFonts w:asciiTheme="minorHAnsi" w:hAnsiTheme="minorHAnsi" w:cstheme="minorHAnsi"/>
          <w:b/>
        </w:rPr>
        <w:t>Company</w:t>
      </w:r>
      <w:r w:rsidR="005175A9" w:rsidRPr="002B4EB6">
        <w:rPr>
          <w:rFonts w:asciiTheme="minorHAnsi" w:hAnsiTheme="minorHAnsi" w:cstheme="minorHAnsi"/>
        </w:rPr>
        <w:t>") (CSE: NC / Frankfurt: 26N</w:t>
      </w:r>
      <w:r w:rsidR="00DB0576" w:rsidRPr="002B4EB6">
        <w:rPr>
          <w:rFonts w:asciiTheme="minorHAnsi" w:hAnsiTheme="minorHAnsi" w:cstheme="minorHAnsi"/>
        </w:rPr>
        <w:t>)</w:t>
      </w:r>
      <w:r w:rsidR="00E77D2E" w:rsidRPr="002B4EB6">
        <w:rPr>
          <w:rFonts w:asciiTheme="minorHAnsi" w:hAnsiTheme="minorHAnsi" w:cstheme="minorHAnsi"/>
        </w:rPr>
        <w:t>.</w:t>
      </w:r>
      <w:r w:rsidR="002B4EB6" w:rsidRPr="002B4EB6">
        <w:rPr>
          <w:rFonts w:asciiTheme="minorHAnsi" w:hAnsiTheme="minorHAnsi" w:cstheme="minorHAnsi"/>
        </w:rPr>
        <w:t xml:space="preserve"> The Company would like to provide a corporate recap of </w:t>
      </w:r>
      <w:r w:rsidR="00036388">
        <w:rPr>
          <w:rFonts w:asciiTheme="minorHAnsi" w:hAnsiTheme="minorHAnsi" w:cstheme="minorHAnsi"/>
        </w:rPr>
        <w:t>advancements in</w:t>
      </w:r>
      <w:r w:rsidR="002B4EB6" w:rsidRPr="002B4EB6">
        <w:rPr>
          <w:rFonts w:asciiTheme="minorHAnsi" w:hAnsiTheme="minorHAnsi" w:cstheme="minorHAnsi"/>
        </w:rPr>
        <w:t xml:space="preserve"> 2018.</w:t>
      </w:r>
      <w:r w:rsidR="00E77D2E" w:rsidRPr="002B4EB6">
        <w:rPr>
          <w:rFonts w:asciiTheme="minorHAnsi" w:hAnsiTheme="minorHAnsi" w:cstheme="minorHAnsi"/>
        </w:rPr>
        <w:t xml:space="preserve"> </w:t>
      </w:r>
    </w:p>
    <w:p w14:paraId="34F6CF99" w14:textId="464A245E" w:rsidR="002B4EB6" w:rsidRPr="002B4EB6" w:rsidRDefault="002B4EB6" w:rsidP="002B4EB6">
      <w:pPr>
        <w:pStyle w:val="Normal0"/>
        <w:spacing w:before="120" w:after="120" w:line="360" w:lineRule="auto"/>
        <w:rPr>
          <w:rFonts w:asciiTheme="minorHAnsi" w:hAnsiTheme="minorHAnsi" w:cstheme="minorHAnsi"/>
        </w:rPr>
      </w:pPr>
      <w:r w:rsidRPr="002B4EB6">
        <w:rPr>
          <w:rFonts w:asciiTheme="minorHAnsi" w:hAnsiTheme="minorHAnsi" w:cstheme="minorHAnsi"/>
        </w:rPr>
        <w:t xml:space="preserve">In 2018, the Company upgraded the platform from a cryptocurrency payment processing platform to a robust </w:t>
      </w:r>
      <w:r w:rsidR="00036388">
        <w:rPr>
          <w:rFonts w:asciiTheme="minorHAnsi" w:hAnsiTheme="minorHAnsi" w:cstheme="minorHAnsi"/>
        </w:rPr>
        <w:t xml:space="preserve">cryptocurrency </w:t>
      </w:r>
      <w:r w:rsidRPr="002B4EB6">
        <w:rPr>
          <w:rFonts w:asciiTheme="minorHAnsi" w:hAnsiTheme="minorHAnsi" w:cstheme="minorHAnsi"/>
        </w:rPr>
        <w:t>SaaS platform that is scalable and flexible from both the partner and merchant perspective. The platform upgrades include:</w:t>
      </w:r>
    </w:p>
    <w:p w14:paraId="346211AF" w14:textId="4584F562" w:rsidR="000F75D8" w:rsidRPr="002B4EB6" w:rsidRDefault="002B4EB6" w:rsidP="002B4EB6">
      <w:pPr>
        <w:pStyle w:val="Normal0"/>
        <w:numPr>
          <w:ilvl w:val="0"/>
          <w:numId w:val="20"/>
        </w:numPr>
        <w:spacing w:before="120" w:after="120" w:line="360" w:lineRule="auto"/>
        <w:rPr>
          <w:rFonts w:asciiTheme="minorHAnsi" w:hAnsiTheme="minorHAnsi" w:cstheme="minorHAnsi"/>
        </w:rPr>
      </w:pPr>
      <w:r w:rsidRPr="002B4EB6">
        <w:rPr>
          <w:rFonts w:asciiTheme="minorHAnsi" w:hAnsiTheme="minorHAnsi" w:cstheme="minorHAnsi"/>
        </w:rPr>
        <w:t>Upgraded</w:t>
      </w:r>
      <w:r w:rsidR="000F75D8" w:rsidRPr="002B4EB6">
        <w:rPr>
          <w:rFonts w:asciiTheme="minorHAnsi" w:hAnsiTheme="minorHAnsi" w:cstheme="minorHAnsi"/>
        </w:rPr>
        <w:t xml:space="preserve"> </w:t>
      </w:r>
      <w:r w:rsidRPr="002B4EB6">
        <w:rPr>
          <w:rFonts w:asciiTheme="minorHAnsi" w:hAnsiTheme="minorHAnsi" w:cstheme="minorHAnsi"/>
        </w:rPr>
        <w:t>user interface</w:t>
      </w:r>
      <w:r w:rsidR="000F75D8" w:rsidRPr="002B4EB6">
        <w:rPr>
          <w:rFonts w:asciiTheme="minorHAnsi" w:hAnsiTheme="minorHAnsi" w:cstheme="minorHAnsi"/>
        </w:rPr>
        <w:t xml:space="preserve"> and </w:t>
      </w:r>
      <w:r w:rsidRPr="002B4EB6">
        <w:rPr>
          <w:rFonts w:asciiTheme="minorHAnsi" w:hAnsiTheme="minorHAnsi" w:cstheme="minorHAnsi"/>
        </w:rPr>
        <w:t xml:space="preserve">merchant payment </w:t>
      </w:r>
      <w:r w:rsidR="000F75D8" w:rsidRPr="002B4EB6">
        <w:rPr>
          <w:rFonts w:asciiTheme="minorHAnsi" w:hAnsiTheme="minorHAnsi" w:cstheme="minorHAnsi"/>
        </w:rPr>
        <w:t xml:space="preserve">gateway </w:t>
      </w:r>
      <w:r w:rsidRPr="002B4EB6">
        <w:rPr>
          <w:rFonts w:asciiTheme="minorHAnsi" w:hAnsiTheme="minorHAnsi" w:cstheme="minorHAnsi"/>
        </w:rPr>
        <w:t xml:space="preserve">frontend </w:t>
      </w:r>
    </w:p>
    <w:p w14:paraId="314D3639" w14:textId="153A4874" w:rsidR="000F75D8" w:rsidRPr="002B4EB6" w:rsidRDefault="000F75D8" w:rsidP="002B4EB6">
      <w:pPr>
        <w:pStyle w:val="Normal0"/>
        <w:numPr>
          <w:ilvl w:val="0"/>
          <w:numId w:val="20"/>
        </w:numPr>
        <w:spacing w:before="120" w:after="120" w:line="360" w:lineRule="auto"/>
        <w:rPr>
          <w:rFonts w:asciiTheme="minorHAnsi" w:hAnsiTheme="minorHAnsi" w:cstheme="minorHAnsi"/>
        </w:rPr>
      </w:pPr>
      <w:r w:rsidRPr="002B4EB6">
        <w:rPr>
          <w:rFonts w:asciiTheme="minorHAnsi" w:hAnsiTheme="minorHAnsi" w:cstheme="minorHAnsi"/>
        </w:rPr>
        <w:t>Deployed iOS and Android merchant and user app</w:t>
      </w:r>
      <w:r w:rsidR="002B4EB6" w:rsidRPr="002B4EB6">
        <w:rPr>
          <w:rFonts w:asciiTheme="minorHAnsi" w:hAnsiTheme="minorHAnsi" w:cstheme="minorHAnsi"/>
        </w:rPr>
        <w:t>lications</w:t>
      </w:r>
    </w:p>
    <w:p w14:paraId="7A2605C4" w14:textId="77FA3D3D" w:rsidR="000F75D8" w:rsidRPr="002B4EB6" w:rsidRDefault="000F75D8" w:rsidP="002B4EB6">
      <w:pPr>
        <w:pStyle w:val="Normal0"/>
        <w:numPr>
          <w:ilvl w:val="0"/>
          <w:numId w:val="20"/>
        </w:numPr>
        <w:spacing w:before="120" w:after="120" w:line="360" w:lineRule="auto"/>
        <w:rPr>
          <w:rFonts w:asciiTheme="minorHAnsi" w:hAnsiTheme="minorHAnsi" w:cstheme="minorHAnsi"/>
        </w:rPr>
      </w:pPr>
      <w:r w:rsidRPr="002B4EB6">
        <w:rPr>
          <w:rFonts w:asciiTheme="minorHAnsi" w:hAnsiTheme="minorHAnsi" w:cstheme="minorHAnsi"/>
        </w:rPr>
        <w:t>Implemented the Instant Settlements program</w:t>
      </w:r>
    </w:p>
    <w:p w14:paraId="1FB820F9" w14:textId="560C48B7" w:rsidR="000F75D8" w:rsidRPr="002B4EB6" w:rsidRDefault="00DF5EEF" w:rsidP="002B4EB6">
      <w:pPr>
        <w:pStyle w:val="Normal0"/>
        <w:numPr>
          <w:ilvl w:val="0"/>
          <w:numId w:val="20"/>
        </w:numPr>
        <w:spacing w:before="120" w:after="120" w:line="360" w:lineRule="auto"/>
        <w:rPr>
          <w:rFonts w:asciiTheme="minorHAnsi" w:hAnsiTheme="minorHAnsi" w:cstheme="minorHAnsi"/>
        </w:rPr>
      </w:pPr>
      <w:r w:rsidRPr="002B4EB6">
        <w:rPr>
          <w:rFonts w:asciiTheme="minorHAnsi" w:hAnsiTheme="minorHAnsi" w:cstheme="minorHAnsi"/>
        </w:rPr>
        <w:t>Developed and d</w:t>
      </w:r>
      <w:r w:rsidR="000F75D8" w:rsidRPr="002B4EB6">
        <w:rPr>
          <w:rFonts w:asciiTheme="minorHAnsi" w:hAnsiTheme="minorHAnsi" w:cstheme="minorHAnsi"/>
        </w:rPr>
        <w:t>eployed multiple terminal</w:t>
      </w:r>
      <w:r w:rsidR="002B4EB6" w:rsidRPr="002B4EB6">
        <w:rPr>
          <w:rFonts w:asciiTheme="minorHAnsi" w:hAnsiTheme="minorHAnsi" w:cstheme="minorHAnsi"/>
        </w:rPr>
        <w:t xml:space="preserve">, </w:t>
      </w:r>
      <w:r w:rsidR="000F75D8" w:rsidRPr="002B4EB6">
        <w:rPr>
          <w:rFonts w:asciiTheme="minorHAnsi" w:hAnsiTheme="minorHAnsi" w:cstheme="minorHAnsi"/>
        </w:rPr>
        <w:t>POS</w:t>
      </w:r>
      <w:r w:rsidR="002B4EB6" w:rsidRPr="002B4EB6">
        <w:rPr>
          <w:rFonts w:asciiTheme="minorHAnsi" w:hAnsiTheme="minorHAnsi" w:cstheme="minorHAnsi"/>
        </w:rPr>
        <w:t>, and eCommerce</w:t>
      </w:r>
      <w:r w:rsidR="000F75D8" w:rsidRPr="002B4EB6">
        <w:rPr>
          <w:rFonts w:asciiTheme="minorHAnsi" w:hAnsiTheme="minorHAnsi" w:cstheme="minorHAnsi"/>
        </w:rPr>
        <w:t xml:space="preserve"> integrations</w:t>
      </w:r>
    </w:p>
    <w:p w14:paraId="75D5B22B" w14:textId="304E828D" w:rsidR="000F75D8" w:rsidRPr="002B4EB6" w:rsidRDefault="00DF5EEF" w:rsidP="002B4EB6">
      <w:pPr>
        <w:pStyle w:val="Normal0"/>
        <w:numPr>
          <w:ilvl w:val="0"/>
          <w:numId w:val="20"/>
        </w:numPr>
        <w:spacing w:before="120" w:after="120" w:line="360" w:lineRule="auto"/>
        <w:rPr>
          <w:rFonts w:asciiTheme="minorHAnsi" w:hAnsiTheme="minorHAnsi" w:cstheme="minorHAnsi"/>
        </w:rPr>
      </w:pPr>
      <w:r w:rsidRPr="002B4EB6">
        <w:rPr>
          <w:rFonts w:asciiTheme="minorHAnsi" w:hAnsiTheme="minorHAnsi" w:cstheme="minorHAnsi"/>
        </w:rPr>
        <w:t>Developed and d</w:t>
      </w:r>
      <w:r w:rsidR="000F75D8" w:rsidRPr="002B4EB6">
        <w:rPr>
          <w:rFonts w:asciiTheme="minorHAnsi" w:hAnsiTheme="minorHAnsi" w:cstheme="minorHAnsi"/>
        </w:rPr>
        <w:t>eployed a cloud-based SaaS platform</w:t>
      </w:r>
    </w:p>
    <w:p w14:paraId="222100ED" w14:textId="4EF32E8B" w:rsidR="000F75D8" w:rsidRPr="002B4EB6" w:rsidRDefault="00A813BD" w:rsidP="002B4EB6">
      <w:pPr>
        <w:pStyle w:val="Normal0"/>
        <w:numPr>
          <w:ilvl w:val="0"/>
          <w:numId w:val="20"/>
        </w:numPr>
        <w:spacing w:before="120" w:after="120" w:line="360" w:lineRule="auto"/>
        <w:rPr>
          <w:rFonts w:asciiTheme="minorHAnsi" w:hAnsiTheme="minorHAnsi" w:cstheme="minorHAnsi"/>
        </w:rPr>
      </w:pPr>
      <w:r w:rsidRPr="002B4EB6">
        <w:rPr>
          <w:rFonts w:asciiTheme="minorHAnsi" w:hAnsiTheme="minorHAnsi" w:cstheme="minorHAnsi"/>
        </w:rPr>
        <w:t>Developed and d</w:t>
      </w:r>
      <w:r w:rsidR="000F75D8" w:rsidRPr="002B4EB6">
        <w:rPr>
          <w:rFonts w:asciiTheme="minorHAnsi" w:hAnsiTheme="minorHAnsi" w:cstheme="minorHAnsi"/>
        </w:rPr>
        <w:t>eployed an Asset Management Platform</w:t>
      </w:r>
    </w:p>
    <w:p w14:paraId="672D4DC0" w14:textId="624D63BC" w:rsidR="000F75D8" w:rsidRPr="002B4EB6" w:rsidRDefault="000F75D8" w:rsidP="002B4EB6">
      <w:pPr>
        <w:pStyle w:val="Normal0"/>
        <w:numPr>
          <w:ilvl w:val="0"/>
          <w:numId w:val="20"/>
        </w:numPr>
        <w:spacing w:before="120" w:after="120" w:line="360" w:lineRule="auto"/>
        <w:rPr>
          <w:rFonts w:asciiTheme="minorHAnsi" w:hAnsiTheme="minorHAnsi" w:cstheme="minorHAnsi"/>
        </w:rPr>
      </w:pPr>
      <w:r w:rsidRPr="002B4EB6">
        <w:rPr>
          <w:rFonts w:asciiTheme="minorHAnsi" w:hAnsiTheme="minorHAnsi" w:cstheme="minorHAnsi"/>
        </w:rPr>
        <w:t>Integrated cloud computing</w:t>
      </w:r>
    </w:p>
    <w:p w14:paraId="308D119E" w14:textId="69A70627" w:rsidR="002B4EB6" w:rsidRPr="002B4EB6" w:rsidRDefault="000F75D8" w:rsidP="002B4EB6">
      <w:pPr>
        <w:pStyle w:val="Normal0"/>
        <w:numPr>
          <w:ilvl w:val="0"/>
          <w:numId w:val="20"/>
        </w:numPr>
        <w:spacing w:before="120" w:after="120" w:line="360" w:lineRule="auto"/>
        <w:rPr>
          <w:rFonts w:asciiTheme="minorHAnsi" w:hAnsiTheme="minorHAnsi" w:cstheme="minorHAnsi"/>
        </w:rPr>
      </w:pPr>
      <w:r w:rsidRPr="002B4EB6">
        <w:rPr>
          <w:rFonts w:asciiTheme="minorHAnsi" w:hAnsiTheme="minorHAnsi" w:cstheme="minorHAnsi"/>
        </w:rPr>
        <w:t>Upgraded the NC Exchange</w:t>
      </w:r>
    </w:p>
    <w:p w14:paraId="47A3F2D0" w14:textId="62B2608B" w:rsidR="002B4EB6" w:rsidRPr="002B4EB6" w:rsidRDefault="002B4EB6" w:rsidP="002B4EB6">
      <w:pPr>
        <w:pStyle w:val="Normal0"/>
        <w:numPr>
          <w:ilvl w:val="0"/>
          <w:numId w:val="20"/>
        </w:numPr>
        <w:spacing w:before="120" w:after="120" w:line="360" w:lineRule="auto"/>
        <w:rPr>
          <w:rFonts w:asciiTheme="minorHAnsi" w:hAnsiTheme="minorHAnsi" w:cstheme="minorHAnsi"/>
        </w:rPr>
      </w:pPr>
      <w:r w:rsidRPr="002B4EB6">
        <w:rPr>
          <w:rFonts w:asciiTheme="minorHAnsi" w:hAnsiTheme="minorHAnsi" w:cstheme="minorHAnsi"/>
        </w:rPr>
        <w:t>Added four new cryptocurrencies to the platform</w:t>
      </w:r>
    </w:p>
    <w:p w14:paraId="117425EE" w14:textId="3FA28346" w:rsidR="000F75D8" w:rsidRPr="002B4EB6" w:rsidRDefault="000F75D8" w:rsidP="002B4EB6">
      <w:pPr>
        <w:pStyle w:val="Normal0"/>
        <w:numPr>
          <w:ilvl w:val="0"/>
          <w:numId w:val="20"/>
        </w:numPr>
        <w:spacing w:before="120" w:after="120" w:line="360" w:lineRule="auto"/>
        <w:rPr>
          <w:rFonts w:asciiTheme="minorHAnsi" w:hAnsiTheme="minorHAnsi" w:cstheme="minorHAnsi"/>
        </w:rPr>
      </w:pPr>
      <w:r w:rsidRPr="002B4EB6">
        <w:rPr>
          <w:rFonts w:asciiTheme="minorHAnsi" w:hAnsiTheme="minorHAnsi" w:cstheme="minorHAnsi"/>
        </w:rPr>
        <w:t>Deployed Partner and Affiliate programs</w:t>
      </w:r>
    </w:p>
    <w:p w14:paraId="6F93B7AA" w14:textId="11FF9DBF" w:rsidR="002B4EB6" w:rsidRDefault="000F75D8" w:rsidP="002B4EB6">
      <w:pPr>
        <w:pStyle w:val="Normal0"/>
        <w:numPr>
          <w:ilvl w:val="0"/>
          <w:numId w:val="20"/>
        </w:numPr>
        <w:spacing w:before="120" w:after="120" w:line="360" w:lineRule="auto"/>
        <w:rPr>
          <w:rFonts w:asciiTheme="minorHAnsi" w:hAnsiTheme="minorHAnsi" w:cstheme="minorHAnsi"/>
        </w:rPr>
      </w:pPr>
      <w:r w:rsidRPr="002B4EB6">
        <w:rPr>
          <w:rFonts w:asciiTheme="minorHAnsi" w:hAnsiTheme="minorHAnsi" w:cstheme="minorHAnsi"/>
        </w:rPr>
        <w:t>Deployed a commission management syste</w:t>
      </w:r>
      <w:r w:rsidR="002B4EB6" w:rsidRPr="002B4EB6">
        <w:rPr>
          <w:rFonts w:asciiTheme="minorHAnsi" w:hAnsiTheme="minorHAnsi" w:cstheme="minorHAnsi"/>
        </w:rPr>
        <w:t>m</w:t>
      </w:r>
    </w:p>
    <w:p w14:paraId="4AE37D69" w14:textId="0129BBC4" w:rsidR="002B4EB6" w:rsidRDefault="002B4EB6" w:rsidP="002B4EB6">
      <w:pPr>
        <w:pStyle w:val="Normal0"/>
        <w:numPr>
          <w:ilvl w:val="0"/>
          <w:numId w:val="20"/>
        </w:numPr>
        <w:spacing w:before="120" w:after="120" w:line="360" w:lineRule="auto"/>
        <w:rPr>
          <w:rFonts w:asciiTheme="minorHAnsi" w:hAnsiTheme="minorHAnsi" w:cstheme="minorHAnsi"/>
        </w:rPr>
      </w:pPr>
      <w:r>
        <w:rPr>
          <w:rFonts w:asciiTheme="minorHAnsi" w:hAnsiTheme="minorHAnsi" w:cstheme="minorHAnsi"/>
        </w:rPr>
        <w:t xml:space="preserve">NetCents cryptocurrency credit card program. The Company is currently finalizing the integration </w:t>
      </w:r>
      <w:r w:rsidR="00036388">
        <w:rPr>
          <w:rFonts w:asciiTheme="minorHAnsi" w:hAnsiTheme="minorHAnsi" w:cstheme="minorHAnsi"/>
        </w:rPr>
        <w:t>of the credit card program into the user portal and Instant Settlement program. The Company</w:t>
      </w:r>
      <w:r>
        <w:rPr>
          <w:rFonts w:asciiTheme="minorHAnsi" w:hAnsiTheme="minorHAnsi" w:cstheme="minorHAnsi"/>
        </w:rPr>
        <w:t xml:space="preserve"> has pushed back its release in Canada to Spring 2019 due to development work required for signed partner and merchant contracts.</w:t>
      </w:r>
    </w:p>
    <w:p w14:paraId="3E173D5F" w14:textId="77777777" w:rsidR="00036388" w:rsidRDefault="00036388" w:rsidP="002B4EB6">
      <w:pPr>
        <w:pStyle w:val="Normal0"/>
        <w:spacing w:before="120" w:after="120" w:line="360" w:lineRule="auto"/>
        <w:rPr>
          <w:rFonts w:asciiTheme="minorHAnsi" w:hAnsiTheme="minorHAnsi" w:cstheme="minorHAnsi"/>
        </w:rPr>
      </w:pPr>
    </w:p>
    <w:p w14:paraId="1B6AAD95" w14:textId="1C893A27" w:rsidR="00607A28" w:rsidRDefault="00607A28" w:rsidP="002B4EB6">
      <w:pPr>
        <w:pStyle w:val="Normal0"/>
        <w:spacing w:before="120" w:after="120" w:line="360" w:lineRule="auto"/>
        <w:rPr>
          <w:rFonts w:asciiTheme="minorHAnsi" w:hAnsiTheme="minorHAnsi" w:cstheme="minorHAnsi"/>
        </w:rPr>
      </w:pPr>
      <w:r>
        <w:rPr>
          <w:rFonts w:asciiTheme="minorHAnsi" w:hAnsiTheme="minorHAnsi" w:cstheme="minorHAnsi"/>
        </w:rPr>
        <w:lastRenderedPageBreak/>
        <w:t>The Company saw a 206% increase in direct merchant signups in the last quarter of 2018. In addition to the announced merchants, the Company has now had over 425 direct merchant signs</w:t>
      </w:r>
      <w:r w:rsidR="00036388">
        <w:rPr>
          <w:rFonts w:asciiTheme="minorHAnsi" w:hAnsiTheme="minorHAnsi" w:cstheme="minorHAnsi"/>
        </w:rPr>
        <w:t>-</w:t>
      </w:r>
      <w:r>
        <w:rPr>
          <w:rFonts w:asciiTheme="minorHAnsi" w:hAnsiTheme="minorHAnsi" w:cstheme="minorHAnsi"/>
        </w:rPr>
        <w:t>ups and the sign-up rate has continued to increase each month.</w:t>
      </w:r>
    </w:p>
    <w:p w14:paraId="77F30D59" w14:textId="748166CC" w:rsidR="002B4EB6" w:rsidRPr="00607A28" w:rsidRDefault="00607A28" w:rsidP="002B4EB6">
      <w:pPr>
        <w:pStyle w:val="Normal0"/>
        <w:spacing w:before="120" w:after="120" w:line="360" w:lineRule="auto"/>
        <w:rPr>
          <w:rFonts w:asciiTheme="minorHAnsi" w:hAnsiTheme="minorHAnsi" w:cstheme="minorHAnsi"/>
        </w:rPr>
      </w:pPr>
      <w:r>
        <w:rPr>
          <w:rFonts w:asciiTheme="minorHAnsi" w:hAnsiTheme="minorHAnsi" w:cstheme="minorHAnsi"/>
        </w:rPr>
        <w:t>In the last half of 2018, the Company has entered into multiple new partner and enterprise merchant agreements, including:</w:t>
      </w:r>
    </w:p>
    <w:p w14:paraId="4FC21352" w14:textId="0DC27444" w:rsidR="000F75D8" w:rsidRPr="002B4EB6" w:rsidRDefault="000F75D8" w:rsidP="002B4EB6">
      <w:pPr>
        <w:pStyle w:val="Normal0"/>
        <w:spacing w:before="120" w:after="120" w:line="360" w:lineRule="auto"/>
        <w:rPr>
          <w:rFonts w:asciiTheme="minorHAnsi" w:hAnsiTheme="minorHAnsi" w:cstheme="minorHAnsi"/>
          <w:b/>
        </w:rPr>
      </w:pPr>
      <w:r w:rsidRPr="002B4EB6">
        <w:rPr>
          <w:rFonts w:asciiTheme="minorHAnsi" w:hAnsiTheme="minorHAnsi" w:cstheme="minorHAnsi"/>
          <w:b/>
        </w:rPr>
        <w:t>Enterprise Merchant Agreements</w:t>
      </w:r>
    </w:p>
    <w:p w14:paraId="2AE72C2D" w14:textId="5B21AF6F" w:rsidR="000F75D8" w:rsidRPr="002B4EB6" w:rsidRDefault="000F75D8" w:rsidP="00607A28">
      <w:pPr>
        <w:pStyle w:val="Normal0"/>
        <w:numPr>
          <w:ilvl w:val="0"/>
          <w:numId w:val="25"/>
        </w:numPr>
        <w:spacing w:before="120" w:after="120" w:line="360" w:lineRule="auto"/>
        <w:rPr>
          <w:rFonts w:asciiTheme="minorHAnsi" w:hAnsiTheme="minorHAnsi" w:cstheme="minorHAnsi"/>
        </w:rPr>
      </w:pPr>
      <w:bookmarkStart w:id="1" w:name="_GoBack"/>
      <w:bookmarkEnd w:id="1"/>
      <w:proofErr w:type="spellStart"/>
      <w:r w:rsidRPr="002B4EB6">
        <w:rPr>
          <w:rFonts w:asciiTheme="minorHAnsi" w:hAnsiTheme="minorHAnsi" w:cstheme="minorHAnsi"/>
        </w:rPr>
        <w:t>WealthShop</w:t>
      </w:r>
      <w:proofErr w:type="spellEnd"/>
      <w:r w:rsidR="002B4EB6" w:rsidRPr="002B4EB6">
        <w:rPr>
          <w:rFonts w:asciiTheme="minorHAnsi" w:hAnsiTheme="minorHAnsi" w:cstheme="minorHAnsi"/>
        </w:rPr>
        <w:t>. Chain of legal marijuana dispensaries across multiple provinces.</w:t>
      </w:r>
    </w:p>
    <w:p w14:paraId="63659DB2" w14:textId="77777777" w:rsidR="002B4EB6" w:rsidRPr="002B4EB6" w:rsidRDefault="002B4EB6" w:rsidP="002B4EB6">
      <w:pPr>
        <w:spacing w:before="120" w:after="120" w:line="360" w:lineRule="auto"/>
        <w:rPr>
          <w:rFonts w:asciiTheme="minorHAnsi" w:hAnsiTheme="minorHAnsi" w:cstheme="minorHAnsi"/>
          <w:b/>
        </w:rPr>
      </w:pPr>
    </w:p>
    <w:p w14:paraId="019688F4" w14:textId="44509B60" w:rsidR="000F75D8" w:rsidRPr="002B4EB6" w:rsidRDefault="000F75D8" w:rsidP="002B4EB6">
      <w:pPr>
        <w:spacing w:before="120" w:after="120" w:line="360" w:lineRule="auto"/>
        <w:rPr>
          <w:rFonts w:asciiTheme="minorHAnsi" w:hAnsiTheme="minorHAnsi" w:cstheme="minorHAnsi"/>
        </w:rPr>
      </w:pPr>
      <w:r w:rsidRPr="002B4EB6">
        <w:rPr>
          <w:rFonts w:asciiTheme="minorHAnsi" w:hAnsiTheme="minorHAnsi" w:cstheme="minorHAnsi"/>
          <w:b/>
        </w:rPr>
        <w:t>Enterprise White Label Agreements</w:t>
      </w:r>
    </w:p>
    <w:p w14:paraId="76BCAD9F" w14:textId="2F11B4BE" w:rsidR="000F75D8" w:rsidRPr="002B4EB6" w:rsidRDefault="000F75D8" w:rsidP="00607A28">
      <w:pPr>
        <w:pStyle w:val="Normal0"/>
        <w:numPr>
          <w:ilvl w:val="0"/>
          <w:numId w:val="24"/>
        </w:numPr>
        <w:spacing w:before="120" w:after="120" w:line="360" w:lineRule="auto"/>
        <w:rPr>
          <w:rFonts w:asciiTheme="minorHAnsi" w:hAnsiTheme="minorHAnsi" w:cstheme="minorHAnsi"/>
          <w:color w:val="auto"/>
        </w:rPr>
      </w:pPr>
      <w:r w:rsidRPr="002B4EB6">
        <w:rPr>
          <w:rFonts w:asciiTheme="minorHAnsi" w:hAnsiTheme="minorHAnsi" w:cstheme="minorHAnsi"/>
        </w:rPr>
        <w:t>High Risk Commerce</w:t>
      </w:r>
      <w:r w:rsidR="002B4EB6" w:rsidRPr="002B4EB6">
        <w:rPr>
          <w:rFonts w:asciiTheme="minorHAnsi" w:hAnsiTheme="minorHAnsi" w:cstheme="minorHAnsi"/>
        </w:rPr>
        <w:t xml:space="preserve"> LLC. </w:t>
      </w:r>
      <w:r w:rsidR="002B4EB6" w:rsidRPr="002B4EB6">
        <w:rPr>
          <w:rFonts w:asciiTheme="minorHAnsi" w:hAnsiTheme="minorHAnsi" w:cstheme="minorHAnsi"/>
          <w:shd w:val="clear" w:color="auto" w:fill="FFFFFF"/>
        </w:rPr>
        <w:t xml:space="preserve">Though this 5-year revenue sharing white-label agreement, HRC will be making the NetCents merchant gateway available to its hundreds of Independent Sales Organizations (ISO’s) and partners that represent tens of thousands of online merchants processing billions of dollars in </w:t>
      </w:r>
      <w:r w:rsidR="00673B06">
        <w:rPr>
          <w:rFonts w:asciiTheme="minorHAnsi" w:hAnsiTheme="minorHAnsi" w:cstheme="minorHAnsi"/>
          <w:shd w:val="clear" w:color="auto" w:fill="FFFFFF"/>
        </w:rPr>
        <w:t>transactions</w:t>
      </w:r>
      <w:r w:rsidR="002B4EB6" w:rsidRPr="002B4EB6">
        <w:rPr>
          <w:rFonts w:asciiTheme="minorHAnsi" w:hAnsiTheme="minorHAnsi" w:cstheme="minorHAnsi"/>
          <w:shd w:val="clear" w:color="auto" w:fill="FFFFFF"/>
        </w:rPr>
        <w:t>. The white-label integration was completed in Q4 2018 and has and continues to onboard merchants.</w:t>
      </w:r>
    </w:p>
    <w:p w14:paraId="0683AFCF" w14:textId="460D2FF9" w:rsidR="000F75D8" w:rsidRPr="002B4EB6" w:rsidRDefault="000F75D8" w:rsidP="00607A28">
      <w:pPr>
        <w:pStyle w:val="Normal0"/>
        <w:numPr>
          <w:ilvl w:val="0"/>
          <w:numId w:val="24"/>
        </w:numPr>
        <w:spacing w:before="120" w:after="120" w:line="360" w:lineRule="auto"/>
        <w:rPr>
          <w:rFonts w:asciiTheme="minorHAnsi" w:hAnsiTheme="minorHAnsi" w:cstheme="minorHAnsi"/>
        </w:rPr>
      </w:pPr>
      <w:r w:rsidRPr="002B4EB6">
        <w:rPr>
          <w:rFonts w:asciiTheme="minorHAnsi" w:hAnsiTheme="minorHAnsi" w:cstheme="minorHAnsi"/>
        </w:rPr>
        <w:t>Post Socratic Ventures</w:t>
      </w:r>
      <w:r w:rsidR="002B4EB6">
        <w:rPr>
          <w:rFonts w:asciiTheme="minorHAnsi" w:hAnsiTheme="minorHAnsi" w:cstheme="minorHAnsi"/>
        </w:rPr>
        <w:t xml:space="preserve">. </w:t>
      </w:r>
      <w:r w:rsidRPr="002B4EB6">
        <w:rPr>
          <w:rFonts w:asciiTheme="minorHAnsi" w:hAnsiTheme="minorHAnsi" w:cstheme="minorHAnsi"/>
        </w:rPr>
        <w:t xml:space="preserve">Exclusive </w:t>
      </w:r>
      <w:r w:rsidR="002B4EB6">
        <w:rPr>
          <w:rFonts w:asciiTheme="minorHAnsi" w:hAnsiTheme="minorHAnsi" w:cstheme="minorHAnsi"/>
        </w:rPr>
        <w:t xml:space="preserve">5-year revenue share </w:t>
      </w:r>
      <w:r w:rsidRPr="002B4EB6">
        <w:rPr>
          <w:rFonts w:asciiTheme="minorHAnsi" w:hAnsiTheme="minorHAnsi" w:cstheme="minorHAnsi"/>
        </w:rPr>
        <w:t>white-label agreement for 28- Caribbean countrie</w:t>
      </w:r>
      <w:r w:rsidR="002B4EB6">
        <w:rPr>
          <w:rFonts w:asciiTheme="minorHAnsi" w:hAnsiTheme="minorHAnsi" w:cstheme="minorHAnsi"/>
        </w:rPr>
        <w:t xml:space="preserve">s with quarterly processing volume minimums. </w:t>
      </w:r>
    </w:p>
    <w:p w14:paraId="5D939F8C" w14:textId="77777777" w:rsidR="002B4EB6" w:rsidRDefault="002B4EB6" w:rsidP="002B4EB6">
      <w:pPr>
        <w:pStyle w:val="Normal0"/>
        <w:spacing w:before="120" w:after="120" w:line="360" w:lineRule="auto"/>
        <w:rPr>
          <w:rFonts w:asciiTheme="minorHAnsi" w:hAnsiTheme="minorHAnsi" w:cstheme="minorHAnsi"/>
          <w:b/>
        </w:rPr>
      </w:pPr>
    </w:p>
    <w:p w14:paraId="74F90FA8" w14:textId="1C57563A" w:rsidR="000F75D8" w:rsidRPr="002B4EB6" w:rsidRDefault="002B4EB6" w:rsidP="002B4EB6">
      <w:pPr>
        <w:pStyle w:val="Normal0"/>
        <w:spacing w:before="120" w:after="120" w:line="360" w:lineRule="auto"/>
        <w:rPr>
          <w:rFonts w:asciiTheme="minorHAnsi" w:hAnsiTheme="minorHAnsi" w:cstheme="minorHAnsi"/>
          <w:b/>
        </w:rPr>
      </w:pPr>
      <w:r>
        <w:rPr>
          <w:rFonts w:asciiTheme="minorHAnsi" w:hAnsiTheme="minorHAnsi" w:cstheme="minorHAnsi"/>
          <w:b/>
        </w:rPr>
        <w:t xml:space="preserve">ISO </w:t>
      </w:r>
      <w:r w:rsidR="000F75D8" w:rsidRPr="002B4EB6">
        <w:rPr>
          <w:rFonts w:asciiTheme="minorHAnsi" w:hAnsiTheme="minorHAnsi" w:cstheme="minorHAnsi"/>
          <w:b/>
        </w:rPr>
        <w:t>Reseller Agreements</w:t>
      </w:r>
    </w:p>
    <w:p w14:paraId="71883FD6" w14:textId="77777777" w:rsidR="002B4EB6" w:rsidRDefault="000F75D8" w:rsidP="002B4EB6">
      <w:pPr>
        <w:pStyle w:val="Normal0"/>
        <w:numPr>
          <w:ilvl w:val="0"/>
          <w:numId w:val="11"/>
        </w:numPr>
        <w:spacing w:before="120" w:after="120" w:line="360" w:lineRule="auto"/>
        <w:rPr>
          <w:rFonts w:asciiTheme="minorHAnsi" w:hAnsiTheme="minorHAnsi" w:cstheme="minorHAnsi"/>
        </w:rPr>
      </w:pPr>
      <w:r w:rsidRPr="002B4EB6">
        <w:rPr>
          <w:rFonts w:asciiTheme="minorHAnsi" w:hAnsiTheme="minorHAnsi" w:cstheme="minorHAnsi"/>
        </w:rPr>
        <w:t>Obanc</w:t>
      </w:r>
      <w:r w:rsidR="002B4EB6">
        <w:rPr>
          <w:rFonts w:asciiTheme="minorHAnsi" w:hAnsiTheme="minorHAnsi" w:cstheme="minorHAnsi"/>
        </w:rPr>
        <w:t xml:space="preserve">. 5-year ISO reseller agreement. Obanc specializes in high-risk and Las Vegas-based merchants. </w:t>
      </w:r>
    </w:p>
    <w:p w14:paraId="0669E9F1" w14:textId="57B02FA5" w:rsidR="002B4EB6" w:rsidRPr="002B4EB6" w:rsidRDefault="002B4EB6" w:rsidP="002B4EB6">
      <w:pPr>
        <w:pStyle w:val="Normal0"/>
        <w:numPr>
          <w:ilvl w:val="0"/>
          <w:numId w:val="11"/>
        </w:numPr>
        <w:spacing w:before="120" w:after="120" w:line="360" w:lineRule="auto"/>
        <w:rPr>
          <w:rFonts w:asciiTheme="minorHAnsi" w:hAnsiTheme="minorHAnsi" w:cstheme="minorHAnsi"/>
        </w:rPr>
      </w:pPr>
      <w:r w:rsidRPr="002B4EB6">
        <w:rPr>
          <w:rFonts w:asciiTheme="minorHAnsi" w:hAnsiTheme="minorHAnsi" w:cstheme="minorHAnsi"/>
        </w:rPr>
        <w:t>SecureGlobalPay. 5-year ISO reseller agreement</w:t>
      </w:r>
      <w:r>
        <w:rPr>
          <w:rFonts w:asciiTheme="minorHAnsi" w:hAnsiTheme="minorHAnsi" w:cstheme="minorHAnsi"/>
        </w:rPr>
        <w:t>.</w:t>
      </w:r>
      <w:r w:rsidRPr="002B4EB6">
        <w:rPr>
          <w:rFonts w:asciiTheme="minorHAnsi" w:hAnsiTheme="minorHAnsi" w:cstheme="minorHAnsi"/>
        </w:rPr>
        <w:t xml:space="preserve"> </w:t>
      </w:r>
      <w:r w:rsidRPr="002B4EB6">
        <w:rPr>
          <w:shd w:val="clear" w:color="auto" w:fill="FFFFFF"/>
        </w:rPr>
        <w:t xml:space="preserve">SGP is a full-service merchant service provider specializing in custom payment gateway solutions, providing merchants, both offshore and nationwide credit and debit card processing, clearing and settlement, gift/loyalty/stored value card programs, terminal management solutions, </w:t>
      </w:r>
      <w:r>
        <w:rPr>
          <w:shd w:val="clear" w:color="auto" w:fill="FFFFFF"/>
        </w:rPr>
        <w:t xml:space="preserve">and </w:t>
      </w:r>
      <w:r w:rsidRPr="002B4EB6">
        <w:rPr>
          <w:shd w:val="clear" w:color="auto" w:fill="FFFFFF"/>
        </w:rPr>
        <w:t>electronic cheque processing.</w:t>
      </w:r>
    </w:p>
    <w:p w14:paraId="51D99F3A" w14:textId="42E8A7F2" w:rsidR="002B4EB6" w:rsidRPr="002B4EB6" w:rsidRDefault="002B4EB6" w:rsidP="002B4EB6">
      <w:pPr>
        <w:pStyle w:val="Normal0"/>
        <w:numPr>
          <w:ilvl w:val="0"/>
          <w:numId w:val="11"/>
        </w:numPr>
        <w:spacing w:before="120" w:after="120" w:line="360" w:lineRule="auto"/>
        <w:rPr>
          <w:rFonts w:asciiTheme="minorHAnsi" w:hAnsiTheme="minorHAnsi" w:cstheme="minorHAnsi"/>
        </w:rPr>
      </w:pPr>
      <w:r w:rsidRPr="002B4EB6">
        <w:rPr>
          <w:rFonts w:asciiTheme="minorHAnsi" w:hAnsiTheme="minorHAnsi" w:cstheme="minorHAnsi"/>
        </w:rPr>
        <w:t xml:space="preserve">Kubera Payments. 5-year ISO reseller agreement. </w:t>
      </w:r>
      <w:proofErr w:type="spellStart"/>
      <w:r w:rsidRPr="002B4EB6">
        <w:rPr>
          <w:rFonts w:asciiTheme="minorHAnsi" w:eastAsia="Times New Roman" w:hAnsiTheme="minorHAnsi" w:cstheme="minorHAnsi"/>
          <w:color w:val="2F2E2F"/>
          <w:shd w:val="clear" w:color="auto" w:fill="FFFFFF"/>
        </w:rPr>
        <w:t>Kubera’s</w:t>
      </w:r>
      <w:proofErr w:type="spellEnd"/>
      <w:r w:rsidRPr="002B4EB6">
        <w:rPr>
          <w:rFonts w:asciiTheme="minorHAnsi" w:eastAsia="Times New Roman" w:hAnsiTheme="minorHAnsi" w:cstheme="minorHAnsi"/>
          <w:color w:val="2F2E2F"/>
          <w:shd w:val="clear" w:color="auto" w:fill="FFFFFF"/>
        </w:rPr>
        <w:t xml:space="preserve"> merchant-base is focused on the tourism, hospitality, alpine sports, medical, high-risk, retail, and transportation sectors. Kubera is partnered with industry-leading processors and associations across North America.</w:t>
      </w:r>
    </w:p>
    <w:p w14:paraId="727FCB39" w14:textId="54968471" w:rsidR="002B4EB6" w:rsidRPr="002B4EB6" w:rsidRDefault="002B4EB6" w:rsidP="002B4EB6">
      <w:pPr>
        <w:pStyle w:val="Normal0"/>
        <w:numPr>
          <w:ilvl w:val="0"/>
          <w:numId w:val="11"/>
        </w:numPr>
        <w:spacing w:before="120" w:after="120" w:line="360" w:lineRule="auto"/>
        <w:rPr>
          <w:rFonts w:asciiTheme="minorHAnsi" w:hAnsiTheme="minorHAnsi" w:cstheme="minorHAnsi"/>
        </w:rPr>
      </w:pPr>
      <w:r>
        <w:rPr>
          <w:rFonts w:asciiTheme="minorHAnsi" w:hAnsiTheme="minorHAnsi" w:cstheme="minorHAnsi"/>
        </w:rPr>
        <w:lastRenderedPageBreak/>
        <w:t>Sweet Bling. 5-year ISO reseller agreement that has already signed up multiple enterprise gaming merchants.</w:t>
      </w:r>
    </w:p>
    <w:p w14:paraId="014BE293" w14:textId="581F9F91" w:rsidR="000F75D8" w:rsidRPr="002B4EB6" w:rsidRDefault="000F75D8" w:rsidP="002B4EB6">
      <w:pPr>
        <w:pStyle w:val="Normal0"/>
        <w:numPr>
          <w:ilvl w:val="0"/>
          <w:numId w:val="11"/>
        </w:numPr>
        <w:spacing w:before="120" w:after="120" w:line="360" w:lineRule="auto"/>
        <w:rPr>
          <w:rFonts w:asciiTheme="minorHAnsi" w:hAnsiTheme="minorHAnsi" w:cstheme="minorHAnsi"/>
        </w:rPr>
      </w:pPr>
      <w:proofErr w:type="spellStart"/>
      <w:r w:rsidRPr="002B4EB6">
        <w:rPr>
          <w:rFonts w:asciiTheme="minorHAnsi" w:hAnsiTheme="minorHAnsi" w:cstheme="minorHAnsi"/>
        </w:rPr>
        <w:t>HubNet</w:t>
      </w:r>
      <w:proofErr w:type="spellEnd"/>
      <w:r w:rsidRPr="002B4EB6">
        <w:rPr>
          <w:rFonts w:asciiTheme="minorHAnsi" w:hAnsiTheme="minorHAnsi" w:cstheme="minorHAnsi"/>
        </w:rPr>
        <w:t xml:space="preserve"> Media</w:t>
      </w:r>
      <w:r w:rsidR="002B4EB6">
        <w:rPr>
          <w:rFonts w:asciiTheme="minorHAnsi" w:hAnsiTheme="minorHAnsi" w:cstheme="minorHAnsi"/>
        </w:rPr>
        <w:t xml:space="preserve">. Merchant and Reseller Agreements. </w:t>
      </w:r>
      <w:proofErr w:type="spellStart"/>
      <w:r w:rsidR="002B4EB6">
        <w:rPr>
          <w:rFonts w:asciiTheme="minorHAnsi" w:hAnsiTheme="minorHAnsi" w:cstheme="minorHAnsi"/>
        </w:rPr>
        <w:t>HubNet</w:t>
      </w:r>
      <w:proofErr w:type="spellEnd"/>
      <w:r w:rsidR="002B4EB6">
        <w:rPr>
          <w:rFonts w:asciiTheme="minorHAnsi" w:hAnsiTheme="minorHAnsi" w:cstheme="minorHAnsi"/>
        </w:rPr>
        <w:t xml:space="preserve"> Media have a network of 40 online stock websites and will be promoting NetCents through their internet affiliate program.</w:t>
      </w:r>
    </w:p>
    <w:p w14:paraId="145F449E" w14:textId="5E725865" w:rsidR="002B4EB6" w:rsidRPr="002B4EB6" w:rsidRDefault="002B4EB6" w:rsidP="002B4EB6">
      <w:pPr>
        <w:pStyle w:val="Normal0"/>
        <w:numPr>
          <w:ilvl w:val="0"/>
          <w:numId w:val="11"/>
        </w:numPr>
        <w:spacing w:before="120" w:after="120" w:line="360" w:lineRule="auto"/>
        <w:rPr>
          <w:rFonts w:asciiTheme="minorHAnsi" w:hAnsiTheme="minorHAnsi" w:cstheme="minorHAnsi"/>
        </w:rPr>
      </w:pPr>
      <w:proofErr w:type="spellStart"/>
      <w:r w:rsidRPr="002B4EB6">
        <w:rPr>
          <w:rFonts w:asciiTheme="minorHAnsi" w:hAnsiTheme="minorHAnsi" w:cstheme="minorHAnsi"/>
        </w:rPr>
        <w:t>LightHammer</w:t>
      </w:r>
      <w:proofErr w:type="spellEnd"/>
      <w:r w:rsidRPr="002B4EB6">
        <w:rPr>
          <w:rFonts w:asciiTheme="minorHAnsi" w:hAnsiTheme="minorHAnsi" w:cstheme="minorHAnsi"/>
        </w:rPr>
        <w:t xml:space="preserve"> Consulting</w:t>
      </w:r>
      <w:r>
        <w:rPr>
          <w:rFonts w:asciiTheme="minorHAnsi" w:hAnsiTheme="minorHAnsi" w:cstheme="minorHAnsi"/>
        </w:rPr>
        <w:t>. Reseller agreement for the Canadian cannabis space.</w:t>
      </w:r>
    </w:p>
    <w:p w14:paraId="78EFA344" w14:textId="77777777" w:rsidR="002B4EB6" w:rsidRDefault="002B4EB6" w:rsidP="002B4EB6">
      <w:pPr>
        <w:pStyle w:val="Normal0"/>
        <w:spacing w:before="120" w:after="120" w:line="360" w:lineRule="auto"/>
        <w:rPr>
          <w:rFonts w:asciiTheme="minorHAnsi" w:hAnsiTheme="minorHAnsi" w:cstheme="minorHAnsi"/>
          <w:b/>
        </w:rPr>
      </w:pPr>
    </w:p>
    <w:p w14:paraId="4F8220FB" w14:textId="63CE35B7" w:rsidR="000F75D8" w:rsidRPr="002B4EB6" w:rsidRDefault="000F75D8" w:rsidP="002B4EB6">
      <w:pPr>
        <w:pStyle w:val="Normal0"/>
        <w:spacing w:before="120" w:after="120" w:line="360" w:lineRule="auto"/>
        <w:rPr>
          <w:rFonts w:asciiTheme="minorHAnsi" w:hAnsiTheme="minorHAnsi" w:cstheme="minorHAnsi"/>
          <w:b/>
        </w:rPr>
      </w:pPr>
      <w:r w:rsidRPr="002B4EB6">
        <w:rPr>
          <w:rFonts w:asciiTheme="minorHAnsi" w:hAnsiTheme="minorHAnsi" w:cstheme="minorHAnsi"/>
          <w:b/>
        </w:rPr>
        <w:t>Technology Agreements</w:t>
      </w:r>
    </w:p>
    <w:p w14:paraId="5B255857" w14:textId="593D0A2E" w:rsidR="000F75D8" w:rsidRPr="002B4EB6" w:rsidRDefault="000F75D8" w:rsidP="002B4EB6">
      <w:pPr>
        <w:pStyle w:val="Normal0"/>
        <w:numPr>
          <w:ilvl w:val="0"/>
          <w:numId w:val="23"/>
        </w:numPr>
        <w:spacing w:before="120" w:after="120" w:line="360" w:lineRule="auto"/>
        <w:rPr>
          <w:rFonts w:asciiTheme="minorHAnsi" w:hAnsiTheme="minorHAnsi" w:cstheme="minorHAnsi"/>
        </w:rPr>
      </w:pPr>
      <w:r w:rsidRPr="002B4EB6">
        <w:rPr>
          <w:rFonts w:asciiTheme="minorHAnsi" w:hAnsiTheme="minorHAnsi" w:cstheme="minorHAnsi"/>
        </w:rPr>
        <w:t>Verge Currency</w:t>
      </w:r>
      <w:r w:rsidR="002B4EB6">
        <w:rPr>
          <w:rFonts w:asciiTheme="minorHAnsi" w:hAnsiTheme="minorHAnsi" w:cstheme="minorHAnsi"/>
        </w:rPr>
        <w:t xml:space="preserve">, referral and promotion agreement. Verge is a top 45 cryptocurrency based on market cap with millions of users worldwide. NetCents became payment processor of choice, referring merchants to the NetCents platform. </w:t>
      </w:r>
    </w:p>
    <w:p w14:paraId="1550984A" w14:textId="554FBA88" w:rsidR="000F75D8" w:rsidRPr="002B4EB6" w:rsidRDefault="000F75D8" w:rsidP="002B4EB6">
      <w:pPr>
        <w:pStyle w:val="Normal0"/>
        <w:numPr>
          <w:ilvl w:val="0"/>
          <w:numId w:val="23"/>
        </w:numPr>
        <w:spacing w:before="120" w:after="120" w:line="360" w:lineRule="auto"/>
        <w:rPr>
          <w:rFonts w:asciiTheme="minorHAnsi" w:hAnsiTheme="minorHAnsi" w:cstheme="minorHAnsi"/>
        </w:rPr>
      </w:pPr>
      <w:r w:rsidRPr="002B4EB6">
        <w:rPr>
          <w:rFonts w:asciiTheme="minorHAnsi" w:hAnsiTheme="minorHAnsi" w:cstheme="minorHAnsi"/>
        </w:rPr>
        <w:t>SoftPoint</w:t>
      </w:r>
      <w:r w:rsidR="002B4EB6">
        <w:rPr>
          <w:rFonts w:asciiTheme="minorHAnsi" w:hAnsiTheme="minorHAnsi" w:cstheme="minorHAnsi"/>
        </w:rPr>
        <w:t xml:space="preserve">. Technology Referral Agreement. </w:t>
      </w:r>
      <w:r w:rsidRPr="002B4EB6">
        <w:rPr>
          <w:rFonts w:asciiTheme="minorHAnsi" w:hAnsiTheme="minorHAnsi" w:cstheme="minorHAnsi"/>
        </w:rPr>
        <w:t xml:space="preserve">SoftPoint has integrated NetCents </w:t>
      </w:r>
      <w:r w:rsidR="002B4EB6">
        <w:rPr>
          <w:rFonts w:asciiTheme="minorHAnsi" w:hAnsiTheme="minorHAnsi" w:cstheme="minorHAnsi"/>
        </w:rPr>
        <w:t>into their ecosystem, enabling thousands of merchants to accept cryptocurrency. Through this integration, NetCents is now integrated into</w:t>
      </w:r>
      <w:r w:rsidRPr="002B4EB6">
        <w:rPr>
          <w:rFonts w:asciiTheme="minorHAnsi" w:hAnsiTheme="minorHAnsi" w:cstheme="minorHAnsi"/>
        </w:rPr>
        <w:t xml:space="preserve"> 7 smart terminal devices and 14 POS systems including Microsoft/oracle, Squirrel, </w:t>
      </w:r>
      <w:r w:rsidR="002B4EB6">
        <w:rPr>
          <w:rFonts w:asciiTheme="minorHAnsi" w:hAnsiTheme="minorHAnsi" w:cstheme="minorHAnsi"/>
        </w:rPr>
        <w:t xml:space="preserve">PAX, Clover, </w:t>
      </w:r>
      <w:proofErr w:type="spellStart"/>
      <w:r w:rsidR="002B4EB6">
        <w:rPr>
          <w:rFonts w:asciiTheme="minorHAnsi" w:hAnsiTheme="minorHAnsi" w:cstheme="minorHAnsi"/>
        </w:rPr>
        <w:t>Exadigm</w:t>
      </w:r>
      <w:proofErr w:type="spellEnd"/>
      <w:r w:rsidR="002B4EB6">
        <w:rPr>
          <w:rFonts w:asciiTheme="minorHAnsi" w:hAnsiTheme="minorHAnsi" w:cstheme="minorHAnsi"/>
        </w:rPr>
        <w:t xml:space="preserve">, Ingenico, and dinnerware to name a few. </w:t>
      </w:r>
    </w:p>
    <w:p w14:paraId="4FEEFB3D" w14:textId="09DF7B30" w:rsidR="000F75D8" w:rsidRPr="002B4EB6" w:rsidRDefault="000F75D8" w:rsidP="002B4EB6">
      <w:pPr>
        <w:pStyle w:val="Normal0"/>
        <w:numPr>
          <w:ilvl w:val="0"/>
          <w:numId w:val="23"/>
        </w:numPr>
        <w:spacing w:before="120" w:after="120" w:line="360" w:lineRule="auto"/>
        <w:rPr>
          <w:rFonts w:asciiTheme="minorHAnsi" w:hAnsiTheme="minorHAnsi" w:cstheme="minorHAnsi"/>
        </w:rPr>
      </w:pPr>
      <w:r w:rsidRPr="002B4EB6">
        <w:rPr>
          <w:rFonts w:asciiTheme="minorHAnsi" w:hAnsiTheme="minorHAnsi" w:cstheme="minorHAnsi"/>
        </w:rPr>
        <w:t>Bleu POS</w:t>
      </w:r>
      <w:r w:rsidR="002B4EB6">
        <w:rPr>
          <w:rFonts w:asciiTheme="minorHAnsi" w:hAnsiTheme="minorHAnsi" w:cstheme="minorHAnsi"/>
        </w:rPr>
        <w:t>. ISO Reseller Agreement. Bleu has integrated NetCents into their POS terminal and merchants who use Blue POS are able to accept cryptocurrency in the retail environment.</w:t>
      </w:r>
      <w:r w:rsidR="00607A28">
        <w:rPr>
          <w:rFonts w:asciiTheme="minorHAnsi" w:hAnsiTheme="minorHAnsi" w:cstheme="minorHAnsi"/>
        </w:rPr>
        <w:t xml:space="preserve"> Blue is a technology partner with Visa and distributes their technology platform to concessionaires, retail food and beverage, venue operators, and other market verticals.</w:t>
      </w:r>
    </w:p>
    <w:p w14:paraId="2471BC59" w14:textId="77777777" w:rsidR="002B4EB6" w:rsidRDefault="002B4EB6" w:rsidP="002B4EB6">
      <w:pPr>
        <w:pStyle w:val="Normal0"/>
        <w:spacing w:before="120" w:after="120" w:line="360" w:lineRule="auto"/>
        <w:rPr>
          <w:rFonts w:asciiTheme="minorHAnsi" w:hAnsiTheme="minorHAnsi" w:cstheme="minorHAnsi"/>
        </w:rPr>
      </w:pPr>
    </w:p>
    <w:p w14:paraId="0584382E" w14:textId="6EB3E79E" w:rsidR="00566242" w:rsidRDefault="00AB10A2" w:rsidP="002B4EB6">
      <w:pPr>
        <w:pStyle w:val="Normal0"/>
        <w:spacing w:before="120" w:after="120" w:line="360" w:lineRule="auto"/>
        <w:rPr>
          <w:rFonts w:asciiTheme="minorHAnsi" w:hAnsiTheme="minorHAnsi" w:cstheme="minorHAnsi"/>
        </w:rPr>
      </w:pPr>
      <w:r w:rsidRPr="002B4EB6">
        <w:rPr>
          <w:rFonts w:asciiTheme="minorHAnsi" w:hAnsiTheme="minorHAnsi" w:cstheme="minorHAnsi"/>
        </w:rPr>
        <w:t>“</w:t>
      </w:r>
      <w:r w:rsidR="00566242">
        <w:rPr>
          <w:rFonts w:asciiTheme="minorHAnsi" w:hAnsiTheme="minorHAnsi" w:cstheme="minorHAnsi"/>
        </w:rPr>
        <w:t xml:space="preserve">In 2018, the Company was focused on laying the groundwork and building the foundation for future success, including signing key partnerships in the traditional payments space and building a best in breed platform,” </w:t>
      </w:r>
      <w:r w:rsidR="00566242" w:rsidRPr="002B4EB6">
        <w:rPr>
          <w:rFonts w:asciiTheme="minorHAnsi" w:hAnsiTheme="minorHAnsi" w:cstheme="minorHAnsi"/>
        </w:rPr>
        <w:t xml:space="preserve">said Clayton Moore, Founder </w:t>
      </w:r>
      <w:r w:rsidR="00566242">
        <w:rPr>
          <w:rFonts w:asciiTheme="minorHAnsi" w:hAnsiTheme="minorHAnsi" w:cstheme="minorHAnsi"/>
        </w:rPr>
        <w:t>and</w:t>
      </w:r>
      <w:r w:rsidR="00566242" w:rsidRPr="002B4EB6">
        <w:rPr>
          <w:rFonts w:asciiTheme="minorHAnsi" w:hAnsiTheme="minorHAnsi" w:cstheme="minorHAnsi"/>
        </w:rPr>
        <w:t xml:space="preserve"> CEO</w:t>
      </w:r>
      <w:r w:rsidR="00566242">
        <w:rPr>
          <w:rFonts w:asciiTheme="minorHAnsi" w:hAnsiTheme="minorHAnsi" w:cstheme="minorHAnsi"/>
        </w:rPr>
        <w:t xml:space="preserve"> of NetCents</w:t>
      </w:r>
      <w:r w:rsidR="00566242" w:rsidRPr="002B4EB6">
        <w:rPr>
          <w:rFonts w:asciiTheme="minorHAnsi" w:hAnsiTheme="minorHAnsi" w:cstheme="minorHAnsi"/>
        </w:rPr>
        <w:t>.</w:t>
      </w:r>
      <w:r w:rsidR="00566242">
        <w:rPr>
          <w:rFonts w:asciiTheme="minorHAnsi" w:hAnsiTheme="minorHAnsi" w:cstheme="minorHAnsi"/>
        </w:rPr>
        <w:t xml:space="preserve"> “In 2019, the Company’s focus will be on continuing to capture market share and grow revenue while looking to expand into new geographic markets through </w:t>
      </w:r>
      <w:r w:rsidR="00673B06">
        <w:rPr>
          <w:rFonts w:asciiTheme="minorHAnsi" w:hAnsiTheme="minorHAnsi" w:cstheme="minorHAnsi"/>
        </w:rPr>
        <w:t xml:space="preserve">key </w:t>
      </w:r>
      <w:r w:rsidR="00566242">
        <w:rPr>
          <w:rFonts w:asciiTheme="minorHAnsi" w:hAnsiTheme="minorHAnsi" w:cstheme="minorHAnsi"/>
        </w:rPr>
        <w:t>partnerships.”</w:t>
      </w:r>
    </w:p>
    <w:p w14:paraId="4EFB661C" w14:textId="77777777" w:rsidR="00566242" w:rsidRDefault="00566242" w:rsidP="002B4EB6">
      <w:pPr>
        <w:spacing w:before="120" w:after="120" w:line="360" w:lineRule="auto"/>
        <w:jc w:val="both"/>
        <w:rPr>
          <w:rFonts w:asciiTheme="minorHAnsi" w:hAnsiTheme="minorHAnsi" w:cstheme="minorHAnsi"/>
          <w:b/>
          <w:u w:val="single"/>
        </w:rPr>
      </w:pPr>
    </w:p>
    <w:p w14:paraId="771823A1" w14:textId="6A4E0AA6" w:rsidR="0031779E" w:rsidRPr="002B4EB6" w:rsidRDefault="005175A9" w:rsidP="002B4EB6">
      <w:pPr>
        <w:spacing w:before="120" w:after="120" w:line="360" w:lineRule="auto"/>
        <w:jc w:val="both"/>
        <w:rPr>
          <w:rFonts w:asciiTheme="minorHAnsi" w:hAnsiTheme="minorHAnsi" w:cstheme="minorHAnsi"/>
          <w:b/>
          <w:u w:val="single"/>
        </w:rPr>
      </w:pPr>
      <w:r w:rsidRPr="002B4EB6">
        <w:rPr>
          <w:rFonts w:asciiTheme="minorHAnsi" w:hAnsiTheme="minorHAnsi" w:cstheme="minorHAnsi"/>
          <w:b/>
          <w:u w:val="single"/>
        </w:rPr>
        <w:t>About NetCents</w:t>
      </w:r>
    </w:p>
    <w:p w14:paraId="741BCDF2" w14:textId="77777777" w:rsidR="0031779E" w:rsidRPr="002B4EB6" w:rsidRDefault="005175A9" w:rsidP="002B4EB6">
      <w:pPr>
        <w:spacing w:before="120" w:after="120" w:line="360" w:lineRule="auto"/>
        <w:jc w:val="both"/>
        <w:rPr>
          <w:rFonts w:asciiTheme="minorHAnsi" w:hAnsiTheme="minorHAnsi" w:cstheme="minorHAnsi"/>
        </w:rPr>
      </w:pPr>
      <w:r w:rsidRPr="002B4EB6">
        <w:rPr>
          <w:rFonts w:asciiTheme="minorHAnsi" w:hAnsiTheme="minorHAnsi" w:cstheme="minorHAnsi"/>
        </w:rPr>
        <w:lastRenderedPageBreak/>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69B8C3DC" w14:textId="6D0496D4" w:rsidR="0031779E" w:rsidRPr="002B4EB6" w:rsidRDefault="005175A9" w:rsidP="002B4EB6">
      <w:pPr>
        <w:spacing w:before="120" w:after="120" w:line="360" w:lineRule="auto"/>
        <w:jc w:val="both"/>
        <w:rPr>
          <w:rFonts w:asciiTheme="minorHAnsi" w:hAnsiTheme="minorHAnsi" w:cstheme="minorHAnsi"/>
        </w:rPr>
      </w:pPr>
      <w:r w:rsidRPr="002B4EB6">
        <w:rPr>
          <w:rFonts w:asciiTheme="minorHAnsi" w:hAnsiTheme="minorHAnsi" w:cstheme="minorHAnsi"/>
        </w:rPr>
        <w:t xml:space="preserve">NetCents Technology is integrated into the Automated Clearing House ("ACH") and is registered as a Money Services Business (MSB) with FINTRAC, which ensures our consumer's security and privacy. </w:t>
      </w:r>
    </w:p>
    <w:p w14:paraId="2FA64976" w14:textId="77777777" w:rsidR="0031779E" w:rsidRPr="002B4EB6" w:rsidRDefault="005175A9" w:rsidP="002B4EB6">
      <w:pPr>
        <w:spacing w:before="120" w:after="120" w:line="360" w:lineRule="auto"/>
        <w:rPr>
          <w:rFonts w:asciiTheme="minorHAnsi" w:hAnsiTheme="minorHAnsi" w:cstheme="minorHAnsi"/>
        </w:rPr>
      </w:pPr>
      <w:bookmarkStart w:id="2" w:name="_1fob9te" w:colFirst="0" w:colLast="0"/>
      <w:bookmarkEnd w:id="2"/>
      <w:r w:rsidRPr="002B4EB6">
        <w:rPr>
          <w:rFonts w:asciiTheme="minorHAnsi" w:hAnsiTheme="minorHAnsi" w:cstheme="minorHAnsi"/>
        </w:rPr>
        <w:t xml:space="preserve">For more information, please visit the corporate website at </w:t>
      </w:r>
      <w:hyperlink r:id="rId8">
        <w:r w:rsidRPr="002B4EB6">
          <w:rPr>
            <w:rFonts w:asciiTheme="minorHAnsi" w:hAnsiTheme="minorHAnsi" w:cstheme="minorHAnsi"/>
            <w:color w:val="0563C1"/>
            <w:u w:val="single"/>
          </w:rPr>
          <w:t>www.net-cents.com</w:t>
        </w:r>
      </w:hyperlink>
      <w:r w:rsidRPr="002B4EB6">
        <w:rPr>
          <w:rFonts w:asciiTheme="minorHAnsi" w:hAnsiTheme="minorHAnsi" w:cstheme="minorHAnsi"/>
        </w:rPr>
        <w:t xml:space="preserve"> or contact Gord Jessop, President: </w:t>
      </w:r>
      <w:hyperlink r:id="rId9">
        <w:r w:rsidRPr="002B4EB6">
          <w:rPr>
            <w:rFonts w:asciiTheme="minorHAnsi" w:hAnsiTheme="minorHAnsi" w:cstheme="minorHAnsi"/>
            <w:color w:val="0563C1"/>
            <w:u w:val="single"/>
          </w:rPr>
          <w:t>gord.jessop@net-cents.com</w:t>
        </w:r>
      </w:hyperlink>
      <w:r w:rsidRPr="002B4EB6">
        <w:rPr>
          <w:rFonts w:asciiTheme="minorHAnsi" w:hAnsiTheme="minorHAnsi" w:cstheme="minorHAnsi"/>
        </w:rPr>
        <w:t>.</w:t>
      </w:r>
    </w:p>
    <w:p w14:paraId="1ED5CD9B" w14:textId="77777777" w:rsidR="0031779E" w:rsidRPr="002B4EB6" w:rsidRDefault="005175A9" w:rsidP="002B4EB6">
      <w:pPr>
        <w:spacing w:before="120" w:after="120" w:line="360" w:lineRule="auto"/>
        <w:rPr>
          <w:rFonts w:asciiTheme="minorHAnsi" w:hAnsiTheme="minorHAnsi" w:cstheme="minorHAnsi"/>
        </w:rPr>
      </w:pPr>
      <w:r w:rsidRPr="002B4EB6">
        <w:rPr>
          <w:rFonts w:asciiTheme="minorHAnsi" w:hAnsiTheme="minorHAnsi" w:cstheme="minorHAnsi"/>
        </w:rPr>
        <w:t xml:space="preserve">On Behalf of the Board of Directors </w:t>
      </w:r>
    </w:p>
    <w:p w14:paraId="0B3D6EBB" w14:textId="77777777" w:rsidR="0031779E" w:rsidRPr="002B4EB6" w:rsidRDefault="005175A9" w:rsidP="002B4EB6">
      <w:pPr>
        <w:spacing w:before="120" w:after="120" w:line="360" w:lineRule="auto"/>
        <w:rPr>
          <w:rFonts w:asciiTheme="minorHAnsi" w:hAnsiTheme="minorHAnsi" w:cstheme="minorHAnsi"/>
        </w:rPr>
      </w:pPr>
      <w:r w:rsidRPr="002B4EB6">
        <w:rPr>
          <w:rFonts w:asciiTheme="minorHAnsi" w:hAnsiTheme="minorHAnsi" w:cstheme="minorHAnsi"/>
        </w:rPr>
        <w:t>NetCents Technology Inc.</w:t>
      </w:r>
    </w:p>
    <w:p w14:paraId="440B7E1A" w14:textId="77777777" w:rsidR="0031779E" w:rsidRPr="002B4EB6" w:rsidRDefault="005175A9" w:rsidP="002B4EB6">
      <w:pPr>
        <w:spacing w:before="120" w:after="120" w:line="360" w:lineRule="auto"/>
        <w:rPr>
          <w:rFonts w:asciiTheme="minorHAnsi" w:hAnsiTheme="minorHAnsi" w:cstheme="minorHAnsi"/>
        </w:rPr>
      </w:pPr>
      <w:r w:rsidRPr="002B4EB6">
        <w:rPr>
          <w:rFonts w:asciiTheme="minorHAnsi" w:hAnsiTheme="minorHAnsi" w:cstheme="minorHAnsi"/>
          <w:u w:val="single"/>
        </w:rPr>
        <w:t>“Clayton Moore”</w:t>
      </w:r>
    </w:p>
    <w:p w14:paraId="07F17B06" w14:textId="77777777" w:rsidR="0031779E" w:rsidRPr="002B4EB6" w:rsidRDefault="005175A9" w:rsidP="002B4EB6">
      <w:pPr>
        <w:spacing w:before="120" w:after="120" w:line="360" w:lineRule="auto"/>
        <w:rPr>
          <w:rFonts w:asciiTheme="minorHAnsi" w:hAnsiTheme="minorHAnsi" w:cstheme="minorHAnsi"/>
        </w:rPr>
      </w:pPr>
      <w:r w:rsidRPr="002B4EB6">
        <w:rPr>
          <w:rFonts w:asciiTheme="minorHAnsi" w:hAnsiTheme="minorHAnsi" w:cstheme="minorHAnsi"/>
        </w:rPr>
        <w:t>Clayton Moore, CEO, Founder and Director</w:t>
      </w:r>
    </w:p>
    <w:p w14:paraId="3CA56D2B" w14:textId="57612BCF" w:rsidR="0031779E" w:rsidRPr="002B4EB6" w:rsidRDefault="005175A9" w:rsidP="002B4EB6">
      <w:pPr>
        <w:spacing w:before="120" w:after="120" w:line="360" w:lineRule="auto"/>
        <w:rPr>
          <w:rFonts w:asciiTheme="minorHAnsi" w:hAnsiTheme="minorHAnsi" w:cstheme="minorHAnsi"/>
        </w:rPr>
      </w:pPr>
      <w:r w:rsidRPr="002B4EB6">
        <w:rPr>
          <w:rFonts w:asciiTheme="minorHAnsi" w:hAnsiTheme="minorHAnsi" w:cstheme="minorHAnsi"/>
        </w:rPr>
        <w:t>NetCents Technology Inc.</w:t>
      </w:r>
    </w:p>
    <w:p w14:paraId="45DA9890" w14:textId="0D3BDF5A" w:rsidR="00311348" w:rsidRPr="002B4EB6" w:rsidRDefault="00311348" w:rsidP="002B4EB6">
      <w:pPr>
        <w:spacing w:before="120" w:after="120" w:line="360" w:lineRule="auto"/>
        <w:rPr>
          <w:rFonts w:asciiTheme="minorHAnsi" w:hAnsiTheme="minorHAnsi" w:cstheme="minorHAnsi"/>
        </w:rPr>
      </w:pPr>
      <w:r w:rsidRPr="002B4EB6">
        <w:rPr>
          <w:rFonts w:asciiTheme="minorHAnsi" w:hAnsiTheme="minorHAnsi" w:cstheme="minorHAnsi"/>
        </w:rPr>
        <w:t>Suite 1000 – 1021 West Hastings Street</w:t>
      </w:r>
    </w:p>
    <w:p w14:paraId="62AF3CBE" w14:textId="6CB1588D" w:rsidR="0031779E" w:rsidRPr="002B4EB6" w:rsidRDefault="005175A9" w:rsidP="002B4EB6">
      <w:pPr>
        <w:spacing w:before="120" w:after="120" w:line="360" w:lineRule="auto"/>
        <w:rPr>
          <w:rFonts w:asciiTheme="minorHAnsi" w:hAnsiTheme="minorHAnsi" w:cstheme="minorHAnsi"/>
        </w:rPr>
      </w:pPr>
      <w:r w:rsidRPr="002B4EB6">
        <w:rPr>
          <w:rFonts w:asciiTheme="minorHAnsi" w:hAnsiTheme="minorHAnsi" w:cstheme="minorHAnsi"/>
        </w:rPr>
        <w:t>Vancouver, BC, V</w:t>
      </w:r>
      <w:r w:rsidR="00311348" w:rsidRPr="002B4EB6">
        <w:rPr>
          <w:rFonts w:asciiTheme="minorHAnsi" w:hAnsiTheme="minorHAnsi" w:cstheme="minorHAnsi"/>
        </w:rPr>
        <w:t>6E 0C3</w:t>
      </w:r>
    </w:p>
    <w:p w14:paraId="3B868737" w14:textId="77777777" w:rsidR="0031779E" w:rsidRPr="002B4EB6" w:rsidRDefault="005175A9" w:rsidP="002B4EB6">
      <w:pPr>
        <w:spacing w:before="120" w:after="120" w:line="360" w:lineRule="auto"/>
        <w:jc w:val="both"/>
        <w:rPr>
          <w:rFonts w:asciiTheme="minorHAnsi" w:hAnsiTheme="minorHAnsi" w:cstheme="minorHAnsi"/>
        </w:rPr>
      </w:pPr>
      <w:bookmarkStart w:id="3" w:name="_3znysh7" w:colFirst="0" w:colLast="0"/>
      <w:bookmarkEnd w:id="3"/>
      <w:r w:rsidRPr="002B4EB6">
        <w:rPr>
          <w:rFonts w:asciiTheme="minorHAnsi" w:hAnsiTheme="minorHAnsi" w:cstheme="minorHAnsi"/>
        </w:rPr>
        <w:t>Cautionary Note Regarding Forward-Looking Information</w:t>
      </w:r>
    </w:p>
    <w:p w14:paraId="32FE18EE" w14:textId="35C54A10" w:rsidR="0031779E" w:rsidRPr="002B4EB6" w:rsidRDefault="005175A9" w:rsidP="002B4EB6">
      <w:pPr>
        <w:spacing w:before="120" w:after="120" w:line="360" w:lineRule="auto"/>
        <w:jc w:val="both"/>
        <w:rPr>
          <w:rFonts w:asciiTheme="minorHAnsi" w:hAnsiTheme="minorHAnsi" w:cstheme="minorHAnsi"/>
        </w:rPr>
      </w:pPr>
      <w:r w:rsidRPr="002B4EB6">
        <w:rPr>
          <w:rFonts w:asciiTheme="minorHAnsi" w:hAnsiTheme="minorHAnsi" w:cstheme="minorHAnsi"/>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w:t>
      </w:r>
      <w:r w:rsidRPr="002B4EB6">
        <w:rPr>
          <w:rFonts w:asciiTheme="minorHAnsi" w:hAnsiTheme="minorHAnsi" w:cstheme="minorHAnsi"/>
        </w:rPr>
        <w:lastRenderedPageBreak/>
        <w:t>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14:paraId="6CB71A15" w14:textId="47709968" w:rsidR="00BE0F91" w:rsidRPr="002B4EB6" w:rsidRDefault="00BE0F91" w:rsidP="002B4EB6">
      <w:pPr>
        <w:spacing w:before="120" w:after="120" w:line="360" w:lineRule="auto"/>
        <w:jc w:val="both"/>
        <w:rPr>
          <w:rFonts w:asciiTheme="minorHAnsi" w:hAnsiTheme="minorHAnsi" w:cstheme="minorHAnsi"/>
        </w:rPr>
      </w:pPr>
    </w:p>
    <w:p w14:paraId="3DDDAC50" w14:textId="77777777" w:rsidR="00306828" w:rsidRPr="002B4EB6" w:rsidRDefault="00306828" w:rsidP="002B4EB6">
      <w:pPr>
        <w:pStyle w:val="Normal0"/>
        <w:spacing w:before="120" w:after="120" w:line="360" w:lineRule="auto"/>
        <w:rPr>
          <w:rFonts w:asciiTheme="minorHAnsi" w:hAnsiTheme="minorHAnsi" w:cstheme="minorHAnsi"/>
        </w:rPr>
      </w:pPr>
    </w:p>
    <w:p w14:paraId="0A05B3D2" w14:textId="1C61A876" w:rsidR="00BE0F91" w:rsidRPr="002B4EB6" w:rsidRDefault="00BE0F91" w:rsidP="002B4EB6">
      <w:pPr>
        <w:pStyle w:val="Normal0"/>
        <w:spacing w:before="120" w:after="120" w:line="360" w:lineRule="auto"/>
        <w:rPr>
          <w:rFonts w:asciiTheme="minorHAnsi" w:hAnsiTheme="minorHAnsi" w:cstheme="minorHAnsi"/>
        </w:rPr>
      </w:pPr>
    </w:p>
    <w:sectPr w:rsidR="00BE0F91" w:rsidRPr="002B4EB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83A3D" w14:textId="77777777" w:rsidR="00F143D3" w:rsidRDefault="00F143D3" w:rsidP="00CF4C18">
      <w:pPr>
        <w:spacing w:after="0" w:line="240" w:lineRule="auto"/>
      </w:pPr>
      <w:r>
        <w:separator/>
      </w:r>
    </w:p>
  </w:endnote>
  <w:endnote w:type="continuationSeparator" w:id="0">
    <w:p w14:paraId="74E1BCBD" w14:textId="77777777" w:rsidR="00F143D3" w:rsidRDefault="00F143D3" w:rsidP="00CF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24563" w14:textId="77777777" w:rsidR="00F143D3" w:rsidRDefault="00F143D3" w:rsidP="00CF4C18">
      <w:pPr>
        <w:spacing w:after="0" w:line="240" w:lineRule="auto"/>
      </w:pPr>
      <w:r>
        <w:separator/>
      </w:r>
    </w:p>
  </w:footnote>
  <w:footnote w:type="continuationSeparator" w:id="0">
    <w:p w14:paraId="78F2E9C8" w14:textId="77777777" w:rsidR="00F143D3" w:rsidRDefault="00F143D3" w:rsidP="00CF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07EA6"/>
    <w:multiLevelType w:val="hybridMultilevel"/>
    <w:tmpl w:val="12F6A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9362D4"/>
    <w:multiLevelType w:val="hybridMultilevel"/>
    <w:tmpl w:val="6E98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D2896"/>
    <w:multiLevelType w:val="hybridMultilevel"/>
    <w:tmpl w:val="562C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C2F75"/>
    <w:multiLevelType w:val="hybridMultilevel"/>
    <w:tmpl w:val="A6324FAA"/>
    <w:lvl w:ilvl="0" w:tplc="374A7F36">
      <w:start w:val="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827BB"/>
    <w:multiLevelType w:val="hybridMultilevel"/>
    <w:tmpl w:val="0814640A"/>
    <w:lvl w:ilvl="0" w:tplc="C02267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2736D"/>
    <w:multiLevelType w:val="hybridMultilevel"/>
    <w:tmpl w:val="F31A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77566"/>
    <w:multiLevelType w:val="hybridMultilevel"/>
    <w:tmpl w:val="0374EACC"/>
    <w:lvl w:ilvl="0" w:tplc="B3B48F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F09FA"/>
    <w:multiLevelType w:val="hybridMultilevel"/>
    <w:tmpl w:val="D6DE8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347C70"/>
    <w:multiLevelType w:val="hybridMultilevel"/>
    <w:tmpl w:val="53AC7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F2399"/>
    <w:multiLevelType w:val="hybridMultilevel"/>
    <w:tmpl w:val="CF2C79A8"/>
    <w:lvl w:ilvl="0" w:tplc="374A7F36">
      <w:start w:val="4"/>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BE4A9C"/>
    <w:multiLevelType w:val="hybridMultilevel"/>
    <w:tmpl w:val="876CD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F02B48"/>
    <w:multiLevelType w:val="hybridMultilevel"/>
    <w:tmpl w:val="54F0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76E18"/>
    <w:multiLevelType w:val="hybridMultilevel"/>
    <w:tmpl w:val="B6AA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95CBC"/>
    <w:multiLevelType w:val="hybridMultilevel"/>
    <w:tmpl w:val="C31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E2AFD"/>
    <w:multiLevelType w:val="hybridMultilevel"/>
    <w:tmpl w:val="E3B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33FC2"/>
    <w:multiLevelType w:val="hybridMultilevel"/>
    <w:tmpl w:val="8326DEE4"/>
    <w:lvl w:ilvl="0" w:tplc="374A7F36">
      <w:start w:val="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570C7"/>
    <w:multiLevelType w:val="hybridMultilevel"/>
    <w:tmpl w:val="81981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D5A56C4"/>
    <w:multiLevelType w:val="hybridMultilevel"/>
    <w:tmpl w:val="AAF856CA"/>
    <w:lvl w:ilvl="0" w:tplc="374A7F36">
      <w:start w:val="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C1247"/>
    <w:multiLevelType w:val="hybridMultilevel"/>
    <w:tmpl w:val="B8867438"/>
    <w:lvl w:ilvl="0" w:tplc="374A7F36">
      <w:start w:val="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43F55"/>
    <w:multiLevelType w:val="hybridMultilevel"/>
    <w:tmpl w:val="A1B29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C66F7"/>
    <w:multiLevelType w:val="hybridMultilevel"/>
    <w:tmpl w:val="BB9CE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5633854"/>
    <w:multiLevelType w:val="hybridMultilevel"/>
    <w:tmpl w:val="C4E0465C"/>
    <w:lvl w:ilvl="0" w:tplc="1B12E1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16D51"/>
    <w:multiLevelType w:val="hybridMultilevel"/>
    <w:tmpl w:val="E29C0DCC"/>
    <w:lvl w:ilvl="0" w:tplc="41FE398A">
      <w:numFmt w:val="bullet"/>
      <w:lvlText w:val="-"/>
      <w:lvlJc w:val="left"/>
      <w:pPr>
        <w:ind w:left="720" w:hanging="360"/>
      </w:pPr>
      <w:rPr>
        <w:rFonts w:ascii="Calibri" w:eastAsia="Calibri"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12E82"/>
    <w:multiLevelType w:val="hybridMultilevel"/>
    <w:tmpl w:val="B9DC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F3B0F"/>
    <w:multiLevelType w:val="hybridMultilevel"/>
    <w:tmpl w:val="F3A6BA8C"/>
    <w:lvl w:ilvl="0" w:tplc="374A7F36">
      <w:start w:val="4"/>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12"/>
  </w:num>
  <w:num w:numId="4">
    <w:abstractNumId w:val="11"/>
  </w:num>
  <w:num w:numId="5">
    <w:abstractNumId w:val="22"/>
  </w:num>
  <w:num w:numId="6">
    <w:abstractNumId w:val="4"/>
  </w:num>
  <w:num w:numId="7">
    <w:abstractNumId w:val="14"/>
  </w:num>
  <w:num w:numId="8">
    <w:abstractNumId w:val="13"/>
  </w:num>
  <w:num w:numId="9">
    <w:abstractNumId w:val="20"/>
  </w:num>
  <w:num w:numId="10">
    <w:abstractNumId w:val="10"/>
  </w:num>
  <w:num w:numId="11">
    <w:abstractNumId w:val="0"/>
  </w:num>
  <w:num w:numId="12">
    <w:abstractNumId w:val="16"/>
  </w:num>
  <w:num w:numId="13">
    <w:abstractNumId w:val="7"/>
  </w:num>
  <w:num w:numId="14">
    <w:abstractNumId w:val="23"/>
  </w:num>
  <w:num w:numId="15">
    <w:abstractNumId w:val="18"/>
  </w:num>
  <w:num w:numId="16">
    <w:abstractNumId w:val="3"/>
  </w:num>
  <w:num w:numId="17">
    <w:abstractNumId w:val="9"/>
  </w:num>
  <w:num w:numId="18">
    <w:abstractNumId w:val="17"/>
  </w:num>
  <w:num w:numId="19">
    <w:abstractNumId w:val="24"/>
  </w:num>
  <w:num w:numId="20">
    <w:abstractNumId w:val="15"/>
  </w:num>
  <w:num w:numId="21">
    <w:abstractNumId w:val="1"/>
  </w:num>
  <w:num w:numId="22">
    <w:abstractNumId w:val="19"/>
  </w:num>
  <w:num w:numId="23">
    <w:abstractNumId w:val="8"/>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9E"/>
    <w:rsid w:val="00011F59"/>
    <w:rsid w:val="000221C4"/>
    <w:rsid w:val="00026998"/>
    <w:rsid w:val="00036388"/>
    <w:rsid w:val="000542C4"/>
    <w:rsid w:val="000640C4"/>
    <w:rsid w:val="00080B8A"/>
    <w:rsid w:val="0008555A"/>
    <w:rsid w:val="000C5740"/>
    <w:rsid w:val="000D0C5E"/>
    <w:rsid w:val="000D3FA0"/>
    <w:rsid w:val="000E5DB7"/>
    <w:rsid w:val="000F2D1C"/>
    <w:rsid w:val="000F75D8"/>
    <w:rsid w:val="00103995"/>
    <w:rsid w:val="00113BFB"/>
    <w:rsid w:val="00121CA0"/>
    <w:rsid w:val="001301F5"/>
    <w:rsid w:val="00131F90"/>
    <w:rsid w:val="00141E43"/>
    <w:rsid w:val="00142824"/>
    <w:rsid w:val="00160C00"/>
    <w:rsid w:val="00173228"/>
    <w:rsid w:val="0017670F"/>
    <w:rsid w:val="00181205"/>
    <w:rsid w:val="00190AD8"/>
    <w:rsid w:val="001964F2"/>
    <w:rsid w:val="001A45DC"/>
    <w:rsid w:val="001B1C1A"/>
    <w:rsid w:val="001B6C14"/>
    <w:rsid w:val="001B7471"/>
    <w:rsid w:val="001C5923"/>
    <w:rsid w:val="001C66F7"/>
    <w:rsid w:val="001E10AD"/>
    <w:rsid w:val="001E2EC8"/>
    <w:rsid w:val="001E4145"/>
    <w:rsid w:val="001E5562"/>
    <w:rsid w:val="002002EB"/>
    <w:rsid w:val="00205A84"/>
    <w:rsid w:val="002078E6"/>
    <w:rsid w:val="002163DE"/>
    <w:rsid w:val="00222679"/>
    <w:rsid w:val="00227765"/>
    <w:rsid w:val="0024358D"/>
    <w:rsid w:val="0024471E"/>
    <w:rsid w:val="0025493E"/>
    <w:rsid w:val="00273264"/>
    <w:rsid w:val="00282141"/>
    <w:rsid w:val="00282421"/>
    <w:rsid w:val="00284167"/>
    <w:rsid w:val="00284CF1"/>
    <w:rsid w:val="0029790F"/>
    <w:rsid w:val="00297EA2"/>
    <w:rsid w:val="002A7290"/>
    <w:rsid w:val="002B4EB6"/>
    <w:rsid w:val="002B6717"/>
    <w:rsid w:val="002C01C1"/>
    <w:rsid w:val="002C3464"/>
    <w:rsid w:val="002C4800"/>
    <w:rsid w:val="002C773B"/>
    <w:rsid w:val="002D3FE4"/>
    <w:rsid w:val="002F024A"/>
    <w:rsid w:val="002F5EB1"/>
    <w:rsid w:val="00306828"/>
    <w:rsid w:val="00311348"/>
    <w:rsid w:val="003154BD"/>
    <w:rsid w:val="0031779E"/>
    <w:rsid w:val="00323129"/>
    <w:rsid w:val="00323A5D"/>
    <w:rsid w:val="00327ADF"/>
    <w:rsid w:val="00342BAA"/>
    <w:rsid w:val="00346F5D"/>
    <w:rsid w:val="0035224D"/>
    <w:rsid w:val="0035535C"/>
    <w:rsid w:val="00360888"/>
    <w:rsid w:val="003618C9"/>
    <w:rsid w:val="003651C1"/>
    <w:rsid w:val="00371444"/>
    <w:rsid w:val="00375A0E"/>
    <w:rsid w:val="003A0399"/>
    <w:rsid w:val="003A1445"/>
    <w:rsid w:val="003B1312"/>
    <w:rsid w:val="003B29E1"/>
    <w:rsid w:val="003C0C70"/>
    <w:rsid w:val="003D2411"/>
    <w:rsid w:val="003E4181"/>
    <w:rsid w:val="003F6742"/>
    <w:rsid w:val="00402D5E"/>
    <w:rsid w:val="004132C3"/>
    <w:rsid w:val="0041578B"/>
    <w:rsid w:val="00421511"/>
    <w:rsid w:val="00427638"/>
    <w:rsid w:val="00447608"/>
    <w:rsid w:val="00450A86"/>
    <w:rsid w:val="004519E1"/>
    <w:rsid w:val="00451E72"/>
    <w:rsid w:val="0047315D"/>
    <w:rsid w:val="00477F86"/>
    <w:rsid w:val="004879B1"/>
    <w:rsid w:val="00490FFA"/>
    <w:rsid w:val="00492267"/>
    <w:rsid w:val="004A692D"/>
    <w:rsid w:val="004C32FC"/>
    <w:rsid w:val="004E6C98"/>
    <w:rsid w:val="0050080D"/>
    <w:rsid w:val="00501392"/>
    <w:rsid w:val="00504AEC"/>
    <w:rsid w:val="005115D4"/>
    <w:rsid w:val="005175A9"/>
    <w:rsid w:val="00530CBF"/>
    <w:rsid w:val="00536CF0"/>
    <w:rsid w:val="0056390F"/>
    <w:rsid w:val="00566242"/>
    <w:rsid w:val="00571E5C"/>
    <w:rsid w:val="0057202B"/>
    <w:rsid w:val="0058064C"/>
    <w:rsid w:val="005A2BF0"/>
    <w:rsid w:val="005B0FAE"/>
    <w:rsid w:val="005B3A5C"/>
    <w:rsid w:val="005B6A1E"/>
    <w:rsid w:val="005C15EB"/>
    <w:rsid w:val="005D5259"/>
    <w:rsid w:val="005D7257"/>
    <w:rsid w:val="005E180B"/>
    <w:rsid w:val="005E3629"/>
    <w:rsid w:val="00604EF8"/>
    <w:rsid w:val="00607A28"/>
    <w:rsid w:val="0061228B"/>
    <w:rsid w:val="00616358"/>
    <w:rsid w:val="00627535"/>
    <w:rsid w:val="00655FA2"/>
    <w:rsid w:val="00660B3A"/>
    <w:rsid w:val="006613A8"/>
    <w:rsid w:val="00662194"/>
    <w:rsid w:val="00673B06"/>
    <w:rsid w:val="00677A36"/>
    <w:rsid w:val="00680CC6"/>
    <w:rsid w:val="006874F5"/>
    <w:rsid w:val="00694B74"/>
    <w:rsid w:val="006C03A9"/>
    <w:rsid w:val="006D522E"/>
    <w:rsid w:val="0072317D"/>
    <w:rsid w:val="00730F78"/>
    <w:rsid w:val="007341B2"/>
    <w:rsid w:val="007373CA"/>
    <w:rsid w:val="007436DA"/>
    <w:rsid w:val="007672CC"/>
    <w:rsid w:val="00780C8F"/>
    <w:rsid w:val="00785432"/>
    <w:rsid w:val="007B4564"/>
    <w:rsid w:val="007E33C9"/>
    <w:rsid w:val="007F31D5"/>
    <w:rsid w:val="00816C48"/>
    <w:rsid w:val="008378BC"/>
    <w:rsid w:val="0085596C"/>
    <w:rsid w:val="00880009"/>
    <w:rsid w:val="0088003B"/>
    <w:rsid w:val="00881DDB"/>
    <w:rsid w:val="008A5BE3"/>
    <w:rsid w:val="008B274E"/>
    <w:rsid w:val="008C0C2D"/>
    <w:rsid w:val="008F0256"/>
    <w:rsid w:val="008F526F"/>
    <w:rsid w:val="00923E22"/>
    <w:rsid w:val="009305D0"/>
    <w:rsid w:val="00937D4A"/>
    <w:rsid w:val="00952D75"/>
    <w:rsid w:val="009547B2"/>
    <w:rsid w:val="0096359A"/>
    <w:rsid w:val="0097148D"/>
    <w:rsid w:val="00981E3F"/>
    <w:rsid w:val="009828DD"/>
    <w:rsid w:val="00997244"/>
    <w:rsid w:val="009B175E"/>
    <w:rsid w:val="009D7B1C"/>
    <w:rsid w:val="009E1213"/>
    <w:rsid w:val="00A02D9C"/>
    <w:rsid w:val="00A1757A"/>
    <w:rsid w:val="00A35710"/>
    <w:rsid w:val="00A36592"/>
    <w:rsid w:val="00A41D22"/>
    <w:rsid w:val="00A42408"/>
    <w:rsid w:val="00A43632"/>
    <w:rsid w:val="00A4625E"/>
    <w:rsid w:val="00A57076"/>
    <w:rsid w:val="00A572FD"/>
    <w:rsid w:val="00A757BC"/>
    <w:rsid w:val="00A813BD"/>
    <w:rsid w:val="00AB0DC8"/>
    <w:rsid w:val="00AB10A2"/>
    <w:rsid w:val="00AB4907"/>
    <w:rsid w:val="00AC0F96"/>
    <w:rsid w:val="00AC4BA7"/>
    <w:rsid w:val="00AD022A"/>
    <w:rsid w:val="00AE0FFD"/>
    <w:rsid w:val="00AE1E6F"/>
    <w:rsid w:val="00AE2FEF"/>
    <w:rsid w:val="00AF79B8"/>
    <w:rsid w:val="00B06CE1"/>
    <w:rsid w:val="00B130D7"/>
    <w:rsid w:val="00B21040"/>
    <w:rsid w:val="00B40AA7"/>
    <w:rsid w:val="00B53883"/>
    <w:rsid w:val="00B81270"/>
    <w:rsid w:val="00B818E4"/>
    <w:rsid w:val="00B8720C"/>
    <w:rsid w:val="00BA130A"/>
    <w:rsid w:val="00BC40F2"/>
    <w:rsid w:val="00BD5475"/>
    <w:rsid w:val="00BE0F91"/>
    <w:rsid w:val="00BE6960"/>
    <w:rsid w:val="00C5167C"/>
    <w:rsid w:val="00C55D7D"/>
    <w:rsid w:val="00C81581"/>
    <w:rsid w:val="00C8642A"/>
    <w:rsid w:val="00C87349"/>
    <w:rsid w:val="00C87404"/>
    <w:rsid w:val="00CA53A3"/>
    <w:rsid w:val="00CA559D"/>
    <w:rsid w:val="00CB0F73"/>
    <w:rsid w:val="00CC6079"/>
    <w:rsid w:val="00CC6251"/>
    <w:rsid w:val="00CE37CA"/>
    <w:rsid w:val="00CF4C18"/>
    <w:rsid w:val="00D00AD5"/>
    <w:rsid w:val="00D20BB3"/>
    <w:rsid w:val="00D26831"/>
    <w:rsid w:val="00D37D29"/>
    <w:rsid w:val="00D44A8F"/>
    <w:rsid w:val="00D44DC4"/>
    <w:rsid w:val="00D623A0"/>
    <w:rsid w:val="00D66C4D"/>
    <w:rsid w:val="00D70F18"/>
    <w:rsid w:val="00D775F7"/>
    <w:rsid w:val="00D8318F"/>
    <w:rsid w:val="00D84CAD"/>
    <w:rsid w:val="00D93636"/>
    <w:rsid w:val="00D960CC"/>
    <w:rsid w:val="00DB0576"/>
    <w:rsid w:val="00DB0AEC"/>
    <w:rsid w:val="00DB5E03"/>
    <w:rsid w:val="00DB6855"/>
    <w:rsid w:val="00DC02CB"/>
    <w:rsid w:val="00DD55CC"/>
    <w:rsid w:val="00DE5870"/>
    <w:rsid w:val="00DF2E1D"/>
    <w:rsid w:val="00DF5EEF"/>
    <w:rsid w:val="00E030CA"/>
    <w:rsid w:val="00E034FD"/>
    <w:rsid w:val="00E15385"/>
    <w:rsid w:val="00E165A5"/>
    <w:rsid w:val="00E243E3"/>
    <w:rsid w:val="00E30BD8"/>
    <w:rsid w:val="00E34492"/>
    <w:rsid w:val="00E41A7D"/>
    <w:rsid w:val="00E57DA7"/>
    <w:rsid w:val="00E61C07"/>
    <w:rsid w:val="00E735B2"/>
    <w:rsid w:val="00E7718D"/>
    <w:rsid w:val="00E77D2E"/>
    <w:rsid w:val="00E9238D"/>
    <w:rsid w:val="00E9354C"/>
    <w:rsid w:val="00E9373F"/>
    <w:rsid w:val="00E93774"/>
    <w:rsid w:val="00EA006B"/>
    <w:rsid w:val="00EC0A73"/>
    <w:rsid w:val="00EC1E6F"/>
    <w:rsid w:val="00ED0F64"/>
    <w:rsid w:val="00ED5E5C"/>
    <w:rsid w:val="00EE638D"/>
    <w:rsid w:val="00EE7178"/>
    <w:rsid w:val="00EF45BF"/>
    <w:rsid w:val="00F071C1"/>
    <w:rsid w:val="00F13CBF"/>
    <w:rsid w:val="00F143D3"/>
    <w:rsid w:val="00F311AA"/>
    <w:rsid w:val="00F31EC7"/>
    <w:rsid w:val="00F3334E"/>
    <w:rsid w:val="00F37E7E"/>
    <w:rsid w:val="00F46204"/>
    <w:rsid w:val="00F55774"/>
    <w:rsid w:val="00F61283"/>
    <w:rsid w:val="00F61C32"/>
    <w:rsid w:val="00F65599"/>
    <w:rsid w:val="00F76946"/>
    <w:rsid w:val="00F85E7F"/>
    <w:rsid w:val="00F9431E"/>
    <w:rsid w:val="00F95ED2"/>
    <w:rsid w:val="00F96D43"/>
    <w:rsid w:val="00FA1550"/>
    <w:rsid w:val="00FA6727"/>
    <w:rsid w:val="00FB278C"/>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0C27"/>
  <w15:docId w15:val="{C9D180D3-527D-4A63-8C92-6109D446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semiHidden/>
    <w:unhideWhenUsed/>
    <w:rsid w:val="00EE6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styleId="UnresolvedMention">
    <w:name w:val="Unresolved Mention"/>
    <w:basedOn w:val="DefaultParagraphFont"/>
    <w:uiPriority w:val="99"/>
    <w:rsid w:val="00662194"/>
    <w:rPr>
      <w:color w:val="808080"/>
      <w:shd w:val="clear" w:color="auto" w:fill="E6E6E6"/>
    </w:rPr>
  </w:style>
  <w:style w:type="character" w:customStyle="1" w:styleId="xn-location">
    <w:name w:val="xn-location"/>
    <w:basedOn w:val="DefaultParagraphFont"/>
    <w:rsid w:val="00655FA2"/>
  </w:style>
  <w:style w:type="paragraph" w:styleId="FootnoteText">
    <w:name w:val="footnote text"/>
    <w:basedOn w:val="Normal"/>
    <w:link w:val="FootnoteTextChar"/>
    <w:uiPriority w:val="99"/>
    <w:semiHidden/>
    <w:unhideWhenUsed/>
    <w:rsid w:val="00CF4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C18"/>
    <w:rPr>
      <w:sz w:val="20"/>
      <w:szCs w:val="20"/>
    </w:rPr>
  </w:style>
  <w:style w:type="character" w:styleId="FootnoteReference">
    <w:name w:val="footnote reference"/>
    <w:basedOn w:val="DefaultParagraphFont"/>
    <w:uiPriority w:val="99"/>
    <w:semiHidden/>
    <w:unhideWhenUsed/>
    <w:rsid w:val="00CF4C18"/>
    <w:rPr>
      <w:vertAlign w:val="superscript"/>
    </w:rPr>
  </w:style>
  <w:style w:type="paragraph" w:customStyle="1" w:styleId="aos-init">
    <w:name w:val="aos-init"/>
    <w:basedOn w:val="Normal"/>
    <w:rsid w:val="000221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995"/>
    <w:rPr>
      <w:b/>
      <w:bCs/>
    </w:rPr>
  </w:style>
  <w:style w:type="paragraph" w:customStyle="1" w:styleId="m7653718262199481256gmail-m-3894493559025670643gmail-m-7660442145338123741gmail-responsivenews">
    <w:name w:val="m_7653718262199481256gmail-m_-3894493559025670643gmail-m_-7660442145338123741gmail-responsivenews"/>
    <w:basedOn w:val="Normal"/>
    <w:rsid w:val="00011F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01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537">
      <w:bodyDiv w:val="1"/>
      <w:marLeft w:val="0"/>
      <w:marRight w:val="0"/>
      <w:marTop w:val="0"/>
      <w:marBottom w:val="0"/>
      <w:divBdr>
        <w:top w:val="none" w:sz="0" w:space="0" w:color="auto"/>
        <w:left w:val="none" w:sz="0" w:space="0" w:color="auto"/>
        <w:bottom w:val="none" w:sz="0" w:space="0" w:color="auto"/>
        <w:right w:val="none" w:sz="0" w:space="0" w:color="auto"/>
      </w:divBdr>
    </w:div>
    <w:div w:id="123933539">
      <w:bodyDiv w:val="1"/>
      <w:marLeft w:val="0"/>
      <w:marRight w:val="0"/>
      <w:marTop w:val="0"/>
      <w:marBottom w:val="0"/>
      <w:divBdr>
        <w:top w:val="none" w:sz="0" w:space="0" w:color="auto"/>
        <w:left w:val="none" w:sz="0" w:space="0" w:color="auto"/>
        <w:bottom w:val="none" w:sz="0" w:space="0" w:color="auto"/>
        <w:right w:val="none" w:sz="0" w:space="0" w:color="auto"/>
      </w:divBdr>
    </w:div>
    <w:div w:id="178129963">
      <w:bodyDiv w:val="1"/>
      <w:marLeft w:val="0"/>
      <w:marRight w:val="0"/>
      <w:marTop w:val="0"/>
      <w:marBottom w:val="0"/>
      <w:divBdr>
        <w:top w:val="none" w:sz="0" w:space="0" w:color="auto"/>
        <w:left w:val="none" w:sz="0" w:space="0" w:color="auto"/>
        <w:bottom w:val="none" w:sz="0" w:space="0" w:color="auto"/>
        <w:right w:val="none" w:sz="0" w:space="0" w:color="auto"/>
      </w:divBdr>
      <w:divsChild>
        <w:div w:id="1400715064">
          <w:marLeft w:val="0"/>
          <w:marRight w:val="0"/>
          <w:marTop w:val="0"/>
          <w:marBottom w:val="525"/>
          <w:divBdr>
            <w:top w:val="none" w:sz="0" w:space="0" w:color="auto"/>
            <w:left w:val="none" w:sz="0" w:space="0" w:color="auto"/>
            <w:bottom w:val="none" w:sz="0" w:space="0" w:color="auto"/>
            <w:right w:val="none" w:sz="0" w:space="0" w:color="auto"/>
          </w:divBdr>
          <w:divsChild>
            <w:div w:id="1943220319">
              <w:marLeft w:val="0"/>
              <w:marRight w:val="0"/>
              <w:marTop w:val="0"/>
              <w:marBottom w:val="0"/>
              <w:divBdr>
                <w:top w:val="none" w:sz="0" w:space="0" w:color="auto"/>
                <w:left w:val="none" w:sz="0" w:space="0" w:color="auto"/>
                <w:bottom w:val="none" w:sz="0" w:space="0" w:color="auto"/>
                <w:right w:val="none" w:sz="0" w:space="0" w:color="auto"/>
              </w:divBdr>
            </w:div>
          </w:divsChild>
        </w:div>
        <w:div w:id="1255086581">
          <w:marLeft w:val="0"/>
          <w:marRight w:val="0"/>
          <w:marTop w:val="0"/>
          <w:marBottom w:val="525"/>
          <w:divBdr>
            <w:top w:val="none" w:sz="0" w:space="0" w:color="auto"/>
            <w:left w:val="none" w:sz="0" w:space="0" w:color="auto"/>
            <w:bottom w:val="none" w:sz="0" w:space="0" w:color="auto"/>
            <w:right w:val="none" w:sz="0" w:space="0" w:color="auto"/>
          </w:divBdr>
          <w:divsChild>
            <w:div w:id="1925066397">
              <w:marLeft w:val="0"/>
              <w:marRight w:val="0"/>
              <w:marTop w:val="0"/>
              <w:marBottom w:val="0"/>
              <w:divBdr>
                <w:top w:val="none" w:sz="0" w:space="0" w:color="auto"/>
                <w:left w:val="none" w:sz="0" w:space="0" w:color="auto"/>
                <w:bottom w:val="none" w:sz="0" w:space="0" w:color="auto"/>
                <w:right w:val="none" w:sz="0" w:space="0" w:color="auto"/>
              </w:divBdr>
            </w:div>
          </w:divsChild>
        </w:div>
        <w:div w:id="163859241">
          <w:marLeft w:val="0"/>
          <w:marRight w:val="0"/>
          <w:marTop w:val="0"/>
          <w:marBottom w:val="525"/>
          <w:divBdr>
            <w:top w:val="none" w:sz="0" w:space="0" w:color="auto"/>
            <w:left w:val="none" w:sz="0" w:space="0" w:color="auto"/>
            <w:bottom w:val="none" w:sz="0" w:space="0" w:color="auto"/>
            <w:right w:val="none" w:sz="0" w:space="0" w:color="auto"/>
          </w:divBdr>
          <w:divsChild>
            <w:div w:id="15386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126">
      <w:bodyDiv w:val="1"/>
      <w:marLeft w:val="0"/>
      <w:marRight w:val="0"/>
      <w:marTop w:val="0"/>
      <w:marBottom w:val="0"/>
      <w:divBdr>
        <w:top w:val="none" w:sz="0" w:space="0" w:color="auto"/>
        <w:left w:val="none" w:sz="0" w:space="0" w:color="auto"/>
        <w:bottom w:val="none" w:sz="0" w:space="0" w:color="auto"/>
        <w:right w:val="none" w:sz="0" w:space="0" w:color="auto"/>
      </w:divBdr>
    </w:div>
    <w:div w:id="205872092">
      <w:bodyDiv w:val="1"/>
      <w:marLeft w:val="0"/>
      <w:marRight w:val="0"/>
      <w:marTop w:val="0"/>
      <w:marBottom w:val="0"/>
      <w:divBdr>
        <w:top w:val="none" w:sz="0" w:space="0" w:color="auto"/>
        <w:left w:val="none" w:sz="0" w:space="0" w:color="auto"/>
        <w:bottom w:val="none" w:sz="0" w:space="0" w:color="auto"/>
        <w:right w:val="none" w:sz="0" w:space="0" w:color="auto"/>
      </w:divBdr>
    </w:div>
    <w:div w:id="242449418">
      <w:bodyDiv w:val="1"/>
      <w:marLeft w:val="0"/>
      <w:marRight w:val="0"/>
      <w:marTop w:val="0"/>
      <w:marBottom w:val="0"/>
      <w:divBdr>
        <w:top w:val="none" w:sz="0" w:space="0" w:color="auto"/>
        <w:left w:val="none" w:sz="0" w:space="0" w:color="auto"/>
        <w:bottom w:val="none" w:sz="0" w:space="0" w:color="auto"/>
        <w:right w:val="none" w:sz="0" w:space="0" w:color="auto"/>
      </w:divBdr>
    </w:div>
    <w:div w:id="255483283">
      <w:bodyDiv w:val="1"/>
      <w:marLeft w:val="0"/>
      <w:marRight w:val="0"/>
      <w:marTop w:val="0"/>
      <w:marBottom w:val="0"/>
      <w:divBdr>
        <w:top w:val="none" w:sz="0" w:space="0" w:color="auto"/>
        <w:left w:val="none" w:sz="0" w:space="0" w:color="auto"/>
        <w:bottom w:val="none" w:sz="0" w:space="0" w:color="auto"/>
        <w:right w:val="none" w:sz="0" w:space="0" w:color="auto"/>
      </w:divBdr>
    </w:div>
    <w:div w:id="358163093">
      <w:bodyDiv w:val="1"/>
      <w:marLeft w:val="0"/>
      <w:marRight w:val="0"/>
      <w:marTop w:val="0"/>
      <w:marBottom w:val="0"/>
      <w:divBdr>
        <w:top w:val="none" w:sz="0" w:space="0" w:color="auto"/>
        <w:left w:val="none" w:sz="0" w:space="0" w:color="auto"/>
        <w:bottom w:val="none" w:sz="0" w:space="0" w:color="auto"/>
        <w:right w:val="none" w:sz="0" w:space="0" w:color="auto"/>
      </w:divBdr>
      <w:divsChild>
        <w:div w:id="468473045">
          <w:marLeft w:val="0"/>
          <w:marRight w:val="0"/>
          <w:marTop w:val="0"/>
          <w:marBottom w:val="0"/>
          <w:divBdr>
            <w:top w:val="none" w:sz="0" w:space="0" w:color="auto"/>
            <w:left w:val="none" w:sz="0" w:space="0" w:color="auto"/>
            <w:bottom w:val="none" w:sz="0" w:space="0" w:color="auto"/>
            <w:right w:val="none" w:sz="0" w:space="0" w:color="auto"/>
          </w:divBdr>
          <w:divsChild>
            <w:div w:id="1355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9622">
      <w:bodyDiv w:val="1"/>
      <w:marLeft w:val="0"/>
      <w:marRight w:val="0"/>
      <w:marTop w:val="0"/>
      <w:marBottom w:val="0"/>
      <w:divBdr>
        <w:top w:val="none" w:sz="0" w:space="0" w:color="auto"/>
        <w:left w:val="none" w:sz="0" w:space="0" w:color="auto"/>
        <w:bottom w:val="none" w:sz="0" w:space="0" w:color="auto"/>
        <w:right w:val="none" w:sz="0" w:space="0" w:color="auto"/>
      </w:divBdr>
    </w:div>
    <w:div w:id="411127541">
      <w:bodyDiv w:val="1"/>
      <w:marLeft w:val="0"/>
      <w:marRight w:val="0"/>
      <w:marTop w:val="0"/>
      <w:marBottom w:val="0"/>
      <w:divBdr>
        <w:top w:val="none" w:sz="0" w:space="0" w:color="auto"/>
        <w:left w:val="none" w:sz="0" w:space="0" w:color="auto"/>
        <w:bottom w:val="none" w:sz="0" w:space="0" w:color="auto"/>
        <w:right w:val="none" w:sz="0" w:space="0" w:color="auto"/>
      </w:divBdr>
    </w:div>
    <w:div w:id="457072503">
      <w:bodyDiv w:val="1"/>
      <w:marLeft w:val="0"/>
      <w:marRight w:val="0"/>
      <w:marTop w:val="0"/>
      <w:marBottom w:val="0"/>
      <w:divBdr>
        <w:top w:val="none" w:sz="0" w:space="0" w:color="auto"/>
        <w:left w:val="none" w:sz="0" w:space="0" w:color="auto"/>
        <w:bottom w:val="none" w:sz="0" w:space="0" w:color="auto"/>
        <w:right w:val="none" w:sz="0" w:space="0" w:color="auto"/>
      </w:divBdr>
      <w:divsChild>
        <w:div w:id="104668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1141">
              <w:marLeft w:val="0"/>
              <w:marRight w:val="0"/>
              <w:marTop w:val="0"/>
              <w:marBottom w:val="0"/>
              <w:divBdr>
                <w:top w:val="none" w:sz="0" w:space="0" w:color="auto"/>
                <w:left w:val="none" w:sz="0" w:space="0" w:color="auto"/>
                <w:bottom w:val="none" w:sz="0" w:space="0" w:color="auto"/>
                <w:right w:val="none" w:sz="0" w:space="0" w:color="auto"/>
              </w:divBdr>
              <w:divsChild>
                <w:div w:id="1342007079">
                  <w:marLeft w:val="0"/>
                  <w:marRight w:val="0"/>
                  <w:marTop w:val="0"/>
                  <w:marBottom w:val="0"/>
                  <w:divBdr>
                    <w:top w:val="none" w:sz="0" w:space="0" w:color="auto"/>
                    <w:left w:val="none" w:sz="0" w:space="0" w:color="auto"/>
                    <w:bottom w:val="none" w:sz="0" w:space="0" w:color="auto"/>
                    <w:right w:val="none" w:sz="0" w:space="0" w:color="auto"/>
                  </w:divBdr>
                  <w:divsChild>
                    <w:div w:id="793719666">
                      <w:marLeft w:val="0"/>
                      <w:marRight w:val="0"/>
                      <w:marTop w:val="0"/>
                      <w:marBottom w:val="0"/>
                      <w:divBdr>
                        <w:top w:val="none" w:sz="0" w:space="0" w:color="auto"/>
                        <w:left w:val="none" w:sz="0" w:space="0" w:color="auto"/>
                        <w:bottom w:val="none" w:sz="0" w:space="0" w:color="auto"/>
                        <w:right w:val="none" w:sz="0" w:space="0" w:color="auto"/>
                      </w:divBdr>
                    </w:div>
                    <w:div w:id="729503712">
                      <w:marLeft w:val="0"/>
                      <w:marRight w:val="0"/>
                      <w:marTop w:val="0"/>
                      <w:marBottom w:val="0"/>
                      <w:divBdr>
                        <w:top w:val="none" w:sz="0" w:space="0" w:color="auto"/>
                        <w:left w:val="none" w:sz="0" w:space="0" w:color="auto"/>
                        <w:bottom w:val="none" w:sz="0" w:space="0" w:color="auto"/>
                        <w:right w:val="none" w:sz="0" w:space="0" w:color="auto"/>
                      </w:divBdr>
                    </w:div>
                    <w:div w:id="15815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8680">
      <w:bodyDiv w:val="1"/>
      <w:marLeft w:val="0"/>
      <w:marRight w:val="0"/>
      <w:marTop w:val="0"/>
      <w:marBottom w:val="0"/>
      <w:divBdr>
        <w:top w:val="none" w:sz="0" w:space="0" w:color="auto"/>
        <w:left w:val="none" w:sz="0" w:space="0" w:color="auto"/>
        <w:bottom w:val="none" w:sz="0" w:space="0" w:color="auto"/>
        <w:right w:val="none" w:sz="0" w:space="0" w:color="auto"/>
      </w:divBdr>
    </w:div>
    <w:div w:id="579415321">
      <w:bodyDiv w:val="1"/>
      <w:marLeft w:val="0"/>
      <w:marRight w:val="0"/>
      <w:marTop w:val="0"/>
      <w:marBottom w:val="0"/>
      <w:divBdr>
        <w:top w:val="none" w:sz="0" w:space="0" w:color="auto"/>
        <w:left w:val="none" w:sz="0" w:space="0" w:color="auto"/>
        <w:bottom w:val="none" w:sz="0" w:space="0" w:color="auto"/>
        <w:right w:val="none" w:sz="0" w:space="0" w:color="auto"/>
      </w:divBdr>
    </w:div>
    <w:div w:id="581912961">
      <w:bodyDiv w:val="1"/>
      <w:marLeft w:val="0"/>
      <w:marRight w:val="0"/>
      <w:marTop w:val="0"/>
      <w:marBottom w:val="0"/>
      <w:divBdr>
        <w:top w:val="none" w:sz="0" w:space="0" w:color="auto"/>
        <w:left w:val="none" w:sz="0" w:space="0" w:color="auto"/>
        <w:bottom w:val="none" w:sz="0" w:space="0" w:color="auto"/>
        <w:right w:val="none" w:sz="0" w:space="0" w:color="auto"/>
      </w:divBdr>
    </w:div>
    <w:div w:id="625698889">
      <w:bodyDiv w:val="1"/>
      <w:marLeft w:val="0"/>
      <w:marRight w:val="0"/>
      <w:marTop w:val="0"/>
      <w:marBottom w:val="0"/>
      <w:divBdr>
        <w:top w:val="none" w:sz="0" w:space="0" w:color="auto"/>
        <w:left w:val="none" w:sz="0" w:space="0" w:color="auto"/>
        <w:bottom w:val="none" w:sz="0" w:space="0" w:color="auto"/>
        <w:right w:val="none" w:sz="0" w:space="0" w:color="auto"/>
      </w:divBdr>
    </w:div>
    <w:div w:id="782303966">
      <w:bodyDiv w:val="1"/>
      <w:marLeft w:val="0"/>
      <w:marRight w:val="0"/>
      <w:marTop w:val="0"/>
      <w:marBottom w:val="0"/>
      <w:divBdr>
        <w:top w:val="none" w:sz="0" w:space="0" w:color="auto"/>
        <w:left w:val="none" w:sz="0" w:space="0" w:color="auto"/>
        <w:bottom w:val="none" w:sz="0" w:space="0" w:color="auto"/>
        <w:right w:val="none" w:sz="0" w:space="0" w:color="auto"/>
      </w:divBdr>
    </w:div>
    <w:div w:id="890767514">
      <w:bodyDiv w:val="1"/>
      <w:marLeft w:val="0"/>
      <w:marRight w:val="0"/>
      <w:marTop w:val="0"/>
      <w:marBottom w:val="0"/>
      <w:divBdr>
        <w:top w:val="none" w:sz="0" w:space="0" w:color="auto"/>
        <w:left w:val="none" w:sz="0" w:space="0" w:color="auto"/>
        <w:bottom w:val="none" w:sz="0" w:space="0" w:color="auto"/>
        <w:right w:val="none" w:sz="0" w:space="0" w:color="auto"/>
      </w:divBdr>
    </w:div>
    <w:div w:id="898321144">
      <w:bodyDiv w:val="1"/>
      <w:marLeft w:val="0"/>
      <w:marRight w:val="0"/>
      <w:marTop w:val="0"/>
      <w:marBottom w:val="0"/>
      <w:divBdr>
        <w:top w:val="none" w:sz="0" w:space="0" w:color="auto"/>
        <w:left w:val="none" w:sz="0" w:space="0" w:color="auto"/>
        <w:bottom w:val="none" w:sz="0" w:space="0" w:color="auto"/>
        <w:right w:val="none" w:sz="0" w:space="0" w:color="auto"/>
      </w:divBdr>
    </w:div>
    <w:div w:id="912618928">
      <w:bodyDiv w:val="1"/>
      <w:marLeft w:val="0"/>
      <w:marRight w:val="0"/>
      <w:marTop w:val="0"/>
      <w:marBottom w:val="0"/>
      <w:divBdr>
        <w:top w:val="none" w:sz="0" w:space="0" w:color="auto"/>
        <w:left w:val="none" w:sz="0" w:space="0" w:color="auto"/>
        <w:bottom w:val="none" w:sz="0" w:space="0" w:color="auto"/>
        <w:right w:val="none" w:sz="0" w:space="0" w:color="auto"/>
      </w:divBdr>
    </w:div>
    <w:div w:id="978918326">
      <w:bodyDiv w:val="1"/>
      <w:marLeft w:val="0"/>
      <w:marRight w:val="0"/>
      <w:marTop w:val="0"/>
      <w:marBottom w:val="0"/>
      <w:divBdr>
        <w:top w:val="none" w:sz="0" w:space="0" w:color="auto"/>
        <w:left w:val="none" w:sz="0" w:space="0" w:color="auto"/>
        <w:bottom w:val="none" w:sz="0" w:space="0" w:color="auto"/>
        <w:right w:val="none" w:sz="0" w:space="0" w:color="auto"/>
      </w:divBdr>
      <w:divsChild>
        <w:div w:id="1936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847170">
              <w:marLeft w:val="0"/>
              <w:marRight w:val="0"/>
              <w:marTop w:val="0"/>
              <w:marBottom w:val="0"/>
              <w:divBdr>
                <w:top w:val="none" w:sz="0" w:space="0" w:color="auto"/>
                <w:left w:val="none" w:sz="0" w:space="0" w:color="auto"/>
                <w:bottom w:val="none" w:sz="0" w:space="0" w:color="auto"/>
                <w:right w:val="none" w:sz="0" w:space="0" w:color="auto"/>
              </w:divBdr>
              <w:divsChild>
                <w:div w:id="7243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4252">
                      <w:marLeft w:val="0"/>
                      <w:marRight w:val="0"/>
                      <w:marTop w:val="0"/>
                      <w:marBottom w:val="0"/>
                      <w:divBdr>
                        <w:top w:val="none" w:sz="0" w:space="0" w:color="auto"/>
                        <w:left w:val="none" w:sz="0" w:space="0" w:color="auto"/>
                        <w:bottom w:val="none" w:sz="0" w:space="0" w:color="auto"/>
                        <w:right w:val="none" w:sz="0" w:space="0" w:color="auto"/>
                      </w:divBdr>
                      <w:divsChild>
                        <w:div w:id="621037323">
                          <w:marLeft w:val="0"/>
                          <w:marRight w:val="0"/>
                          <w:marTop w:val="0"/>
                          <w:marBottom w:val="0"/>
                          <w:divBdr>
                            <w:top w:val="none" w:sz="0" w:space="0" w:color="auto"/>
                            <w:left w:val="none" w:sz="0" w:space="0" w:color="auto"/>
                            <w:bottom w:val="none" w:sz="0" w:space="0" w:color="auto"/>
                            <w:right w:val="none" w:sz="0" w:space="0" w:color="auto"/>
                          </w:divBdr>
                          <w:divsChild>
                            <w:div w:id="1263563905">
                              <w:marLeft w:val="0"/>
                              <w:marRight w:val="0"/>
                              <w:marTop w:val="0"/>
                              <w:marBottom w:val="0"/>
                              <w:divBdr>
                                <w:top w:val="none" w:sz="0" w:space="0" w:color="auto"/>
                                <w:left w:val="none" w:sz="0" w:space="0" w:color="auto"/>
                                <w:bottom w:val="none" w:sz="0" w:space="0" w:color="auto"/>
                                <w:right w:val="none" w:sz="0" w:space="0" w:color="auto"/>
                              </w:divBdr>
                            </w:div>
                            <w:div w:id="552348799">
                              <w:marLeft w:val="0"/>
                              <w:marRight w:val="0"/>
                              <w:marTop w:val="0"/>
                              <w:marBottom w:val="0"/>
                              <w:divBdr>
                                <w:top w:val="none" w:sz="0" w:space="0" w:color="auto"/>
                                <w:left w:val="none" w:sz="0" w:space="0" w:color="auto"/>
                                <w:bottom w:val="none" w:sz="0" w:space="0" w:color="auto"/>
                                <w:right w:val="none" w:sz="0" w:space="0" w:color="auto"/>
                              </w:divBdr>
                            </w:div>
                            <w:div w:id="627467978">
                              <w:marLeft w:val="0"/>
                              <w:marRight w:val="0"/>
                              <w:marTop w:val="0"/>
                              <w:marBottom w:val="0"/>
                              <w:divBdr>
                                <w:top w:val="none" w:sz="0" w:space="0" w:color="auto"/>
                                <w:left w:val="none" w:sz="0" w:space="0" w:color="auto"/>
                                <w:bottom w:val="none" w:sz="0" w:space="0" w:color="auto"/>
                                <w:right w:val="none" w:sz="0" w:space="0" w:color="auto"/>
                              </w:divBdr>
                            </w:div>
                            <w:div w:id="97676584">
                              <w:marLeft w:val="0"/>
                              <w:marRight w:val="0"/>
                              <w:marTop w:val="0"/>
                              <w:marBottom w:val="0"/>
                              <w:divBdr>
                                <w:top w:val="none" w:sz="0" w:space="0" w:color="auto"/>
                                <w:left w:val="none" w:sz="0" w:space="0" w:color="auto"/>
                                <w:bottom w:val="none" w:sz="0" w:space="0" w:color="auto"/>
                                <w:right w:val="none" w:sz="0" w:space="0" w:color="auto"/>
                              </w:divBdr>
                            </w:div>
                            <w:div w:id="1207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7146">
      <w:bodyDiv w:val="1"/>
      <w:marLeft w:val="0"/>
      <w:marRight w:val="0"/>
      <w:marTop w:val="0"/>
      <w:marBottom w:val="0"/>
      <w:divBdr>
        <w:top w:val="none" w:sz="0" w:space="0" w:color="auto"/>
        <w:left w:val="none" w:sz="0" w:space="0" w:color="auto"/>
        <w:bottom w:val="none" w:sz="0" w:space="0" w:color="auto"/>
        <w:right w:val="none" w:sz="0" w:space="0" w:color="auto"/>
      </w:divBdr>
    </w:div>
    <w:div w:id="1045062597">
      <w:bodyDiv w:val="1"/>
      <w:marLeft w:val="0"/>
      <w:marRight w:val="0"/>
      <w:marTop w:val="0"/>
      <w:marBottom w:val="0"/>
      <w:divBdr>
        <w:top w:val="none" w:sz="0" w:space="0" w:color="auto"/>
        <w:left w:val="none" w:sz="0" w:space="0" w:color="auto"/>
        <w:bottom w:val="none" w:sz="0" w:space="0" w:color="auto"/>
        <w:right w:val="none" w:sz="0" w:space="0" w:color="auto"/>
      </w:divBdr>
    </w:div>
    <w:div w:id="1166897748">
      <w:bodyDiv w:val="1"/>
      <w:marLeft w:val="0"/>
      <w:marRight w:val="0"/>
      <w:marTop w:val="0"/>
      <w:marBottom w:val="0"/>
      <w:divBdr>
        <w:top w:val="none" w:sz="0" w:space="0" w:color="auto"/>
        <w:left w:val="none" w:sz="0" w:space="0" w:color="auto"/>
        <w:bottom w:val="none" w:sz="0" w:space="0" w:color="auto"/>
        <w:right w:val="none" w:sz="0" w:space="0" w:color="auto"/>
      </w:divBdr>
    </w:div>
    <w:div w:id="1179390349">
      <w:bodyDiv w:val="1"/>
      <w:marLeft w:val="0"/>
      <w:marRight w:val="0"/>
      <w:marTop w:val="0"/>
      <w:marBottom w:val="0"/>
      <w:divBdr>
        <w:top w:val="none" w:sz="0" w:space="0" w:color="auto"/>
        <w:left w:val="none" w:sz="0" w:space="0" w:color="auto"/>
        <w:bottom w:val="none" w:sz="0" w:space="0" w:color="auto"/>
        <w:right w:val="none" w:sz="0" w:space="0" w:color="auto"/>
      </w:divBdr>
    </w:div>
    <w:div w:id="1213663165">
      <w:bodyDiv w:val="1"/>
      <w:marLeft w:val="0"/>
      <w:marRight w:val="0"/>
      <w:marTop w:val="0"/>
      <w:marBottom w:val="0"/>
      <w:divBdr>
        <w:top w:val="none" w:sz="0" w:space="0" w:color="auto"/>
        <w:left w:val="none" w:sz="0" w:space="0" w:color="auto"/>
        <w:bottom w:val="none" w:sz="0" w:space="0" w:color="auto"/>
        <w:right w:val="none" w:sz="0" w:space="0" w:color="auto"/>
      </w:divBdr>
    </w:div>
    <w:div w:id="1245145250">
      <w:bodyDiv w:val="1"/>
      <w:marLeft w:val="0"/>
      <w:marRight w:val="0"/>
      <w:marTop w:val="0"/>
      <w:marBottom w:val="0"/>
      <w:divBdr>
        <w:top w:val="none" w:sz="0" w:space="0" w:color="auto"/>
        <w:left w:val="none" w:sz="0" w:space="0" w:color="auto"/>
        <w:bottom w:val="none" w:sz="0" w:space="0" w:color="auto"/>
        <w:right w:val="none" w:sz="0" w:space="0" w:color="auto"/>
      </w:divBdr>
    </w:div>
    <w:div w:id="1255897640">
      <w:bodyDiv w:val="1"/>
      <w:marLeft w:val="0"/>
      <w:marRight w:val="0"/>
      <w:marTop w:val="0"/>
      <w:marBottom w:val="0"/>
      <w:divBdr>
        <w:top w:val="none" w:sz="0" w:space="0" w:color="auto"/>
        <w:left w:val="none" w:sz="0" w:space="0" w:color="auto"/>
        <w:bottom w:val="none" w:sz="0" w:space="0" w:color="auto"/>
        <w:right w:val="none" w:sz="0" w:space="0" w:color="auto"/>
      </w:divBdr>
    </w:div>
    <w:div w:id="1356157929">
      <w:bodyDiv w:val="1"/>
      <w:marLeft w:val="0"/>
      <w:marRight w:val="0"/>
      <w:marTop w:val="0"/>
      <w:marBottom w:val="0"/>
      <w:divBdr>
        <w:top w:val="none" w:sz="0" w:space="0" w:color="auto"/>
        <w:left w:val="none" w:sz="0" w:space="0" w:color="auto"/>
        <w:bottom w:val="none" w:sz="0" w:space="0" w:color="auto"/>
        <w:right w:val="none" w:sz="0" w:space="0" w:color="auto"/>
      </w:divBdr>
    </w:div>
    <w:div w:id="1602763788">
      <w:bodyDiv w:val="1"/>
      <w:marLeft w:val="0"/>
      <w:marRight w:val="0"/>
      <w:marTop w:val="0"/>
      <w:marBottom w:val="0"/>
      <w:divBdr>
        <w:top w:val="none" w:sz="0" w:space="0" w:color="auto"/>
        <w:left w:val="none" w:sz="0" w:space="0" w:color="auto"/>
        <w:bottom w:val="none" w:sz="0" w:space="0" w:color="auto"/>
        <w:right w:val="none" w:sz="0" w:space="0" w:color="auto"/>
      </w:divBdr>
    </w:div>
    <w:div w:id="1675912267">
      <w:bodyDiv w:val="1"/>
      <w:marLeft w:val="0"/>
      <w:marRight w:val="0"/>
      <w:marTop w:val="0"/>
      <w:marBottom w:val="0"/>
      <w:divBdr>
        <w:top w:val="none" w:sz="0" w:space="0" w:color="auto"/>
        <w:left w:val="none" w:sz="0" w:space="0" w:color="auto"/>
        <w:bottom w:val="none" w:sz="0" w:space="0" w:color="auto"/>
        <w:right w:val="none" w:sz="0" w:space="0" w:color="auto"/>
      </w:divBdr>
    </w:div>
    <w:div w:id="1730112341">
      <w:bodyDiv w:val="1"/>
      <w:marLeft w:val="0"/>
      <w:marRight w:val="0"/>
      <w:marTop w:val="0"/>
      <w:marBottom w:val="0"/>
      <w:divBdr>
        <w:top w:val="none" w:sz="0" w:space="0" w:color="auto"/>
        <w:left w:val="none" w:sz="0" w:space="0" w:color="auto"/>
        <w:bottom w:val="none" w:sz="0" w:space="0" w:color="auto"/>
        <w:right w:val="none" w:sz="0" w:space="0" w:color="auto"/>
      </w:divBdr>
      <w:divsChild>
        <w:div w:id="682317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97040">
              <w:marLeft w:val="0"/>
              <w:marRight w:val="0"/>
              <w:marTop w:val="0"/>
              <w:marBottom w:val="0"/>
              <w:divBdr>
                <w:top w:val="none" w:sz="0" w:space="0" w:color="auto"/>
                <w:left w:val="none" w:sz="0" w:space="0" w:color="auto"/>
                <w:bottom w:val="none" w:sz="0" w:space="0" w:color="auto"/>
                <w:right w:val="none" w:sz="0" w:space="0" w:color="auto"/>
              </w:divBdr>
              <w:divsChild>
                <w:div w:id="348140714">
                  <w:marLeft w:val="0"/>
                  <w:marRight w:val="0"/>
                  <w:marTop w:val="0"/>
                  <w:marBottom w:val="0"/>
                  <w:divBdr>
                    <w:top w:val="none" w:sz="0" w:space="0" w:color="auto"/>
                    <w:left w:val="none" w:sz="0" w:space="0" w:color="auto"/>
                    <w:bottom w:val="none" w:sz="0" w:space="0" w:color="auto"/>
                    <w:right w:val="none" w:sz="0" w:space="0" w:color="auto"/>
                  </w:divBdr>
                  <w:divsChild>
                    <w:div w:id="536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6904">
      <w:bodyDiv w:val="1"/>
      <w:marLeft w:val="0"/>
      <w:marRight w:val="0"/>
      <w:marTop w:val="0"/>
      <w:marBottom w:val="0"/>
      <w:divBdr>
        <w:top w:val="none" w:sz="0" w:space="0" w:color="auto"/>
        <w:left w:val="none" w:sz="0" w:space="0" w:color="auto"/>
        <w:bottom w:val="none" w:sz="0" w:space="0" w:color="auto"/>
        <w:right w:val="none" w:sz="0" w:space="0" w:color="auto"/>
      </w:divBdr>
    </w:div>
    <w:div w:id="1773088368">
      <w:bodyDiv w:val="1"/>
      <w:marLeft w:val="0"/>
      <w:marRight w:val="0"/>
      <w:marTop w:val="0"/>
      <w:marBottom w:val="0"/>
      <w:divBdr>
        <w:top w:val="none" w:sz="0" w:space="0" w:color="auto"/>
        <w:left w:val="none" w:sz="0" w:space="0" w:color="auto"/>
        <w:bottom w:val="none" w:sz="0" w:space="0" w:color="auto"/>
        <w:right w:val="none" w:sz="0" w:space="0" w:color="auto"/>
      </w:divBdr>
    </w:div>
    <w:div w:id="1873760924">
      <w:bodyDiv w:val="1"/>
      <w:marLeft w:val="0"/>
      <w:marRight w:val="0"/>
      <w:marTop w:val="0"/>
      <w:marBottom w:val="0"/>
      <w:divBdr>
        <w:top w:val="none" w:sz="0" w:space="0" w:color="auto"/>
        <w:left w:val="none" w:sz="0" w:space="0" w:color="auto"/>
        <w:bottom w:val="none" w:sz="0" w:space="0" w:color="auto"/>
        <w:right w:val="none" w:sz="0" w:space="0" w:color="auto"/>
      </w:divBdr>
    </w:div>
    <w:div w:id="1961374569">
      <w:bodyDiv w:val="1"/>
      <w:marLeft w:val="0"/>
      <w:marRight w:val="0"/>
      <w:marTop w:val="0"/>
      <w:marBottom w:val="0"/>
      <w:divBdr>
        <w:top w:val="none" w:sz="0" w:space="0" w:color="auto"/>
        <w:left w:val="none" w:sz="0" w:space="0" w:color="auto"/>
        <w:bottom w:val="none" w:sz="0" w:space="0" w:color="auto"/>
        <w:right w:val="none" w:sz="0" w:space="0" w:color="auto"/>
      </w:divBdr>
    </w:div>
    <w:div w:id="1968118862">
      <w:bodyDiv w:val="1"/>
      <w:marLeft w:val="0"/>
      <w:marRight w:val="0"/>
      <w:marTop w:val="0"/>
      <w:marBottom w:val="0"/>
      <w:divBdr>
        <w:top w:val="none" w:sz="0" w:space="0" w:color="auto"/>
        <w:left w:val="none" w:sz="0" w:space="0" w:color="auto"/>
        <w:bottom w:val="none" w:sz="0" w:space="0" w:color="auto"/>
        <w:right w:val="none" w:sz="0" w:space="0" w:color="auto"/>
      </w:divBdr>
    </w:div>
    <w:div w:id="206714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d.jessop@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TOMDOTCOM</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Microsoft Office User</cp:lastModifiedBy>
  <cp:revision>14</cp:revision>
  <cp:lastPrinted>2019-01-07T00:48:00Z</cp:lastPrinted>
  <dcterms:created xsi:type="dcterms:W3CDTF">2019-01-07T00:13:00Z</dcterms:created>
  <dcterms:modified xsi:type="dcterms:W3CDTF">2019-01-08T18:03:00Z</dcterms:modified>
</cp:coreProperties>
</file>