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6D5B" w14:textId="77777777" w:rsidR="00376DF5" w:rsidRDefault="00A44721">
      <w:pPr>
        <w:contextualSpacing w:val="0"/>
      </w:pPr>
      <w:bookmarkStart w:id="0" w:name="_GoBack"/>
      <w:bookmarkEnd w:id="0"/>
    </w:p>
    <w:p w14:paraId="5A63F35B" w14:textId="7927D2BD" w:rsidR="00BB01A9" w:rsidRDefault="00982A71" w:rsidP="00BB01A9">
      <w:pPr>
        <w:contextualSpacing w:val="0"/>
        <w:jc w:val="center"/>
        <w:rPr>
          <w:b/>
          <w:color w:val="2E74B5"/>
          <w:sz w:val="28"/>
          <w:szCs w:val="28"/>
        </w:rPr>
      </w:pPr>
      <w:r w:rsidRPr="00924F56">
        <w:rPr>
          <w:b/>
          <w:color w:val="2E74B5"/>
          <w:sz w:val="28"/>
          <w:szCs w:val="28"/>
        </w:rPr>
        <w:t>CANNAMERICA</w:t>
      </w:r>
      <w:r>
        <w:rPr>
          <w:b/>
          <w:color w:val="2E74B5"/>
          <w:sz w:val="28"/>
          <w:szCs w:val="28"/>
        </w:rPr>
        <w:t xml:space="preserve"> </w:t>
      </w:r>
      <w:r w:rsidR="007B6317">
        <w:rPr>
          <w:b/>
          <w:color w:val="2E74B5"/>
          <w:sz w:val="28"/>
          <w:szCs w:val="28"/>
        </w:rPr>
        <w:t xml:space="preserve">SIGNS LOI TO </w:t>
      </w:r>
      <w:r w:rsidR="00F623F0">
        <w:rPr>
          <w:b/>
          <w:color w:val="2E74B5"/>
          <w:sz w:val="28"/>
          <w:szCs w:val="28"/>
        </w:rPr>
        <w:t>DISTRIBUTE LICENSED PRODUCTS IN OKLAHOMA</w:t>
      </w:r>
      <w:r>
        <w:rPr>
          <w:b/>
          <w:color w:val="2E74B5"/>
          <w:sz w:val="28"/>
          <w:szCs w:val="28"/>
        </w:rPr>
        <w:t xml:space="preserve"> </w:t>
      </w:r>
    </w:p>
    <w:p w14:paraId="477BC5D8" w14:textId="77777777" w:rsidR="008033D1" w:rsidRPr="00924F56" w:rsidRDefault="00A44721" w:rsidP="00BB01A9">
      <w:pPr>
        <w:contextualSpacing w:val="0"/>
        <w:jc w:val="center"/>
        <w:rPr>
          <w:b/>
          <w:sz w:val="20"/>
          <w:szCs w:val="20"/>
        </w:rPr>
      </w:pPr>
    </w:p>
    <w:p w14:paraId="60E5CB11" w14:textId="630C9D74" w:rsidR="00362203" w:rsidRDefault="00982A71" w:rsidP="004B6EDA">
      <w:pPr>
        <w:pStyle w:val="NormalWeb"/>
        <w:shd w:val="clear" w:color="auto" w:fill="FFFFFF"/>
        <w:spacing w:after="150"/>
        <w:jc w:val="both"/>
        <w:rPr>
          <w:rFonts w:ascii="Arial" w:hAnsi="Arial" w:cs="Arial"/>
          <w:color w:val="333333"/>
          <w:sz w:val="20"/>
          <w:szCs w:val="20"/>
        </w:rPr>
      </w:pPr>
      <w:r w:rsidRPr="002C10B0">
        <w:rPr>
          <w:rFonts w:ascii="Arial" w:hAnsi="Arial" w:cs="Arial"/>
          <w:b/>
          <w:sz w:val="20"/>
          <w:szCs w:val="20"/>
        </w:rPr>
        <w:t xml:space="preserve">VANCOUVER, </w:t>
      </w:r>
      <w:r w:rsidR="007C47A0" w:rsidRPr="002C10B0">
        <w:rPr>
          <w:rFonts w:ascii="Arial" w:hAnsi="Arial" w:cs="Arial"/>
          <w:b/>
          <w:sz w:val="20"/>
          <w:szCs w:val="20"/>
        </w:rPr>
        <w:t xml:space="preserve">March </w:t>
      </w:r>
      <w:r w:rsidR="00A86227">
        <w:rPr>
          <w:rFonts w:ascii="Arial" w:hAnsi="Arial" w:cs="Arial"/>
          <w:b/>
          <w:sz w:val="20"/>
          <w:szCs w:val="20"/>
        </w:rPr>
        <w:t>22</w:t>
      </w:r>
      <w:r w:rsidRPr="002C10B0">
        <w:rPr>
          <w:rFonts w:ascii="Arial" w:hAnsi="Arial" w:cs="Arial"/>
          <w:b/>
          <w:sz w:val="20"/>
          <w:szCs w:val="20"/>
        </w:rPr>
        <w:t xml:space="preserve">, 2019 </w:t>
      </w:r>
      <w:r w:rsidRPr="002C10B0">
        <w:rPr>
          <w:rFonts w:ascii="Arial" w:hAnsi="Arial" w:cs="Arial"/>
          <w:b/>
          <w:bCs/>
          <w:sz w:val="20"/>
          <w:szCs w:val="20"/>
        </w:rPr>
        <w:t>–</w:t>
      </w:r>
      <w:r w:rsidRPr="002C10B0">
        <w:rPr>
          <w:rFonts w:ascii="Arial" w:hAnsi="Arial" w:cs="Arial"/>
          <w:b/>
          <w:sz w:val="20"/>
          <w:szCs w:val="20"/>
        </w:rPr>
        <w:t xml:space="preserve"> CANNAMERICA BRANDS CORP. ("CANA" or the "Company") (CSE: CANA) (OTCQB: CNNXF)</w:t>
      </w:r>
      <w:r w:rsidRPr="002C10B0">
        <w:rPr>
          <w:rFonts w:ascii="Arial" w:hAnsi="Arial" w:cs="Arial"/>
          <w:sz w:val="20"/>
          <w:szCs w:val="20"/>
        </w:rPr>
        <w:t xml:space="preserve"> </w:t>
      </w:r>
      <w:r w:rsidR="004B6EDA" w:rsidRPr="004B6EDA">
        <w:rPr>
          <w:rFonts w:ascii="Arial" w:hAnsi="Arial" w:cs="Arial"/>
          <w:color w:val="333333"/>
          <w:sz w:val="20"/>
          <w:szCs w:val="20"/>
        </w:rPr>
        <w:t xml:space="preserve">is </w:t>
      </w:r>
      <w:r w:rsidR="007B6317" w:rsidRPr="007B6317">
        <w:rPr>
          <w:rFonts w:ascii="Arial" w:hAnsi="Arial" w:cs="Arial"/>
          <w:color w:val="333333"/>
          <w:sz w:val="20"/>
          <w:szCs w:val="20"/>
        </w:rPr>
        <w:t xml:space="preserve">pleased to announce that </w:t>
      </w:r>
      <w:r w:rsidR="00191C64">
        <w:rPr>
          <w:rFonts w:ascii="Arial" w:hAnsi="Arial" w:cs="Arial"/>
          <w:color w:val="333333"/>
          <w:sz w:val="20"/>
          <w:szCs w:val="20"/>
        </w:rPr>
        <w:t xml:space="preserve">on March 14, 2019 it </w:t>
      </w:r>
      <w:r w:rsidR="007B6317" w:rsidRPr="007B6317">
        <w:rPr>
          <w:rFonts w:ascii="Arial" w:hAnsi="Arial" w:cs="Arial"/>
          <w:color w:val="333333"/>
          <w:sz w:val="20"/>
          <w:szCs w:val="20"/>
        </w:rPr>
        <w:t>ha</w:t>
      </w:r>
      <w:r w:rsidR="00191C64">
        <w:rPr>
          <w:rFonts w:ascii="Arial" w:hAnsi="Arial" w:cs="Arial"/>
          <w:color w:val="333333"/>
          <w:sz w:val="20"/>
          <w:szCs w:val="20"/>
        </w:rPr>
        <w:t>d</w:t>
      </w:r>
      <w:r w:rsidR="007B6317" w:rsidRPr="007B6317">
        <w:rPr>
          <w:rFonts w:ascii="Arial" w:hAnsi="Arial" w:cs="Arial"/>
          <w:color w:val="333333"/>
          <w:sz w:val="20"/>
          <w:szCs w:val="20"/>
        </w:rPr>
        <w:t xml:space="preserve"> entered into a binding letter of intent ("LOI") </w:t>
      </w:r>
      <w:r w:rsidR="00F623F0">
        <w:rPr>
          <w:rFonts w:ascii="Arial" w:hAnsi="Arial" w:cs="Arial"/>
          <w:color w:val="333333"/>
          <w:sz w:val="20"/>
          <w:szCs w:val="20"/>
        </w:rPr>
        <w:t xml:space="preserve">with </w:t>
      </w:r>
      <w:r w:rsidR="00F00AFD">
        <w:rPr>
          <w:rFonts w:ascii="Arial" w:hAnsi="Arial" w:cs="Arial"/>
          <w:color w:val="333333"/>
          <w:sz w:val="20"/>
          <w:szCs w:val="20"/>
        </w:rPr>
        <w:t>THC</w:t>
      </w:r>
      <w:r w:rsidR="00F623F0">
        <w:rPr>
          <w:rFonts w:ascii="Arial" w:hAnsi="Arial" w:cs="Arial"/>
          <w:color w:val="333333"/>
          <w:sz w:val="20"/>
          <w:szCs w:val="20"/>
        </w:rPr>
        <w:t>, Inc. (</w:t>
      </w:r>
      <w:r w:rsidR="00DB6317">
        <w:rPr>
          <w:rFonts w:ascii="Arial" w:hAnsi="Arial" w:cs="Arial"/>
          <w:color w:val="333333"/>
          <w:sz w:val="20"/>
          <w:szCs w:val="20"/>
        </w:rPr>
        <w:t>“</w:t>
      </w:r>
      <w:r w:rsidR="00F00AFD">
        <w:rPr>
          <w:rFonts w:ascii="Arial" w:hAnsi="Arial" w:cs="Arial"/>
          <w:color w:val="333333"/>
          <w:sz w:val="20"/>
          <w:szCs w:val="20"/>
        </w:rPr>
        <w:t>THC</w:t>
      </w:r>
      <w:r w:rsidR="00DB6317">
        <w:rPr>
          <w:rFonts w:ascii="Arial" w:hAnsi="Arial" w:cs="Arial"/>
          <w:color w:val="333333"/>
          <w:sz w:val="20"/>
          <w:szCs w:val="20"/>
        </w:rPr>
        <w:t xml:space="preserve">”) under which </w:t>
      </w:r>
      <w:r w:rsidR="00F00AFD">
        <w:rPr>
          <w:rFonts w:ascii="Arial" w:hAnsi="Arial" w:cs="Arial"/>
          <w:color w:val="333333"/>
          <w:sz w:val="20"/>
          <w:szCs w:val="20"/>
        </w:rPr>
        <w:t>THC</w:t>
      </w:r>
      <w:r w:rsidR="00DB6317">
        <w:rPr>
          <w:rFonts w:ascii="Arial" w:hAnsi="Arial" w:cs="Arial"/>
          <w:color w:val="333333"/>
          <w:sz w:val="20"/>
          <w:szCs w:val="20"/>
        </w:rPr>
        <w:t xml:space="preserve"> </w:t>
      </w:r>
      <w:r w:rsidR="00DB6317" w:rsidRPr="00DB6317">
        <w:rPr>
          <w:rFonts w:ascii="Arial" w:hAnsi="Arial" w:cs="Arial"/>
          <w:color w:val="333333"/>
          <w:sz w:val="20"/>
          <w:szCs w:val="20"/>
        </w:rPr>
        <w:t xml:space="preserve">will have </w:t>
      </w:r>
      <w:r w:rsidR="00DB6317">
        <w:rPr>
          <w:rFonts w:ascii="Arial" w:hAnsi="Arial" w:cs="Arial"/>
          <w:color w:val="333333"/>
          <w:sz w:val="20"/>
          <w:szCs w:val="20"/>
        </w:rPr>
        <w:t>an</w:t>
      </w:r>
      <w:r w:rsidR="00DB6317" w:rsidRPr="00DB6317">
        <w:rPr>
          <w:rFonts w:ascii="Arial" w:hAnsi="Arial" w:cs="Arial"/>
          <w:color w:val="333333"/>
          <w:sz w:val="20"/>
          <w:szCs w:val="20"/>
        </w:rPr>
        <w:t xml:space="preserve"> exclusive license to manufacture and distribute CannAmerica branded cannabis infused gummy products, other edible products, vape products, droppers, capsules, beverages, shatter and wax concentrate product the “Licensed Products”) in Oklahoma</w:t>
      </w:r>
      <w:r w:rsidR="00DB6317">
        <w:rPr>
          <w:rFonts w:ascii="Arial" w:hAnsi="Arial" w:cs="Arial"/>
          <w:color w:val="333333"/>
          <w:sz w:val="20"/>
          <w:szCs w:val="20"/>
        </w:rPr>
        <w:t xml:space="preserve">. </w:t>
      </w:r>
    </w:p>
    <w:p w14:paraId="171BA027" w14:textId="520E52DF" w:rsidR="00DB6317" w:rsidRDefault="00DB6317"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Terms of the LOI are as follows:</w:t>
      </w:r>
    </w:p>
    <w:p w14:paraId="4B648D9E" w14:textId="13F9941C" w:rsidR="00DB6317" w:rsidRPr="00DB6317" w:rsidRDefault="005C7D4A" w:rsidP="005C7D4A">
      <w:pPr>
        <w:pStyle w:val="NormalWeb"/>
        <w:numPr>
          <w:ilvl w:val="0"/>
          <w:numId w:val="6"/>
        </w:numPr>
        <w:shd w:val="clear" w:color="auto" w:fill="FFFFFF"/>
        <w:spacing w:after="150"/>
        <w:jc w:val="both"/>
        <w:rPr>
          <w:rFonts w:ascii="Arial" w:hAnsi="Arial" w:cs="Arial"/>
          <w:color w:val="333333"/>
          <w:sz w:val="20"/>
          <w:szCs w:val="20"/>
        </w:rPr>
      </w:pPr>
      <w:r>
        <w:rPr>
          <w:rFonts w:ascii="Arial" w:hAnsi="Arial" w:cs="Arial"/>
          <w:color w:val="333333"/>
          <w:sz w:val="20"/>
          <w:szCs w:val="20"/>
        </w:rPr>
        <w:t xml:space="preserve">The initial </w:t>
      </w:r>
      <w:r w:rsidR="00DB6317" w:rsidRPr="00DB6317">
        <w:rPr>
          <w:rFonts w:ascii="Arial" w:hAnsi="Arial" w:cs="Arial"/>
          <w:color w:val="333333"/>
          <w:sz w:val="20"/>
          <w:szCs w:val="20"/>
        </w:rPr>
        <w:t xml:space="preserve">term </w:t>
      </w:r>
      <w:r>
        <w:rPr>
          <w:rFonts w:ascii="Arial" w:hAnsi="Arial" w:cs="Arial"/>
          <w:color w:val="333333"/>
          <w:sz w:val="20"/>
          <w:szCs w:val="20"/>
        </w:rPr>
        <w:t xml:space="preserve">of the license agreement </w:t>
      </w:r>
      <w:r w:rsidR="00DB6317" w:rsidRPr="00DB6317">
        <w:rPr>
          <w:rFonts w:ascii="Arial" w:hAnsi="Arial" w:cs="Arial"/>
          <w:color w:val="333333"/>
          <w:sz w:val="20"/>
          <w:szCs w:val="20"/>
        </w:rPr>
        <w:t xml:space="preserve">will be for </w:t>
      </w:r>
      <w:r>
        <w:rPr>
          <w:rFonts w:ascii="Arial" w:hAnsi="Arial" w:cs="Arial"/>
          <w:color w:val="333333"/>
          <w:sz w:val="20"/>
          <w:szCs w:val="20"/>
        </w:rPr>
        <w:t xml:space="preserve">a period of </w:t>
      </w:r>
      <w:r w:rsidR="00DB6317" w:rsidRPr="00DB6317">
        <w:rPr>
          <w:rFonts w:ascii="Arial" w:hAnsi="Arial" w:cs="Arial"/>
          <w:color w:val="333333"/>
          <w:sz w:val="20"/>
          <w:szCs w:val="20"/>
        </w:rPr>
        <w:t>1 year</w:t>
      </w:r>
      <w:r>
        <w:rPr>
          <w:rFonts w:ascii="Arial" w:hAnsi="Arial" w:cs="Arial"/>
          <w:color w:val="333333"/>
          <w:sz w:val="20"/>
          <w:szCs w:val="20"/>
        </w:rPr>
        <w:t xml:space="preserve"> and</w:t>
      </w:r>
      <w:r w:rsidR="00447E48">
        <w:rPr>
          <w:rFonts w:ascii="Arial" w:hAnsi="Arial" w:cs="Arial"/>
          <w:color w:val="333333"/>
          <w:sz w:val="20"/>
          <w:szCs w:val="20"/>
        </w:rPr>
        <w:t>,</w:t>
      </w:r>
      <w:r>
        <w:rPr>
          <w:rFonts w:ascii="Arial" w:hAnsi="Arial" w:cs="Arial"/>
          <w:color w:val="333333"/>
          <w:sz w:val="20"/>
          <w:szCs w:val="20"/>
        </w:rPr>
        <w:t xml:space="preserve"> </w:t>
      </w:r>
      <w:r w:rsidR="00447E48">
        <w:rPr>
          <w:rFonts w:ascii="Arial" w:hAnsi="Arial" w:cs="Arial"/>
          <w:color w:val="333333"/>
          <w:sz w:val="20"/>
          <w:szCs w:val="20"/>
        </w:rPr>
        <w:t xml:space="preserve">upon mutual agreement, </w:t>
      </w:r>
      <w:r>
        <w:rPr>
          <w:rFonts w:ascii="Arial" w:hAnsi="Arial" w:cs="Arial"/>
          <w:color w:val="333333"/>
          <w:sz w:val="20"/>
          <w:szCs w:val="20"/>
        </w:rPr>
        <w:t>will be renewable for successive one year periods.</w:t>
      </w:r>
      <w:r w:rsidR="00DB6317" w:rsidRPr="00DB6317">
        <w:rPr>
          <w:rFonts w:ascii="Arial" w:hAnsi="Arial" w:cs="Arial"/>
          <w:color w:val="333333"/>
          <w:sz w:val="20"/>
          <w:szCs w:val="20"/>
        </w:rPr>
        <w:t xml:space="preserve"> </w:t>
      </w:r>
    </w:p>
    <w:p w14:paraId="3DC417BB" w14:textId="36BCF0BA" w:rsidR="00447E48" w:rsidRDefault="00DB6317" w:rsidP="005C7D4A">
      <w:pPr>
        <w:pStyle w:val="NormalWeb"/>
        <w:numPr>
          <w:ilvl w:val="0"/>
          <w:numId w:val="6"/>
        </w:numPr>
        <w:shd w:val="clear" w:color="auto" w:fill="FFFFFF"/>
        <w:spacing w:after="150"/>
        <w:jc w:val="both"/>
        <w:rPr>
          <w:rFonts w:ascii="Arial" w:hAnsi="Arial" w:cs="Arial"/>
          <w:color w:val="333333"/>
          <w:sz w:val="20"/>
          <w:szCs w:val="20"/>
        </w:rPr>
      </w:pPr>
      <w:r w:rsidRPr="00DB6317">
        <w:rPr>
          <w:rFonts w:ascii="Arial" w:hAnsi="Arial" w:cs="Arial"/>
          <w:color w:val="333333"/>
          <w:sz w:val="20"/>
          <w:szCs w:val="20"/>
        </w:rPr>
        <w:t xml:space="preserve">Net price payable from </w:t>
      </w:r>
      <w:r w:rsidR="00F00AFD">
        <w:rPr>
          <w:rFonts w:ascii="Arial" w:hAnsi="Arial" w:cs="Arial"/>
          <w:color w:val="333333"/>
          <w:sz w:val="20"/>
          <w:szCs w:val="20"/>
        </w:rPr>
        <w:t>THC</w:t>
      </w:r>
      <w:r w:rsidRPr="00DB6317">
        <w:rPr>
          <w:rFonts w:ascii="Arial" w:hAnsi="Arial" w:cs="Arial"/>
          <w:color w:val="333333"/>
          <w:sz w:val="20"/>
          <w:szCs w:val="20"/>
        </w:rPr>
        <w:t xml:space="preserve"> to </w:t>
      </w:r>
      <w:r w:rsidR="005C7D4A">
        <w:rPr>
          <w:rFonts w:ascii="Arial" w:hAnsi="Arial" w:cs="Arial"/>
          <w:color w:val="333333"/>
          <w:sz w:val="20"/>
          <w:szCs w:val="20"/>
        </w:rPr>
        <w:t>Company</w:t>
      </w:r>
      <w:r w:rsidRPr="00DB6317">
        <w:rPr>
          <w:rFonts w:ascii="Arial" w:hAnsi="Arial" w:cs="Arial"/>
          <w:color w:val="333333"/>
          <w:sz w:val="20"/>
          <w:szCs w:val="20"/>
        </w:rPr>
        <w:t xml:space="preserve"> will be </w:t>
      </w:r>
      <w:r w:rsidR="005C7D4A" w:rsidRPr="00DB6317">
        <w:rPr>
          <w:rFonts w:ascii="Arial" w:hAnsi="Arial" w:cs="Arial"/>
          <w:color w:val="333333"/>
          <w:sz w:val="20"/>
          <w:szCs w:val="20"/>
        </w:rPr>
        <w:t xml:space="preserve">determined by a per package/unit fee relating to CannAmerica products that </w:t>
      </w:r>
      <w:r w:rsidR="00F00AFD">
        <w:rPr>
          <w:rFonts w:ascii="Arial" w:hAnsi="Arial" w:cs="Arial"/>
          <w:color w:val="333333"/>
          <w:sz w:val="20"/>
          <w:szCs w:val="20"/>
        </w:rPr>
        <w:t xml:space="preserve">THC </w:t>
      </w:r>
      <w:r w:rsidR="005C7D4A" w:rsidRPr="00DB6317">
        <w:rPr>
          <w:rFonts w:ascii="Arial" w:hAnsi="Arial" w:cs="Arial"/>
          <w:color w:val="333333"/>
          <w:sz w:val="20"/>
          <w:szCs w:val="20"/>
        </w:rPr>
        <w:t>decides to produce</w:t>
      </w:r>
      <w:r w:rsidR="00447E48">
        <w:rPr>
          <w:rFonts w:ascii="Arial" w:hAnsi="Arial" w:cs="Arial"/>
          <w:color w:val="333333"/>
          <w:sz w:val="20"/>
          <w:szCs w:val="20"/>
        </w:rPr>
        <w:t xml:space="preserve">.  </w:t>
      </w:r>
    </w:p>
    <w:p w14:paraId="6B99B406" w14:textId="4B34A610" w:rsidR="00DB6317" w:rsidRPr="00DB6317" w:rsidRDefault="00F00AFD" w:rsidP="005C7D4A">
      <w:pPr>
        <w:pStyle w:val="NormalWeb"/>
        <w:numPr>
          <w:ilvl w:val="0"/>
          <w:numId w:val="6"/>
        </w:numPr>
        <w:shd w:val="clear" w:color="auto" w:fill="FFFFFF"/>
        <w:spacing w:after="150"/>
        <w:jc w:val="both"/>
        <w:rPr>
          <w:rFonts w:ascii="Arial" w:hAnsi="Arial" w:cs="Arial"/>
          <w:color w:val="333333"/>
          <w:sz w:val="20"/>
          <w:szCs w:val="20"/>
        </w:rPr>
      </w:pPr>
      <w:r>
        <w:rPr>
          <w:rFonts w:ascii="Arial" w:hAnsi="Arial" w:cs="Arial"/>
          <w:color w:val="333333"/>
          <w:sz w:val="20"/>
          <w:szCs w:val="20"/>
        </w:rPr>
        <w:t>THC</w:t>
      </w:r>
      <w:r w:rsidR="00447E48">
        <w:rPr>
          <w:rFonts w:ascii="Arial" w:hAnsi="Arial" w:cs="Arial"/>
          <w:color w:val="333333"/>
          <w:sz w:val="20"/>
          <w:szCs w:val="20"/>
        </w:rPr>
        <w:t xml:space="preserve"> also agrees to pay the Company a license fee to manufacture and distribute the Company’s products</w:t>
      </w:r>
      <w:r w:rsidR="00DB6317">
        <w:rPr>
          <w:rFonts w:ascii="Arial" w:hAnsi="Arial" w:cs="Arial"/>
          <w:color w:val="333333"/>
          <w:sz w:val="20"/>
          <w:szCs w:val="20"/>
        </w:rPr>
        <w:t>;</w:t>
      </w:r>
    </w:p>
    <w:p w14:paraId="029C2AEB" w14:textId="3D2A0DB5" w:rsidR="00DB6317" w:rsidRPr="00DB6317" w:rsidRDefault="00F00AFD" w:rsidP="005C7D4A">
      <w:pPr>
        <w:pStyle w:val="NormalWeb"/>
        <w:numPr>
          <w:ilvl w:val="0"/>
          <w:numId w:val="6"/>
        </w:numPr>
        <w:shd w:val="clear" w:color="auto" w:fill="FFFFFF"/>
        <w:spacing w:after="150"/>
        <w:jc w:val="both"/>
        <w:rPr>
          <w:rFonts w:ascii="Arial" w:hAnsi="Arial" w:cs="Arial"/>
          <w:color w:val="333333"/>
          <w:sz w:val="20"/>
          <w:szCs w:val="20"/>
        </w:rPr>
      </w:pPr>
      <w:r>
        <w:rPr>
          <w:rFonts w:ascii="Arial" w:hAnsi="Arial" w:cs="Arial"/>
          <w:color w:val="333333"/>
          <w:sz w:val="20"/>
          <w:szCs w:val="20"/>
        </w:rPr>
        <w:t>THC</w:t>
      </w:r>
      <w:r w:rsidR="00447E48">
        <w:rPr>
          <w:rFonts w:ascii="Arial" w:hAnsi="Arial" w:cs="Arial"/>
          <w:color w:val="333333"/>
          <w:sz w:val="20"/>
          <w:szCs w:val="20"/>
        </w:rPr>
        <w:t xml:space="preserve"> will</w:t>
      </w:r>
      <w:r w:rsidR="00DB6317" w:rsidRPr="00DB6317">
        <w:rPr>
          <w:rFonts w:ascii="Arial" w:hAnsi="Arial" w:cs="Arial"/>
          <w:color w:val="333333"/>
          <w:sz w:val="20"/>
          <w:szCs w:val="20"/>
        </w:rPr>
        <w:t xml:space="preserve"> purchase all un-infused cons</w:t>
      </w:r>
      <w:r w:rsidR="00447E48">
        <w:rPr>
          <w:rFonts w:ascii="Arial" w:hAnsi="Arial" w:cs="Arial"/>
          <w:color w:val="333333"/>
          <w:sz w:val="20"/>
          <w:szCs w:val="20"/>
        </w:rPr>
        <w:t>umable ingredients</w:t>
      </w:r>
      <w:r w:rsidR="00DB6317" w:rsidRPr="00DB6317">
        <w:rPr>
          <w:rFonts w:ascii="Arial" w:hAnsi="Arial" w:cs="Arial"/>
          <w:color w:val="333333"/>
          <w:sz w:val="20"/>
          <w:szCs w:val="20"/>
        </w:rPr>
        <w:t xml:space="preserve">, packaging supplies, and branded hardware exclusively from the </w:t>
      </w:r>
      <w:r w:rsidR="005C7D4A">
        <w:rPr>
          <w:rFonts w:ascii="Arial" w:hAnsi="Arial" w:cs="Arial"/>
          <w:color w:val="333333"/>
          <w:sz w:val="20"/>
          <w:szCs w:val="20"/>
        </w:rPr>
        <w:t>Company</w:t>
      </w:r>
      <w:r w:rsidR="00DB6317" w:rsidRPr="00DB6317">
        <w:rPr>
          <w:rFonts w:ascii="Arial" w:hAnsi="Arial" w:cs="Arial"/>
          <w:color w:val="333333"/>
          <w:sz w:val="20"/>
          <w:szCs w:val="20"/>
        </w:rPr>
        <w:t xml:space="preserve">; </w:t>
      </w:r>
    </w:p>
    <w:p w14:paraId="3C2719AA" w14:textId="77E78239" w:rsidR="00DB6317" w:rsidRPr="00DB6317" w:rsidRDefault="00F00AFD" w:rsidP="005C7D4A">
      <w:pPr>
        <w:pStyle w:val="NormalWeb"/>
        <w:numPr>
          <w:ilvl w:val="0"/>
          <w:numId w:val="6"/>
        </w:numPr>
        <w:shd w:val="clear" w:color="auto" w:fill="FFFFFF"/>
        <w:spacing w:after="150"/>
        <w:jc w:val="both"/>
        <w:rPr>
          <w:rFonts w:ascii="Arial" w:hAnsi="Arial" w:cs="Arial"/>
          <w:color w:val="333333"/>
          <w:sz w:val="20"/>
          <w:szCs w:val="20"/>
        </w:rPr>
      </w:pPr>
      <w:r>
        <w:rPr>
          <w:rFonts w:ascii="Arial" w:hAnsi="Arial" w:cs="Arial"/>
          <w:color w:val="333333"/>
          <w:sz w:val="20"/>
          <w:szCs w:val="20"/>
        </w:rPr>
        <w:t>THC</w:t>
      </w:r>
      <w:r w:rsidR="00DB6317" w:rsidRPr="00DB6317">
        <w:rPr>
          <w:rFonts w:ascii="Arial" w:hAnsi="Arial" w:cs="Arial"/>
          <w:color w:val="333333"/>
          <w:sz w:val="20"/>
          <w:szCs w:val="20"/>
        </w:rPr>
        <w:t xml:space="preserve"> will follow formulations and processes provided by </w:t>
      </w:r>
      <w:r w:rsidR="00447E48">
        <w:rPr>
          <w:rFonts w:ascii="Arial" w:hAnsi="Arial" w:cs="Arial"/>
          <w:color w:val="333333"/>
          <w:sz w:val="20"/>
          <w:szCs w:val="20"/>
        </w:rPr>
        <w:t>the Company</w:t>
      </w:r>
      <w:r w:rsidR="00DB6317" w:rsidRPr="00DB6317">
        <w:rPr>
          <w:rFonts w:ascii="Arial" w:hAnsi="Arial" w:cs="Arial"/>
          <w:color w:val="333333"/>
          <w:sz w:val="20"/>
          <w:szCs w:val="20"/>
        </w:rPr>
        <w:t xml:space="preserve">; </w:t>
      </w:r>
    </w:p>
    <w:p w14:paraId="4310739D" w14:textId="5F851E5F" w:rsidR="00DB6317" w:rsidRPr="00DB6317" w:rsidRDefault="00DB6317" w:rsidP="005C7D4A">
      <w:pPr>
        <w:pStyle w:val="NormalWeb"/>
        <w:numPr>
          <w:ilvl w:val="0"/>
          <w:numId w:val="6"/>
        </w:numPr>
        <w:shd w:val="clear" w:color="auto" w:fill="FFFFFF"/>
        <w:spacing w:after="150"/>
        <w:jc w:val="both"/>
        <w:rPr>
          <w:rFonts w:ascii="Arial" w:hAnsi="Arial" w:cs="Arial"/>
          <w:color w:val="333333"/>
          <w:sz w:val="20"/>
          <w:szCs w:val="20"/>
        </w:rPr>
      </w:pPr>
      <w:r w:rsidRPr="00DB6317">
        <w:rPr>
          <w:rFonts w:ascii="Arial" w:hAnsi="Arial" w:cs="Arial"/>
          <w:color w:val="333333"/>
          <w:sz w:val="20"/>
          <w:szCs w:val="20"/>
        </w:rPr>
        <w:t xml:space="preserve">During the first 180 days of the Initial Term, </w:t>
      </w:r>
      <w:r w:rsidR="00F00AFD">
        <w:rPr>
          <w:rFonts w:ascii="Arial" w:hAnsi="Arial" w:cs="Arial"/>
          <w:color w:val="333333"/>
          <w:sz w:val="20"/>
          <w:szCs w:val="20"/>
        </w:rPr>
        <w:t>THC</w:t>
      </w:r>
      <w:r w:rsidRPr="00DB6317">
        <w:rPr>
          <w:rFonts w:ascii="Arial" w:hAnsi="Arial" w:cs="Arial"/>
          <w:color w:val="333333"/>
          <w:sz w:val="20"/>
          <w:szCs w:val="20"/>
        </w:rPr>
        <w:t xml:space="preserve"> </w:t>
      </w:r>
      <w:r w:rsidR="00447E48">
        <w:rPr>
          <w:rFonts w:ascii="Arial" w:hAnsi="Arial" w:cs="Arial"/>
          <w:color w:val="333333"/>
          <w:sz w:val="20"/>
          <w:szCs w:val="20"/>
        </w:rPr>
        <w:t>is expected to</w:t>
      </w:r>
      <w:r w:rsidRPr="00DB6317">
        <w:rPr>
          <w:rFonts w:ascii="Arial" w:hAnsi="Arial" w:cs="Arial"/>
          <w:color w:val="333333"/>
          <w:sz w:val="20"/>
          <w:szCs w:val="20"/>
        </w:rPr>
        <w:t xml:space="preserve"> employ two full-tim</w:t>
      </w:r>
      <w:r w:rsidR="00447E48">
        <w:rPr>
          <w:rFonts w:ascii="Arial" w:hAnsi="Arial" w:cs="Arial"/>
          <w:color w:val="333333"/>
          <w:sz w:val="20"/>
          <w:szCs w:val="20"/>
        </w:rPr>
        <w:t xml:space="preserve">e sales people </w:t>
      </w:r>
      <w:r w:rsidRPr="00DB6317">
        <w:rPr>
          <w:rFonts w:ascii="Arial" w:hAnsi="Arial" w:cs="Arial"/>
          <w:color w:val="333333"/>
          <w:sz w:val="20"/>
          <w:szCs w:val="20"/>
        </w:rPr>
        <w:t xml:space="preserve">to </w:t>
      </w:r>
      <w:r w:rsidR="00447E48">
        <w:rPr>
          <w:rFonts w:ascii="Arial" w:hAnsi="Arial" w:cs="Arial"/>
          <w:color w:val="333333"/>
          <w:sz w:val="20"/>
          <w:szCs w:val="20"/>
        </w:rPr>
        <w:t xml:space="preserve">exclusively </w:t>
      </w:r>
      <w:r w:rsidRPr="00DB6317">
        <w:rPr>
          <w:rFonts w:ascii="Arial" w:hAnsi="Arial" w:cs="Arial"/>
          <w:color w:val="333333"/>
          <w:sz w:val="20"/>
          <w:szCs w:val="20"/>
        </w:rPr>
        <w:t xml:space="preserve">promote, market, advertise and sell Licensed </w:t>
      </w:r>
      <w:r w:rsidR="00447E48">
        <w:rPr>
          <w:rFonts w:ascii="Arial" w:hAnsi="Arial" w:cs="Arial"/>
          <w:color w:val="333333"/>
          <w:sz w:val="20"/>
          <w:szCs w:val="20"/>
        </w:rPr>
        <w:t>Products</w:t>
      </w:r>
      <w:r>
        <w:rPr>
          <w:rFonts w:ascii="Arial" w:hAnsi="Arial" w:cs="Arial"/>
          <w:color w:val="333333"/>
          <w:sz w:val="20"/>
          <w:szCs w:val="20"/>
        </w:rPr>
        <w:t>;</w:t>
      </w:r>
      <w:r w:rsidRPr="00DB6317">
        <w:rPr>
          <w:rFonts w:ascii="Arial" w:hAnsi="Arial" w:cs="Arial"/>
          <w:color w:val="333333"/>
          <w:sz w:val="20"/>
          <w:szCs w:val="20"/>
        </w:rPr>
        <w:t xml:space="preserve"> </w:t>
      </w:r>
    </w:p>
    <w:p w14:paraId="18585C07" w14:textId="27C60E98" w:rsidR="00DB6317" w:rsidRDefault="00DB6317" w:rsidP="00DB6317">
      <w:pPr>
        <w:pStyle w:val="NormalWeb"/>
        <w:shd w:val="clear" w:color="auto" w:fill="FFFFFF"/>
        <w:spacing w:after="150"/>
        <w:jc w:val="both"/>
        <w:rPr>
          <w:rFonts w:ascii="Arial" w:hAnsi="Arial" w:cs="Arial"/>
          <w:color w:val="333333"/>
          <w:sz w:val="20"/>
          <w:szCs w:val="20"/>
        </w:rPr>
      </w:pPr>
      <w:r w:rsidRPr="00DB6317">
        <w:rPr>
          <w:rFonts w:ascii="Arial" w:hAnsi="Arial" w:cs="Arial"/>
          <w:color w:val="333333"/>
          <w:sz w:val="20"/>
          <w:szCs w:val="20"/>
        </w:rPr>
        <w:t xml:space="preserve">Subject to Board approval from </w:t>
      </w:r>
      <w:r>
        <w:rPr>
          <w:rFonts w:ascii="Arial" w:hAnsi="Arial" w:cs="Arial"/>
          <w:color w:val="333333"/>
          <w:sz w:val="20"/>
          <w:szCs w:val="20"/>
        </w:rPr>
        <w:t>the Company</w:t>
      </w:r>
      <w:r w:rsidRPr="00DB6317">
        <w:rPr>
          <w:rFonts w:ascii="Arial" w:hAnsi="Arial" w:cs="Arial"/>
          <w:color w:val="333333"/>
          <w:sz w:val="20"/>
          <w:szCs w:val="20"/>
        </w:rPr>
        <w:t xml:space="preserve"> and completion of satisfactory due diligence, the parties intend to enter </w:t>
      </w:r>
      <w:r w:rsidR="004522BD">
        <w:rPr>
          <w:rFonts w:ascii="Arial" w:hAnsi="Arial" w:cs="Arial"/>
          <w:color w:val="333333"/>
          <w:sz w:val="20"/>
          <w:szCs w:val="20"/>
        </w:rPr>
        <w:t xml:space="preserve">into a Definitive Agreement on </w:t>
      </w:r>
      <w:r w:rsidRPr="00DB6317">
        <w:rPr>
          <w:rFonts w:ascii="Arial" w:hAnsi="Arial" w:cs="Arial"/>
          <w:color w:val="333333"/>
          <w:sz w:val="20"/>
          <w:szCs w:val="20"/>
        </w:rPr>
        <w:t xml:space="preserve">or before </w:t>
      </w:r>
      <w:r w:rsidR="004522BD">
        <w:rPr>
          <w:rFonts w:ascii="Arial" w:hAnsi="Arial" w:cs="Arial"/>
          <w:color w:val="333333"/>
          <w:sz w:val="20"/>
          <w:szCs w:val="20"/>
        </w:rPr>
        <w:t>May 1</w:t>
      </w:r>
      <w:r w:rsidRPr="00DB6317">
        <w:rPr>
          <w:rFonts w:ascii="Arial" w:hAnsi="Arial" w:cs="Arial"/>
          <w:color w:val="333333"/>
          <w:sz w:val="20"/>
          <w:szCs w:val="20"/>
        </w:rPr>
        <w:t>, 2019</w:t>
      </w:r>
      <w:r w:rsidR="004522BD">
        <w:rPr>
          <w:rFonts w:ascii="Arial" w:hAnsi="Arial" w:cs="Arial"/>
          <w:color w:val="333333"/>
          <w:sz w:val="20"/>
          <w:szCs w:val="20"/>
        </w:rPr>
        <w:t>.</w:t>
      </w:r>
    </w:p>
    <w:p w14:paraId="29D79311" w14:textId="189CD52B" w:rsidR="009F4A71" w:rsidRDefault="00394A63" w:rsidP="008F61EA">
      <w:pPr>
        <w:pStyle w:val="NormalWeb"/>
        <w:shd w:val="clear" w:color="auto" w:fill="FFFFFF"/>
        <w:spacing w:after="150"/>
        <w:jc w:val="both"/>
        <w:rPr>
          <w:rFonts w:ascii="Arial" w:hAnsi="Arial" w:cs="Arial"/>
          <w:color w:val="333333"/>
          <w:sz w:val="20"/>
          <w:szCs w:val="20"/>
        </w:rPr>
      </w:pPr>
      <w:r w:rsidRPr="00394A63">
        <w:rPr>
          <w:rFonts w:ascii="Arial" w:hAnsi="Arial" w:cs="Arial"/>
          <w:color w:val="333333"/>
          <w:sz w:val="20"/>
          <w:szCs w:val="20"/>
        </w:rPr>
        <w:t xml:space="preserve">“The Company looks forward to the opportunities an agreement with THC Inc offer to introduce the brand into Oklahoma and the Southern United States,” said Dan Anglin, CEO and Co-Founder of CannAmerica. </w:t>
      </w:r>
      <w:r>
        <w:rPr>
          <w:rFonts w:ascii="Arial" w:hAnsi="Arial" w:cs="Arial"/>
          <w:color w:val="333333"/>
          <w:sz w:val="20"/>
          <w:szCs w:val="20"/>
        </w:rPr>
        <w:t xml:space="preserve"> </w:t>
      </w:r>
      <w:r w:rsidRPr="00394A63">
        <w:rPr>
          <w:rFonts w:ascii="Arial" w:hAnsi="Arial" w:cs="Arial"/>
          <w:color w:val="333333"/>
          <w:sz w:val="20"/>
          <w:szCs w:val="20"/>
        </w:rPr>
        <w:t>“The prospect of expanding our products into Oklahoma’s newly created cannabis marketplace and increasing awareness of our brand and product lines in the Southern United States is a step forward to reaching the Company’s growth goals for 2019 and providing more legal-age Americans in the Southern United States access to our quality products.”</w:t>
      </w:r>
    </w:p>
    <w:p w14:paraId="540C711C" w14:textId="77777777" w:rsidR="00376DF5" w:rsidRDefault="00982A71">
      <w:pPr>
        <w:contextualSpacing w:val="0"/>
        <w:jc w:val="both"/>
        <w:rPr>
          <w:color w:val="1155CC"/>
          <w:sz w:val="20"/>
          <w:szCs w:val="20"/>
          <w:u w:val="single"/>
        </w:rPr>
      </w:pPr>
      <w:r>
        <w:rPr>
          <w:sz w:val="20"/>
          <w:szCs w:val="20"/>
        </w:rPr>
        <w:t>For more information, please visit</w:t>
      </w:r>
      <w:hyperlink r:id="rId8" w:history="1">
        <w:r>
          <w:rPr>
            <w:sz w:val="20"/>
            <w:szCs w:val="20"/>
          </w:rPr>
          <w:t xml:space="preserve"> </w:t>
        </w:r>
      </w:hyperlink>
      <w:r>
        <w:rPr>
          <w:color w:val="1155CC"/>
          <w:sz w:val="20"/>
          <w:szCs w:val="20"/>
          <w:u w:val="single"/>
        </w:rPr>
        <w:t>www.cannamericabrands.com.</w:t>
      </w:r>
    </w:p>
    <w:p w14:paraId="7C5C2F7C" w14:textId="77777777" w:rsidR="00376DF5" w:rsidRDefault="00982A71">
      <w:pPr>
        <w:contextualSpacing w:val="0"/>
        <w:jc w:val="both"/>
        <w:rPr>
          <w:sz w:val="20"/>
          <w:szCs w:val="20"/>
        </w:rPr>
      </w:pPr>
      <w:r>
        <w:rPr>
          <w:sz w:val="20"/>
          <w:szCs w:val="20"/>
        </w:rPr>
        <w:t xml:space="preserve"> </w:t>
      </w:r>
    </w:p>
    <w:p w14:paraId="7796B2F6" w14:textId="77777777" w:rsidR="00376DF5" w:rsidRDefault="00982A71">
      <w:pPr>
        <w:contextualSpacing w:val="0"/>
        <w:jc w:val="both"/>
        <w:rPr>
          <w:sz w:val="20"/>
          <w:szCs w:val="20"/>
        </w:rPr>
      </w:pPr>
      <w:r>
        <w:rPr>
          <w:sz w:val="20"/>
          <w:szCs w:val="20"/>
        </w:rPr>
        <w:t>On Behalf of the Board,</w:t>
      </w:r>
    </w:p>
    <w:p w14:paraId="6B5C7E93" w14:textId="77777777" w:rsidR="00376DF5" w:rsidRDefault="00982A71">
      <w:pPr>
        <w:contextualSpacing w:val="0"/>
        <w:jc w:val="both"/>
        <w:rPr>
          <w:sz w:val="20"/>
          <w:szCs w:val="20"/>
        </w:rPr>
      </w:pPr>
      <w:r>
        <w:rPr>
          <w:sz w:val="20"/>
          <w:szCs w:val="20"/>
        </w:rPr>
        <w:t>Dan Anglin</w:t>
      </w:r>
    </w:p>
    <w:p w14:paraId="5670CD4E" w14:textId="77777777" w:rsidR="00376DF5" w:rsidRDefault="00982A71">
      <w:pPr>
        <w:contextualSpacing w:val="0"/>
        <w:jc w:val="both"/>
        <w:rPr>
          <w:sz w:val="20"/>
          <w:szCs w:val="20"/>
        </w:rPr>
      </w:pPr>
      <w:r>
        <w:rPr>
          <w:sz w:val="20"/>
          <w:szCs w:val="20"/>
        </w:rPr>
        <w:t>CEO and Director</w:t>
      </w:r>
    </w:p>
    <w:p w14:paraId="40810593" w14:textId="77777777" w:rsidR="00CC61D6" w:rsidRDefault="00982A71" w:rsidP="00CC61D6">
      <w:pPr>
        <w:contextualSpacing w:val="0"/>
        <w:rPr>
          <w:sz w:val="20"/>
          <w:szCs w:val="20"/>
        </w:rPr>
      </w:pPr>
      <w:r>
        <w:rPr>
          <w:sz w:val="20"/>
          <w:szCs w:val="20"/>
        </w:rPr>
        <w:t>(314) 495-4589</w:t>
      </w:r>
    </w:p>
    <w:p w14:paraId="30BFA2E2" w14:textId="77777777" w:rsidR="00376DF5" w:rsidRDefault="00982A71">
      <w:pPr>
        <w:contextualSpacing w:val="0"/>
        <w:jc w:val="both"/>
        <w:rPr>
          <w:sz w:val="20"/>
          <w:szCs w:val="20"/>
        </w:rPr>
      </w:pPr>
      <w:r>
        <w:rPr>
          <w:sz w:val="20"/>
          <w:szCs w:val="20"/>
        </w:rPr>
        <w:t xml:space="preserve"> </w:t>
      </w:r>
    </w:p>
    <w:p w14:paraId="4E1EE4B0" w14:textId="77777777" w:rsidR="00B12E82" w:rsidRDefault="00B12E82" w:rsidP="00B12E82">
      <w:pPr>
        <w:jc w:val="both"/>
      </w:pPr>
      <w:r>
        <w:rPr>
          <w:sz w:val="20"/>
          <w:szCs w:val="20"/>
        </w:rPr>
        <w:t>Media Contact</w:t>
      </w:r>
    </w:p>
    <w:p w14:paraId="12380949" w14:textId="77777777" w:rsidR="00B12E82" w:rsidRDefault="00B12E82" w:rsidP="00B12E82">
      <w:pPr>
        <w:jc w:val="both"/>
      </w:pPr>
      <w:r>
        <w:rPr>
          <w:sz w:val="20"/>
          <w:szCs w:val="20"/>
        </w:rPr>
        <w:t>Sarah Thorson</w:t>
      </w:r>
    </w:p>
    <w:p w14:paraId="0AC8E4BA" w14:textId="77777777" w:rsidR="00B12E82" w:rsidRDefault="00B12E82" w:rsidP="00B12E82">
      <w:pPr>
        <w:jc w:val="both"/>
      </w:pPr>
      <w:r>
        <w:rPr>
          <w:sz w:val="20"/>
          <w:szCs w:val="20"/>
        </w:rPr>
        <w:t>Grasslands: A Journalism-Minded Agency</w:t>
      </w:r>
    </w:p>
    <w:p w14:paraId="57FB77AE" w14:textId="77777777" w:rsidR="00B12E82" w:rsidRDefault="00A44721" w:rsidP="00B12E82">
      <w:hyperlink r:id="rId9" w:history="1">
        <w:r w:rsidR="00B12E82">
          <w:rPr>
            <w:rStyle w:val="Hyperlink"/>
            <w:sz w:val="20"/>
            <w:szCs w:val="20"/>
          </w:rPr>
          <w:t>Sarah@mygrasslands.com</w:t>
        </w:r>
      </w:hyperlink>
    </w:p>
    <w:p w14:paraId="652B2C52" w14:textId="77777777" w:rsidR="00B12E82" w:rsidRDefault="00B12E82" w:rsidP="00B12E82">
      <w:r>
        <w:rPr>
          <w:sz w:val="20"/>
          <w:szCs w:val="20"/>
        </w:rPr>
        <w:t>(609) 234-8531</w:t>
      </w:r>
    </w:p>
    <w:p w14:paraId="21F5F0B7" w14:textId="77777777" w:rsidR="00376DF5" w:rsidRDefault="00982A71">
      <w:pPr>
        <w:contextualSpacing w:val="0"/>
        <w:jc w:val="both"/>
        <w:rPr>
          <w:b/>
          <w:sz w:val="20"/>
          <w:szCs w:val="20"/>
        </w:rPr>
      </w:pPr>
      <w:r>
        <w:rPr>
          <w:b/>
          <w:sz w:val="20"/>
          <w:szCs w:val="20"/>
        </w:rPr>
        <w:t xml:space="preserve"> </w:t>
      </w:r>
    </w:p>
    <w:p w14:paraId="73205520" w14:textId="77777777" w:rsidR="00376DF5" w:rsidRDefault="00982A71" w:rsidP="00940CD0">
      <w:pPr>
        <w:keepNext/>
        <w:contextualSpacing w:val="0"/>
        <w:jc w:val="both"/>
        <w:rPr>
          <w:b/>
          <w:sz w:val="20"/>
          <w:szCs w:val="20"/>
        </w:rPr>
      </w:pPr>
      <w:r>
        <w:rPr>
          <w:b/>
          <w:sz w:val="20"/>
          <w:szCs w:val="20"/>
        </w:rPr>
        <w:lastRenderedPageBreak/>
        <w:t>About CannAmerica Brands Corp.</w:t>
      </w:r>
    </w:p>
    <w:p w14:paraId="3A6E92C1" w14:textId="77777777" w:rsidR="00376DF5" w:rsidRDefault="00982A71" w:rsidP="00940CD0">
      <w:pPr>
        <w:keepNext/>
        <w:contextualSpacing w:val="0"/>
        <w:jc w:val="both"/>
        <w:rPr>
          <w:sz w:val="20"/>
          <w:szCs w:val="20"/>
        </w:rPr>
      </w:pPr>
      <w:r>
        <w:rPr>
          <w:sz w:val="20"/>
          <w:szCs w:val="20"/>
        </w:rPr>
        <w:t xml:space="preserve"> </w:t>
      </w:r>
    </w:p>
    <w:p w14:paraId="3F00BFC5" w14:textId="3D046BF6" w:rsidR="00365A7F" w:rsidRDefault="00982A71" w:rsidP="00940CD0">
      <w:pPr>
        <w:keepNext/>
        <w:autoSpaceDE w:val="0"/>
        <w:autoSpaceDN w:val="0"/>
        <w:adjustRightInd w:val="0"/>
        <w:jc w:val="both"/>
        <w:rPr>
          <w:sz w:val="20"/>
          <w:szCs w:val="20"/>
        </w:rPr>
      </w:pPr>
      <w:r>
        <w:rPr>
          <w:sz w:val="20"/>
          <w:szCs w:val="20"/>
        </w:rPr>
        <w:t xml:space="preserve">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10" w:history="1">
        <w:r>
          <w:rPr>
            <w:rStyle w:val="Hyperlink"/>
            <w:sz w:val="20"/>
            <w:szCs w:val="20"/>
          </w:rPr>
          <w:t>www.cannamericabrands.com</w:t>
        </w:r>
      </w:hyperlink>
      <w:r>
        <w:rPr>
          <w:sz w:val="20"/>
          <w:szCs w:val="20"/>
        </w:rPr>
        <w:t>.</w:t>
      </w:r>
    </w:p>
    <w:p w14:paraId="6DAE9CB9" w14:textId="5EBF55AC" w:rsidR="009F4A71" w:rsidRDefault="009F4A71" w:rsidP="0081230B">
      <w:pPr>
        <w:autoSpaceDE w:val="0"/>
        <w:autoSpaceDN w:val="0"/>
        <w:adjustRightInd w:val="0"/>
        <w:jc w:val="both"/>
        <w:rPr>
          <w:sz w:val="20"/>
          <w:szCs w:val="20"/>
        </w:rPr>
      </w:pPr>
    </w:p>
    <w:p w14:paraId="46A19F12" w14:textId="5992931E" w:rsidR="00125BF4" w:rsidRDefault="00982A71" w:rsidP="002B3351">
      <w:pPr>
        <w:contextualSpacing w:val="0"/>
        <w:jc w:val="both"/>
        <w:rPr>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r>
        <w:rPr>
          <w:sz w:val="20"/>
          <w:szCs w:val="20"/>
        </w:rPr>
        <w:t>.</w:t>
      </w:r>
    </w:p>
    <w:p w14:paraId="6722C654" w14:textId="77777777" w:rsidR="00157F06" w:rsidRDefault="00157F06" w:rsidP="002B3351">
      <w:pPr>
        <w:contextualSpacing w:val="0"/>
        <w:jc w:val="both"/>
        <w:rPr>
          <w:sz w:val="20"/>
          <w:szCs w:val="20"/>
        </w:rPr>
      </w:pPr>
    </w:p>
    <w:p w14:paraId="408B5706" w14:textId="699794A9" w:rsidR="00157F06" w:rsidRPr="00125BF4" w:rsidRDefault="009C03DF" w:rsidP="002B3351">
      <w:pPr>
        <w:contextualSpacing w:val="0"/>
        <w:jc w:val="both"/>
        <w:rPr>
          <w:sz w:val="20"/>
          <w:szCs w:val="20"/>
        </w:rPr>
      </w:pPr>
      <w:r w:rsidRPr="009C03DF">
        <w:rPr>
          <w:i/>
          <w:iCs/>
          <w:color w:val="000000"/>
          <w:sz w:val="20"/>
          <w:szCs w:val="20"/>
        </w:rPr>
        <w:t xml:space="preserve">Cautionary Note Regarding Forward-Looking Statements: This release includes certain statements and information that may constitute forward-looking information within the meaning of applicable Canadian securities laws or forward-looking statements within the meaning of the United States Private Securities Litigation Reform Act of 1995. All statements in this news release, other than statements of historical facts, including statements regarding future estimates, plans, objectives, timing, assumptions or expectations of future performance, including </w:t>
      </w:r>
      <w:r w:rsidR="00B52943">
        <w:rPr>
          <w:i/>
          <w:iCs/>
          <w:color w:val="000000"/>
          <w:sz w:val="20"/>
          <w:szCs w:val="20"/>
        </w:rPr>
        <w:t>that the Company is anticipated to</w:t>
      </w:r>
      <w:r w:rsidR="00B52943" w:rsidRPr="0098713B">
        <w:rPr>
          <w:i/>
          <w:iCs/>
          <w:color w:val="000000"/>
          <w:sz w:val="20"/>
          <w:szCs w:val="20"/>
        </w:rPr>
        <w:t xml:space="preserve"> enter into a definitive agreement</w:t>
      </w:r>
      <w:r w:rsidR="00B52943">
        <w:rPr>
          <w:i/>
          <w:iCs/>
          <w:color w:val="000000"/>
          <w:sz w:val="20"/>
          <w:szCs w:val="20"/>
        </w:rPr>
        <w:t xml:space="preserve"> with </w:t>
      </w:r>
      <w:r w:rsidR="00F00AFD">
        <w:rPr>
          <w:i/>
          <w:iCs/>
          <w:color w:val="000000"/>
          <w:sz w:val="20"/>
          <w:szCs w:val="20"/>
        </w:rPr>
        <w:t>THC</w:t>
      </w:r>
      <w:r w:rsidR="00B52943">
        <w:rPr>
          <w:i/>
          <w:iCs/>
          <w:color w:val="000000"/>
          <w:sz w:val="20"/>
          <w:szCs w:val="20"/>
        </w:rPr>
        <w:t xml:space="preserve"> by May 1, 2019, the terms of the LOI are expected to be as anticipated by management</w:t>
      </w:r>
      <w:r w:rsidR="00B52943" w:rsidRPr="0098713B">
        <w:rPr>
          <w:i/>
          <w:iCs/>
          <w:color w:val="000000"/>
          <w:sz w:val="20"/>
          <w:szCs w:val="20"/>
        </w:rPr>
        <w:t xml:space="preserve"> </w:t>
      </w:r>
      <w:r w:rsidR="00B52943">
        <w:rPr>
          <w:i/>
          <w:iCs/>
          <w:color w:val="000000"/>
          <w:sz w:val="20"/>
          <w:szCs w:val="20"/>
        </w:rPr>
        <w:t xml:space="preserve">and </w:t>
      </w:r>
      <w:r w:rsidR="00F00AFD">
        <w:rPr>
          <w:i/>
          <w:iCs/>
          <w:color w:val="000000"/>
          <w:sz w:val="20"/>
          <w:szCs w:val="20"/>
        </w:rPr>
        <w:t>THC</w:t>
      </w:r>
      <w:r w:rsidR="00B52943">
        <w:rPr>
          <w:i/>
          <w:iCs/>
          <w:color w:val="000000"/>
          <w:sz w:val="20"/>
          <w:szCs w:val="20"/>
        </w:rPr>
        <w:t xml:space="preserve"> is expected to manufacture and distribute </w:t>
      </w:r>
      <w:r w:rsidR="00B52943" w:rsidRPr="0098713B">
        <w:rPr>
          <w:i/>
          <w:iCs/>
          <w:color w:val="000000"/>
          <w:sz w:val="20"/>
          <w:szCs w:val="20"/>
        </w:rPr>
        <w:t xml:space="preserve">CannAmerica branded CBD infused products in </w:t>
      </w:r>
      <w:r w:rsidR="00B52943">
        <w:rPr>
          <w:i/>
          <w:iCs/>
          <w:color w:val="000000"/>
          <w:sz w:val="20"/>
          <w:szCs w:val="20"/>
        </w:rPr>
        <w:t>Oklahoma</w:t>
      </w:r>
      <w:r w:rsidRPr="009C03DF">
        <w:rPr>
          <w:i/>
          <w:iCs/>
          <w:color w:val="000000"/>
          <w:sz w:val="20"/>
          <w:szCs w:val="20"/>
        </w:rPr>
        <w:t xml:space="preserve"> are 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that </w:t>
      </w:r>
      <w:r w:rsidR="00B52943">
        <w:rPr>
          <w:i/>
          <w:iCs/>
          <w:color w:val="000000"/>
          <w:sz w:val="20"/>
          <w:szCs w:val="20"/>
        </w:rPr>
        <w:t>the Company will</w:t>
      </w:r>
      <w:r w:rsidR="00B52943" w:rsidRPr="0098713B">
        <w:rPr>
          <w:i/>
          <w:iCs/>
          <w:color w:val="000000"/>
          <w:sz w:val="20"/>
          <w:szCs w:val="20"/>
        </w:rPr>
        <w:t xml:space="preserve"> enter into a definitive agreement</w:t>
      </w:r>
      <w:r w:rsidR="00B52943">
        <w:rPr>
          <w:i/>
          <w:iCs/>
          <w:color w:val="000000"/>
          <w:sz w:val="20"/>
          <w:szCs w:val="20"/>
        </w:rPr>
        <w:t xml:space="preserve"> with the </w:t>
      </w:r>
      <w:r w:rsidR="00F00AFD">
        <w:rPr>
          <w:i/>
          <w:iCs/>
          <w:color w:val="000000"/>
          <w:sz w:val="20"/>
          <w:szCs w:val="20"/>
        </w:rPr>
        <w:t>THC</w:t>
      </w:r>
      <w:r w:rsidR="00B52943">
        <w:rPr>
          <w:i/>
          <w:iCs/>
          <w:color w:val="000000"/>
          <w:sz w:val="20"/>
          <w:szCs w:val="20"/>
        </w:rPr>
        <w:t xml:space="preserve"> by May 1, 2019, the terms of the LOI will be as anticipated by management</w:t>
      </w:r>
      <w:r w:rsidR="00B52943" w:rsidRPr="0098713B">
        <w:rPr>
          <w:i/>
          <w:iCs/>
          <w:color w:val="000000"/>
          <w:sz w:val="20"/>
          <w:szCs w:val="20"/>
        </w:rPr>
        <w:t xml:space="preserve"> </w:t>
      </w:r>
      <w:r w:rsidR="00B52943">
        <w:rPr>
          <w:i/>
          <w:iCs/>
          <w:color w:val="000000"/>
          <w:sz w:val="20"/>
          <w:szCs w:val="20"/>
        </w:rPr>
        <w:t xml:space="preserve">and the </w:t>
      </w:r>
      <w:r w:rsidR="00F00AFD">
        <w:rPr>
          <w:i/>
          <w:iCs/>
          <w:color w:val="000000"/>
          <w:sz w:val="20"/>
          <w:szCs w:val="20"/>
        </w:rPr>
        <w:t>THC</w:t>
      </w:r>
      <w:r w:rsidR="00B52943">
        <w:rPr>
          <w:i/>
          <w:iCs/>
          <w:color w:val="000000"/>
          <w:sz w:val="20"/>
          <w:szCs w:val="20"/>
        </w:rPr>
        <w:t xml:space="preserve"> will manufacture and distribute </w:t>
      </w:r>
      <w:r w:rsidR="00B52943" w:rsidRPr="0098713B">
        <w:rPr>
          <w:i/>
          <w:iCs/>
          <w:color w:val="000000"/>
          <w:sz w:val="20"/>
          <w:szCs w:val="20"/>
        </w:rPr>
        <w:t xml:space="preserve">CannAmerica branded CBD infused products in </w:t>
      </w:r>
      <w:r w:rsidR="00B52943">
        <w:rPr>
          <w:i/>
          <w:iCs/>
          <w:color w:val="000000"/>
          <w:sz w:val="20"/>
          <w:szCs w:val="20"/>
        </w:rPr>
        <w:t>Oklahoma</w:t>
      </w:r>
      <w:r w:rsidRPr="009C03DF">
        <w:rPr>
          <w:i/>
          <w:iCs/>
          <w:color w:val="000000"/>
          <w:sz w:val="20"/>
          <w:szCs w:val="20"/>
        </w:rPr>
        <w:t xml:space="preserve">. 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w:t>
      </w:r>
      <w:r w:rsidR="00B52943" w:rsidRPr="009C03DF">
        <w:rPr>
          <w:i/>
          <w:iCs/>
          <w:color w:val="000000"/>
          <w:sz w:val="20"/>
          <w:szCs w:val="20"/>
        </w:rPr>
        <w:t xml:space="preserve">that </w:t>
      </w:r>
      <w:r w:rsidR="00B52943">
        <w:rPr>
          <w:i/>
          <w:iCs/>
          <w:color w:val="000000"/>
          <w:sz w:val="20"/>
          <w:szCs w:val="20"/>
        </w:rPr>
        <w:t>the Company will not</w:t>
      </w:r>
      <w:r w:rsidR="00B52943" w:rsidRPr="0098713B">
        <w:rPr>
          <w:i/>
          <w:iCs/>
          <w:color w:val="000000"/>
          <w:sz w:val="20"/>
          <w:szCs w:val="20"/>
        </w:rPr>
        <w:t xml:space="preserve"> enter into a definitive agreement</w:t>
      </w:r>
      <w:r w:rsidR="00B52943">
        <w:rPr>
          <w:i/>
          <w:iCs/>
          <w:color w:val="000000"/>
          <w:sz w:val="20"/>
          <w:szCs w:val="20"/>
        </w:rPr>
        <w:t xml:space="preserve"> with </w:t>
      </w:r>
      <w:r w:rsidR="00F00AFD">
        <w:rPr>
          <w:i/>
          <w:iCs/>
          <w:color w:val="000000"/>
          <w:sz w:val="20"/>
          <w:szCs w:val="20"/>
        </w:rPr>
        <w:t>THC</w:t>
      </w:r>
      <w:r w:rsidR="00B52943">
        <w:rPr>
          <w:i/>
          <w:iCs/>
          <w:color w:val="000000"/>
          <w:sz w:val="20"/>
          <w:szCs w:val="20"/>
        </w:rPr>
        <w:t xml:space="preserve"> by May 1, 2019 or at all, the terms of the LOI will not be as anticipated by management</w:t>
      </w:r>
      <w:r w:rsidR="00B52943" w:rsidRPr="0098713B">
        <w:rPr>
          <w:i/>
          <w:iCs/>
          <w:color w:val="000000"/>
          <w:sz w:val="20"/>
          <w:szCs w:val="20"/>
        </w:rPr>
        <w:t xml:space="preserve"> </w:t>
      </w:r>
      <w:r w:rsidR="00B52943">
        <w:rPr>
          <w:i/>
          <w:iCs/>
          <w:color w:val="000000"/>
          <w:sz w:val="20"/>
          <w:szCs w:val="20"/>
        </w:rPr>
        <w:t xml:space="preserve">and </w:t>
      </w:r>
      <w:r w:rsidR="00F00AFD">
        <w:rPr>
          <w:i/>
          <w:iCs/>
          <w:color w:val="000000"/>
          <w:sz w:val="20"/>
          <w:szCs w:val="20"/>
        </w:rPr>
        <w:t>THC</w:t>
      </w:r>
      <w:r w:rsidR="00B52943">
        <w:rPr>
          <w:i/>
          <w:iCs/>
          <w:color w:val="000000"/>
          <w:sz w:val="20"/>
          <w:szCs w:val="20"/>
        </w:rPr>
        <w:t xml:space="preserve"> will not manufacture and distribute </w:t>
      </w:r>
      <w:r w:rsidR="00B52943" w:rsidRPr="0098713B">
        <w:rPr>
          <w:i/>
          <w:iCs/>
          <w:color w:val="000000"/>
          <w:sz w:val="20"/>
          <w:szCs w:val="20"/>
        </w:rPr>
        <w:t xml:space="preserve">CannAmerica branded CBD infused products in </w:t>
      </w:r>
      <w:r w:rsidR="00B52943">
        <w:rPr>
          <w:i/>
          <w:iCs/>
          <w:color w:val="000000"/>
          <w:sz w:val="20"/>
          <w:szCs w:val="20"/>
        </w:rPr>
        <w:t>Oklahoma</w:t>
      </w:r>
      <w:r w:rsidR="00B52943" w:rsidRPr="009C03DF">
        <w:rPr>
          <w:i/>
          <w:iCs/>
          <w:color w:val="000000"/>
          <w:sz w:val="20"/>
          <w:szCs w:val="20"/>
        </w:rPr>
        <w:t>.</w:t>
      </w:r>
      <w:r w:rsidRPr="009C03DF">
        <w:rPr>
          <w:i/>
          <w:iCs/>
          <w:color w:val="000000"/>
          <w:sz w:val="20"/>
          <w:szCs w:val="20"/>
        </w:rPr>
        <w:t xml:space="preserve">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w:t>
      </w:r>
    </w:p>
    <w:sectPr w:rsidR="00157F06" w:rsidRPr="00125BF4" w:rsidSect="00457580">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64B4" w14:textId="77777777" w:rsidR="00A44721" w:rsidRDefault="00A44721">
      <w:pPr>
        <w:spacing w:line="240" w:lineRule="auto"/>
      </w:pPr>
      <w:r>
        <w:separator/>
      </w:r>
    </w:p>
  </w:endnote>
  <w:endnote w:type="continuationSeparator" w:id="0">
    <w:p w14:paraId="266EA350" w14:textId="77777777" w:rsidR="00A44721" w:rsidRDefault="00A44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9BCC7" w14:textId="77777777" w:rsidR="00780D63" w:rsidRPr="0017015C" w:rsidRDefault="00982A71" w:rsidP="0017015C">
    <w:pPr>
      <w:pStyle w:val="Footer"/>
      <w:rPr>
        <w:rFonts w:ascii="Calibri" w:hAnsi="Calibri" w:cs="Calibri"/>
        <w:sz w:val="14"/>
      </w:rPr>
    </w:pPr>
    <w:r>
      <w:rPr>
        <w:rFonts w:ascii="Calibri" w:hAnsi="Calibri" w:cs="Calibri"/>
        <w:noProof/>
        <w:vanish/>
        <w:sz w:val="14"/>
      </w:rPr>
      <w:t>JGK\507101\NEWS RELEASES\2389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6C9E" w14:textId="77777777" w:rsidR="00780D63" w:rsidRPr="00DC4797" w:rsidRDefault="00982A71" w:rsidP="00DC4797">
    <w:pPr>
      <w:pStyle w:val="Footer"/>
      <w:rPr>
        <w:sz w:val="14"/>
      </w:rPr>
    </w:pPr>
    <w:r>
      <w:rPr>
        <w:noProof/>
        <w:vanish/>
        <w:sz w:val="14"/>
      </w:rPr>
      <w:t>JGK\507101\NEWS RELEASES\2389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43F9" w14:textId="77777777" w:rsidR="00A44721" w:rsidRDefault="00A44721">
      <w:pPr>
        <w:spacing w:line="240" w:lineRule="auto"/>
      </w:pPr>
      <w:r>
        <w:separator/>
      </w:r>
    </w:p>
  </w:footnote>
  <w:footnote w:type="continuationSeparator" w:id="0">
    <w:p w14:paraId="51346836" w14:textId="77777777" w:rsidR="00A44721" w:rsidRDefault="00A447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79056" w14:textId="77777777" w:rsidR="00376DF5" w:rsidRDefault="00982A71">
    <w:pPr>
      <w:contextualSpacing w:val="0"/>
      <w:jc w:val="center"/>
    </w:pPr>
    <w:r>
      <w:rPr>
        <w:noProof/>
        <w:lang w:val="en-US"/>
      </w:rPr>
      <w:drawing>
        <wp:inline distT="114300" distB="114300" distL="114300" distR="114300" wp14:anchorId="34608863" wp14:editId="765D07FE">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374448299"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33A2" w14:textId="77777777" w:rsidR="00161149" w:rsidRDefault="00982A71" w:rsidP="00161149">
    <w:pPr>
      <w:pStyle w:val="Header"/>
      <w:jc w:val="center"/>
    </w:pPr>
    <w:r>
      <w:rPr>
        <w:noProof/>
        <w:lang w:val="en-US"/>
      </w:rPr>
      <w:drawing>
        <wp:inline distT="114300" distB="114300" distL="114300" distR="114300" wp14:anchorId="6A0886CB" wp14:editId="64280CC2">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03161058"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E82"/>
    <w:multiLevelType w:val="hybridMultilevel"/>
    <w:tmpl w:val="634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59E6"/>
    <w:multiLevelType w:val="hybridMultilevel"/>
    <w:tmpl w:val="BCC8C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0E34"/>
    <w:multiLevelType w:val="hybridMultilevel"/>
    <w:tmpl w:val="484879B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53DA1E9B"/>
    <w:multiLevelType w:val="hybridMultilevel"/>
    <w:tmpl w:val="ED36B76A"/>
    <w:lvl w:ilvl="0" w:tplc="4E6C0DA4">
      <w:start w:val="1"/>
      <w:numFmt w:val="decimal"/>
      <w:lvlText w:val="%1)"/>
      <w:lvlJc w:val="left"/>
      <w:pPr>
        <w:ind w:left="720" w:hanging="360"/>
      </w:pPr>
      <w:rPr>
        <w:rFonts w:hint="default"/>
      </w:rPr>
    </w:lvl>
    <w:lvl w:ilvl="1" w:tplc="90FA4DE6" w:tentative="1">
      <w:start w:val="1"/>
      <w:numFmt w:val="lowerLetter"/>
      <w:lvlText w:val="%2."/>
      <w:lvlJc w:val="left"/>
      <w:pPr>
        <w:ind w:left="1440" w:hanging="360"/>
      </w:pPr>
    </w:lvl>
    <w:lvl w:ilvl="2" w:tplc="CAB07D32" w:tentative="1">
      <w:start w:val="1"/>
      <w:numFmt w:val="lowerRoman"/>
      <w:lvlText w:val="%3."/>
      <w:lvlJc w:val="right"/>
      <w:pPr>
        <w:ind w:left="2160" w:hanging="180"/>
      </w:pPr>
    </w:lvl>
    <w:lvl w:ilvl="3" w:tplc="8310860C" w:tentative="1">
      <w:start w:val="1"/>
      <w:numFmt w:val="decimal"/>
      <w:lvlText w:val="%4."/>
      <w:lvlJc w:val="left"/>
      <w:pPr>
        <w:ind w:left="2880" w:hanging="360"/>
      </w:pPr>
    </w:lvl>
    <w:lvl w:ilvl="4" w:tplc="EBD02732" w:tentative="1">
      <w:start w:val="1"/>
      <w:numFmt w:val="lowerLetter"/>
      <w:lvlText w:val="%5."/>
      <w:lvlJc w:val="left"/>
      <w:pPr>
        <w:ind w:left="3600" w:hanging="360"/>
      </w:pPr>
    </w:lvl>
    <w:lvl w:ilvl="5" w:tplc="FF7A7212" w:tentative="1">
      <w:start w:val="1"/>
      <w:numFmt w:val="lowerRoman"/>
      <w:lvlText w:val="%6."/>
      <w:lvlJc w:val="right"/>
      <w:pPr>
        <w:ind w:left="4320" w:hanging="180"/>
      </w:pPr>
    </w:lvl>
    <w:lvl w:ilvl="6" w:tplc="7A86E12C" w:tentative="1">
      <w:start w:val="1"/>
      <w:numFmt w:val="decimal"/>
      <w:lvlText w:val="%7."/>
      <w:lvlJc w:val="left"/>
      <w:pPr>
        <w:ind w:left="5040" w:hanging="360"/>
      </w:pPr>
    </w:lvl>
    <w:lvl w:ilvl="7" w:tplc="F40CF438" w:tentative="1">
      <w:start w:val="1"/>
      <w:numFmt w:val="lowerLetter"/>
      <w:lvlText w:val="%8."/>
      <w:lvlJc w:val="left"/>
      <w:pPr>
        <w:ind w:left="5760" w:hanging="360"/>
      </w:pPr>
    </w:lvl>
    <w:lvl w:ilvl="8" w:tplc="A74C9EB2" w:tentative="1">
      <w:start w:val="1"/>
      <w:numFmt w:val="lowerRoman"/>
      <w:lvlText w:val="%9."/>
      <w:lvlJc w:val="right"/>
      <w:pPr>
        <w:ind w:left="6480" w:hanging="180"/>
      </w:pPr>
    </w:lvl>
  </w:abstractNum>
  <w:abstractNum w:abstractNumId="4" w15:restartNumberingAfterBreak="0">
    <w:nsid w:val="5E39684E"/>
    <w:multiLevelType w:val="hybridMultilevel"/>
    <w:tmpl w:val="B8E6C980"/>
    <w:lvl w:ilvl="0" w:tplc="81D43454">
      <w:start w:val="1"/>
      <w:numFmt w:val="bullet"/>
      <w:lvlText w:val=""/>
      <w:lvlJc w:val="left"/>
      <w:pPr>
        <w:ind w:left="720" w:hanging="360"/>
      </w:pPr>
      <w:rPr>
        <w:rFonts w:ascii="Symbol" w:hAnsi="Symbol" w:hint="default"/>
      </w:rPr>
    </w:lvl>
    <w:lvl w:ilvl="1" w:tplc="EFE841B6" w:tentative="1">
      <w:start w:val="1"/>
      <w:numFmt w:val="bullet"/>
      <w:lvlText w:val="o"/>
      <w:lvlJc w:val="left"/>
      <w:pPr>
        <w:ind w:left="1440" w:hanging="360"/>
      </w:pPr>
      <w:rPr>
        <w:rFonts w:ascii="Courier New" w:hAnsi="Courier New" w:cs="Courier New" w:hint="default"/>
      </w:rPr>
    </w:lvl>
    <w:lvl w:ilvl="2" w:tplc="45F0677A" w:tentative="1">
      <w:start w:val="1"/>
      <w:numFmt w:val="bullet"/>
      <w:lvlText w:val=""/>
      <w:lvlJc w:val="left"/>
      <w:pPr>
        <w:ind w:left="2160" w:hanging="360"/>
      </w:pPr>
      <w:rPr>
        <w:rFonts w:ascii="Wingdings" w:hAnsi="Wingdings" w:hint="default"/>
      </w:rPr>
    </w:lvl>
    <w:lvl w:ilvl="3" w:tplc="169EF680" w:tentative="1">
      <w:start w:val="1"/>
      <w:numFmt w:val="bullet"/>
      <w:lvlText w:val=""/>
      <w:lvlJc w:val="left"/>
      <w:pPr>
        <w:ind w:left="2880" w:hanging="360"/>
      </w:pPr>
      <w:rPr>
        <w:rFonts w:ascii="Symbol" w:hAnsi="Symbol" w:hint="default"/>
      </w:rPr>
    </w:lvl>
    <w:lvl w:ilvl="4" w:tplc="36408ADE" w:tentative="1">
      <w:start w:val="1"/>
      <w:numFmt w:val="bullet"/>
      <w:lvlText w:val="o"/>
      <w:lvlJc w:val="left"/>
      <w:pPr>
        <w:ind w:left="3600" w:hanging="360"/>
      </w:pPr>
      <w:rPr>
        <w:rFonts w:ascii="Courier New" w:hAnsi="Courier New" w:cs="Courier New" w:hint="default"/>
      </w:rPr>
    </w:lvl>
    <w:lvl w:ilvl="5" w:tplc="E91C91FC" w:tentative="1">
      <w:start w:val="1"/>
      <w:numFmt w:val="bullet"/>
      <w:lvlText w:val=""/>
      <w:lvlJc w:val="left"/>
      <w:pPr>
        <w:ind w:left="4320" w:hanging="360"/>
      </w:pPr>
      <w:rPr>
        <w:rFonts w:ascii="Wingdings" w:hAnsi="Wingdings" w:hint="default"/>
      </w:rPr>
    </w:lvl>
    <w:lvl w:ilvl="6" w:tplc="E9B4641E" w:tentative="1">
      <w:start w:val="1"/>
      <w:numFmt w:val="bullet"/>
      <w:lvlText w:val=""/>
      <w:lvlJc w:val="left"/>
      <w:pPr>
        <w:ind w:left="5040" w:hanging="360"/>
      </w:pPr>
      <w:rPr>
        <w:rFonts w:ascii="Symbol" w:hAnsi="Symbol" w:hint="default"/>
      </w:rPr>
    </w:lvl>
    <w:lvl w:ilvl="7" w:tplc="4F20EB60" w:tentative="1">
      <w:start w:val="1"/>
      <w:numFmt w:val="bullet"/>
      <w:lvlText w:val="o"/>
      <w:lvlJc w:val="left"/>
      <w:pPr>
        <w:ind w:left="5760" w:hanging="360"/>
      </w:pPr>
      <w:rPr>
        <w:rFonts w:ascii="Courier New" w:hAnsi="Courier New" w:cs="Courier New" w:hint="default"/>
      </w:rPr>
    </w:lvl>
    <w:lvl w:ilvl="8" w:tplc="5F8039D2" w:tentative="1">
      <w:start w:val="1"/>
      <w:numFmt w:val="bullet"/>
      <w:lvlText w:val=""/>
      <w:lvlJc w:val="left"/>
      <w:pPr>
        <w:ind w:left="6480" w:hanging="360"/>
      </w:pPr>
      <w:rPr>
        <w:rFonts w:ascii="Wingdings" w:hAnsi="Wingdings" w:hint="default"/>
      </w:rPr>
    </w:lvl>
  </w:abstractNum>
  <w:abstractNum w:abstractNumId="5" w15:restartNumberingAfterBreak="0">
    <w:nsid w:val="60DA44FB"/>
    <w:multiLevelType w:val="hybridMultilevel"/>
    <w:tmpl w:val="8C8096A2"/>
    <w:lvl w:ilvl="0" w:tplc="CA1C2658">
      <w:start w:val="1"/>
      <w:numFmt w:val="decimal"/>
      <w:lvlText w:val="%1)"/>
      <w:lvlJc w:val="left"/>
      <w:pPr>
        <w:ind w:left="720" w:hanging="360"/>
      </w:pPr>
      <w:rPr>
        <w:rFonts w:hint="default"/>
      </w:rPr>
    </w:lvl>
    <w:lvl w:ilvl="1" w:tplc="66AC4D4E" w:tentative="1">
      <w:start w:val="1"/>
      <w:numFmt w:val="lowerLetter"/>
      <w:lvlText w:val="%2."/>
      <w:lvlJc w:val="left"/>
      <w:pPr>
        <w:ind w:left="1440" w:hanging="360"/>
      </w:pPr>
    </w:lvl>
    <w:lvl w:ilvl="2" w:tplc="16504E30" w:tentative="1">
      <w:start w:val="1"/>
      <w:numFmt w:val="lowerRoman"/>
      <w:lvlText w:val="%3."/>
      <w:lvlJc w:val="right"/>
      <w:pPr>
        <w:ind w:left="2160" w:hanging="180"/>
      </w:pPr>
    </w:lvl>
    <w:lvl w:ilvl="3" w:tplc="1920285E" w:tentative="1">
      <w:start w:val="1"/>
      <w:numFmt w:val="decimal"/>
      <w:lvlText w:val="%4."/>
      <w:lvlJc w:val="left"/>
      <w:pPr>
        <w:ind w:left="2880" w:hanging="360"/>
      </w:pPr>
    </w:lvl>
    <w:lvl w:ilvl="4" w:tplc="0DA0117C" w:tentative="1">
      <w:start w:val="1"/>
      <w:numFmt w:val="lowerLetter"/>
      <w:lvlText w:val="%5."/>
      <w:lvlJc w:val="left"/>
      <w:pPr>
        <w:ind w:left="3600" w:hanging="360"/>
      </w:pPr>
    </w:lvl>
    <w:lvl w:ilvl="5" w:tplc="018E0884" w:tentative="1">
      <w:start w:val="1"/>
      <w:numFmt w:val="lowerRoman"/>
      <w:lvlText w:val="%6."/>
      <w:lvlJc w:val="right"/>
      <w:pPr>
        <w:ind w:left="4320" w:hanging="180"/>
      </w:pPr>
    </w:lvl>
    <w:lvl w:ilvl="6" w:tplc="01903EDA" w:tentative="1">
      <w:start w:val="1"/>
      <w:numFmt w:val="decimal"/>
      <w:lvlText w:val="%7."/>
      <w:lvlJc w:val="left"/>
      <w:pPr>
        <w:ind w:left="5040" w:hanging="360"/>
      </w:pPr>
    </w:lvl>
    <w:lvl w:ilvl="7" w:tplc="8FA63796" w:tentative="1">
      <w:start w:val="1"/>
      <w:numFmt w:val="lowerLetter"/>
      <w:lvlText w:val="%8."/>
      <w:lvlJc w:val="left"/>
      <w:pPr>
        <w:ind w:left="5760" w:hanging="360"/>
      </w:pPr>
    </w:lvl>
    <w:lvl w:ilvl="8" w:tplc="D8105C24" w:tentative="1">
      <w:start w:val="1"/>
      <w:numFmt w:val="lowerRoman"/>
      <w:lvlText w:val="%9."/>
      <w:lvlJc w:val="right"/>
      <w:pPr>
        <w:ind w:left="6480" w:hanging="180"/>
      </w:pPr>
    </w:lvl>
  </w:abstractNum>
  <w:abstractNum w:abstractNumId="6" w15:restartNumberingAfterBreak="0">
    <w:nsid w:val="726841C7"/>
    <w:multiLevelType w:val="multilevel"/>
    <w:tmpl w:val="FF38AB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15"/>
    <w:rsid w:val="00010668"/>
    <w:rsid w:val="000110A4"/>
    <w:rsid w:val="000124FD"/>
    <w:rsid w:val="000156DA"/>
    <w:rsid w:val="00034D99"/>
    <w:rsid w:val="00073EBC"/>
    <w:rsid w:val="000956ED"/>
    <w:rsid w:val="000D5FE3"/>
    <w:rsid w:val="000F4BF3"/>
    <w:rsid w:val="0013528E"/>
    <w:rsid w:val="00145CCD"/>
    <w:rsid w:val="001542ED"/>
    <w:rsid w:val="00155FB3"/>
    <w:rsid w:val="00157F06"/>
    <w:rsid w:val="00173999"/>
    <w:rsid w:val="00191C64"/>
    <w:rsid w:val="001A5DFF"/>
    <w:rsid w:val="001C1531"/>
    <w:rsid w:val="00213073"/>
    <w:rsid w:val="00222054"/>
    <w:rsid w:val="0022237C"/>
    <w:rsid w:val="00222656"/>
    <w:rsid w:val="00271F6B"/>
    <w:rsid w:val="002A036C"/>
    <w:rsid w:val="002C10B0"/>
    <w:rsid w:val="002D1116"/>
    <w:rsid w:val="002D6677"/>
    <w:rsid w:val="00302208"/>
    <w:rsid w:val="003444E3"/>
    <w:rsid w:val="00344C7A"/>
    <w:rsid w:val="003562D5"/>
    <w:rsid w:val="00362203"/>
    <w:rsid w:val="00394A63"/>
    <w:rsid w:val="003A1BE0"/>
    <w:rsid w:val="003E7E84"/>
    <w:rsid w:val="00437443"/>
    <w:rsid w:val="00447E48"/>
    <w:rsid w:val="004522BD"/>
    <w:rsid w:val="004648C4"/>
    <w:rsid w:val="004724AD"/>
    <w:rsid w:val="00483BF9"/>
    <w:rsid w:val="004A5095"/>
    <w:rsid w:val="004B6EDA"/>
    <w:rsid w:val="005358FA"/>
    <w:rsid w:val="0058208A"/>
    <w:rsid w:val="00582DC8"/>
    <w:rsid w:val="005A0693"/>
    <w:rsid w:val="005A2826"/>
    <w:rsid w:val="005C0495"/>
    <w:rsid w:val="005C7D4A"/>
    <w:rsid w:val="006215DA"/>
    <w:rsid w:val="006A237D"/>
    <w:rsid w:val="006B2A16"/>
    <w:rsid w:val="006C2DD6"/>
    <w:rsid w:val="006F37DF"/>
    <w:rsid w:val="007A3C8B"/>
    <w:rsid w:val="007B3A4F"/>
    <w:rsid w:val="007B6317"/>
    <w:rsid w:val="007C47A0"/>
    <w:rsid w:val="007D59BE"/>
    <w:rsid w:val="00843F1E"/>
    <w:rsid w:val="008747BD"/>
    <w:rsid w:val="00877349"/>
    <w:rsid w:val="008C493E"/>
    <w:rsid w:val="008F61EA"/>
    <w:rsid w:val="00911E21"/>
    <w:rsid w:val="00940CD0"/>
    <w:rsid w:val="009425CB"/>
    <w:rsid w:val="00982A71"/>
    <w:rsid w:val="00987BC4"/>
    <w:rsid w:val="00997A58"/>
    <w:rsid w:val="009C03DF"/>
    <w:rsid w:val="009F4A71"/>
    <w:rsid w:val="00A0239F"/>
    <w:rsid w:val="00A44721"/>
    <w:rsid w:val="00A64968"/>
    <w:rsid w:val="00A659EE"/>
    <w:rsid w:val="00A86227"/>
    <w:rsid w:val="00AC16B4"/>
    <w:rsid w:val="00AD1755"/>
    <w:rsid w:val="00AE34EA"/>
    <w:rsid w:val="00B12E82"/>
    <w:rsid w:val="00B17FFC"/>
    <w:rsid w:val="00B22E3C"/>
    <w:rsid w:val="00B369FD"/>
    <w:rsid w:val="00B52943"/>
    <w:rsid w:val="00B7500D"/>
    <w:rsid w:val="00BB3392"/>
    <w:rsid w:val="00C0229D"/>
    <w:rsid w:val="00C0298F"/>
    <w:rsid w:val="00C14B11"/>
    <w:rsid w:val="00C1755D"/>
    <w:rsid w:val="00C625E5"/>
    <w:rsid w:val="00CD7F0F"/>
    <w:rsid w:val="00CE2847"/>
    <w:rsid w:val="00D63F7B"/>
    <w:rsid w:val="00D67315"/>
    <w:rsid w:val="00D67FFC"/>
    <w:rsid w:val="00DB6317"/>
    <w:rsid w:val="00DE2049"/>
    <w:rsid w:val="00DE22D7"/>
    <w:rsid w:val="00E06087"/>
    <w:rsid w:val="00E21884"/>
    <w:rsid w:val="00E22B91"/>
    <w:rsid w:val="00E67F88"/>
    <w:rsid w:val="00F00AFD"/>
    <w:rsid w:val="00F34FB6"/>
    <w:rsid w:val="00F623F0"/>
    <w:rsid w:val="00F65070"/>
    <w:rsid w:val="00F9277C"/>
    <w:rsid w:val="00F94140"/>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86E9"/>
  <w15:docId w15:val="{803673D9-F1F7-4E82-A29C-B6EDBFF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 w:type="paragraph" w:customStyle="1" w:styleId="DocID">
    <w:name w:val="DocID"/>
    <w:basedOn w:val="Footer"/>
    <w:next w:val="Footer"/>
    <w:link w:val="DocIDChar"/>
    <w:rsid w:val="00780D63"/>
    <w:pPr>
      <w:tabs>
        <w:tab w:val="clear" w:pos="4680"/>
        <w:tab w:val="clear" w:pos="9360"/>
      </w:tabs>
      <w:contextualSpacing w:val="0"/>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sid w:val="00780D63"/>
    <w:rPr>
      <w:rFonts w:ascii="Times New Roman" w:eastAsia="Times New Roman" w:hAnsi="Times New Roman" w:cs="Times New Roman"/>
      <w:sz w:val="16"/>
      <w:szCs w:val="20"/>
      <w:lang w:val="en-US" w:eastAsia="en-US"/>
    </w:rPr>
  </w:style>
  <w:style w:type="paragraph" w:styleId="Revision">
    <w:name w:val="Revision"/>
    <w:hidden/>
    <w:uiPriority w:val="99"/>
    <w:semiHidden/>
    <w:rsid w:val="005358FA"/>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namericabrands.com" TargetMode="External"/><Relationship Id="rId4" Type="http://schemas.openxmlformats.org/officeDocument/2006/relationships/settings" Target="settings.xml"/><Relationship Id="rId9" Type="http://schemas.openxmlformats.org/officeDocument/2006/relationships/hyperlink" Target="mailto:Sarah@mygrassland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ADF8-4FD9-4C88-9645-BD0A2E61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5655</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NR re Oklahoma distribution  (D0015222.DOCX;2)</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3</cp:revision>
  <cp:lastPrinted>2019-03-19T22:22:00Z</cp:lastPrinted>
  <dcterms:created xsi:type="dcterms:W3CDTF">2019-03-22T14:51:00Z</dcterms:created>
  <dcterms:modified xsi:type="dcterms:W3CDTF">2019-03-22T14:51:00Z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