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00CA" w14:textId="77777777" w:rsidR="00DF5721" w:rsidRPr="005D4BB4" w:rsidRDefault="00DF5721" w:rsidP="00DF5721">
      <w:pPr>
        <w:pStyle w:val="NormalWeb"/>
        <w:spacing w:before="240" w:after="240"/>
        <w:jc w:val="center"/>
        <w:rPr>
          <w:rFonts w:ascii="Arial" w:hAnsi="Arial" w:cs="Arial"/>
          <w:sz w:val="20"/>
          <w:szCs w:val="22"/>
        </w:rPr>
      </w:pPr>
      <w:r w:rsidRPr="005D4BB4">
        <w:rPr>
          <w:rFonts w:ascii="Arial" w:hAnsi="Arial" w:cs="Arial"/>
          <w:b/>
          <w:bCs/>
          <w:sz w:val="22"/>
        </w:rPr>
        <w:t xml:space="preserve">NOT FOR DISSEMINATION TO UNITED STATES NEWSWIRE SERVICES </w:t>
      </w:r>
      <w:r w:rsidRPr="005D4BB4">
        <w:rPr>
          <w:rFonts w:ascii="Arial" w:hAnsi="Arial" w:cs="Arial"/>
          <w:b/>
          <w:bCs/>
          <w:sz w:val="22"/>
        </w:rPr>
        <w:br/>
        <w:t>OR FOR DISSEMINATION IN THE UNITED STATES</w:t>
      </w:r>
    </w:p>
    <w:p w14:paraId="6BA79A59" w14:textId="317B2675" w:rsidR="00B47805" w:rsidRPr="00924F56" w:rsidRDefault="00B47805" w:rsidP="0062620D">
      <w:pPr>
        <w:contextualSpacing w:val="0"/>
        <w:jc w:val="center"/>
        <w:rPr>
          <w:b/>
          <w:color w:val="2E74B5"/>
          <w:sz w:val="28"/>
          <w:szCs w:val="28"/>
        </w:rPr>
      </w:pPr>
      <w:r w:rsidRPr="00924F56">
        <w:rPr>
          <w:b/>
          <w:color w:val="2E74B5"/>
          <w:sz w:val="28"/>
          <w:szCs w:val="28"/>
        </w:rPr>
        <w:t>CANNAMERICA ANNOUNCES</w:t>
      </w:r>
      <w:r>
        <w:rPr>
          <w:b/>
          <w:color w:val="2E74B5"/>
          <w:sz w:val="28"/>
          <w:szCs w:val="28"/>
        </w:rPr>
        <w:t xml:space="preserve"> BROKERED PRIVATE PLACEMENT CO-LED BY CANACCORD AND GRAVITAS</w:t>
      </w:r>
      <w:r w:rsidR="0062620D" w:rsidRPr="0062620D">
        <w:rPr>
          <w:b/>
          <w:color w:val="2E74B5"/>
          <w:sz w:val="28"/>
          <w:szCs w:val="28"/>
        </w:rPr>
        <w:t xml:space="preserve"> </w:t>
      </w:r>
      <w:r w:rsidR="0062620D">
        <w:rPr>
          <w:b/>
          <w:color w:val="2E74B5"/>
          <w:sz w:val="28"/>
          <w:szCs w:val="28"/>
        </w:rPr>
        <w:t>FOR GROSS PROCEEDS OF UP TO</w:t>
      </w:r>
      <w:r w:rsidR="0062620D" w:rsidRPr="00924F56">
        <w:rPr>
          <w:b/>
          <w:color w:val="2E74B5"/>
          <w:sz w:val="28"/>
          <w:szCs w:val="28"/>
        </w:rPr>
        <w:t xml:space="preserve"> $10 MILLION</w:t>
      </w:r>
    </w:p>
    <w:p w14:paraId="477BC5D8" w14:textId="77777777" w:rsidR="008033D1" w:rsidRPr="00924F56" w:rsidRDefault="0021506B" w:rsidP="00BB01A9">
      <w:pPr>
        <w:contextualSpacing w:val="0"/>
        <w:jc w:val="center"/>
        <w:rPr>
          <w:b/>
          <w:sz w:val="20"/>
          <w:szCs w:val="20"/>
        </w:rPr>
      </w:pPr>
    </w:p>
    <w:p w14:paraId="5F9906A8" w14:textId="14D06DD5" w:rsidR="00DF5721" w:rsidRPr="0062620D" w:rsidRDefault="00982A71" w:rsidP="00DF5721">
      <w:pPr>
        <w:pStyle w:val="NormalWeb"/>
        <w:shd w:val="clear" w:color="auto" w:fill="FFFFFF"/>
        <w:spacing w:after="150"/>
        <w:jc w:val="both"/>
        <w:rPr>
          <w:rFonts w:ascii="Arial" w:hAnsi="Arial" w:cs="Arial"/>
          <w:color w:val="auto"/>
          <w:sz w:val="20"/>
          <w:szCs w:val="20"/>
        </w:rPr>
      </w:pPr>
      <w:r w:rsidRPr="0062620D">
        <w:rPr>
          <w:rFonts w:ascii="Arial" w:hAnsi="Arial" w:cs="Arial"/>
          <w:b/>
          <w:color w:val="auto"/>
          <w:sz w:val="20"/>
          <w:szCs w:val="20"/>
        </w:rPr>
        <w:t xml:space="preserve">VANCOUVER, </w:t>
      </w:r>
      <w:r w:rsidR="007C47A0" w:rsidRPr="0062620D">
        <w:rPr>
          <w:rFonts w:ascii="Arial" w:hAnsi="Arial" w:cs="Arial"/>
          <w:b/>
          <w:color w:val="auto"/>
          <w:sz w:val="20"/>
          <w:szCs w:val="20"/>
        </w:rPr>
        <w:t xml:space="preserve">March </w:t>
      </w:r>
      <w:r w:rsidR="008D3668">
        <w:rPr>
          <w:rFonts w:ascii="Arial" w:hAnsi="Arial" w:cs="Arial"/>
          <w:b/>
          <w:color w:val="auto"/>
          <w:sz w:val="20"/>
          <w:szCs w:val="20"/>
        </w:rPr>
        <w:t>12</w:t>
      </w:r>
      <w:r w:rsidRPr="0062620D">
        <w:rPr>
          <w:rFonts w:ascii="Arial" w:hAnsi="Arial" w:cs="Arial"/>
          <w:b/>
          <w:color w:val="auto"/>
          <w:sz w:val="20"/>
          <w:szCs w:val="20"/>
        </w:rPr>
        <w:t xml:space="preserve">, 2019 </w:t>
      </w:r>
      <w:r w:rsidRPr="0062620D">
        <w:rPr>
          <w:rFonts w:ascii="Arial" w:hAnsi="Arial" w:cs="Arial"/>
          <w:b/>
          <w:bCs/>
          <w:color w:val="auto"/>
          <w:sz w:val="20"/>
          <w:szCs w:val="20"/>
        </w:rPr>
        <w:t>–</w:t>
      </w:r>
      <w:r w:rsidRPr="0062620D">
        <w:rPr>
          <w:rFonts w:ascii="Arial" w:hAnsi="Arial" w:cs="Arial"/>
          <w:b/>
          <w:color w:val="auto"/>
          <w:sz w:val="20"/>
          <w:szCs w:val="20"/>
        </w:rPr>
        <w:t xml:space="preserve"> CANNAMERICA BRANDS CORP. ("CANA" or the "Company") (CSE: CANA) (OTCQB: CNNXF)</w:t>
      </w:r>
      <w:r w:rsidRPr="0062620D">
        <w:rPr>
          <w:rFonts w:ascii="Arial" w:hAnsi="Arial" w:cs="Arial"/>
          <w:color w:val="auto"/>
          <w:sz w:val="20"/>
          <w:szCs w:val="20"/>
        </w:rPr>
        <w:t xml:space="preserve"> </w:t>
      </w:r>
      <w:r w:rsidR="00DF5721" w:rsidRPr="0062620D">
        <w:rPr>
          <w:rFonts w:ascii="Arial" w:hAnsi="Arial" w:cs="Arial"/>
          <w:color w:val="auto"/>
          <w:sz w:val="20"/>
          <w:szCs w:val="20"/>
        </w:rPr>
        <w:t>is pleased to announce that it has entered into an agreement with Canaccord</w:t>
      </w:r>
      <w:r w:rsidR="0062620D" w:rsidRPr="0062620D">
        <w:rPr>
          <w:rFonts w:ascii="Arial" w:hAnsi="Arial" w:cs="Arial"/>
          <w:color w:val="auto"/>
          <w:sz w:val="20"/>
          <w:szCs w:val="20"/>
        </w:rPr>
        <w:t> </w:t>
      </w:r>
      <w:r w:rsidR="00DF5721" w:rsidRPr="0062620D">
        <w:rPr>
          <w:rFonts w:ascii="Arial" w:hAnsi="Arial" w:cs="Arial"/>
          <w:color w:val="auto"/>
          <w:sz w:val="20"/>
          <w:szCs w:val="20"/>
        </w:rPr>
        <w:t xml:space="preserve">Genuity Corp. and Gravitas Securities Inc. as co-lead agents (the “Agents”), to sell, by way of a private placement on a commercially reasonable best efforts basis, up to </w:t>
      </w:r>
      <w:r w:rsidR="00B47805" w:rsidRPr="0062620D">
        <w:rPr>
          <w:rFonts w:ascii="Arial" w:hAnsi="Arial" w:cs="Arial"/>
          <w:color w:val="auto"/>
          <w:sz w:val="20"/>
          <w:szCs w:val="20"/>
        </w:rPr>
        <w:t>3</w:t>
      </w:r>
      <w:r w:rsidR="00DF5721" w:rsidRPr="0062620D">
        <w:rPr>
          <w:rFonts w:ascii="Arial" w:hAnsi="Arial" w:cs="Arial"/>
          <w:color w:val="auto"/>
          <w:sz w:val="20"/>
          <w:szCs w:val="20"/>
        </w:rPr>
        <w:t>3,333,333 units of the Company (the "Units") at a price of C$0.</w:t>
      </w:r>
      <w:r w:rsidR="00B47805" w:rsidRPr="0062620D">
        <w:rPr>
          <w:rFonts w:ascii="Arial" w:hAnsi="Arial" w:cs="Arial"/>
          <w:color w:val="auto"/>
          <w:sz w:val="20"/>
          <w:szCs w:val="20"/>
        </w:rPr>
        <w:t xml:space="preserve">30 </w:t>
      </w:r>
      <w:r w:rsidR="00DF5721" w:rsidRPr="0062620D">
        <w:rPr>
          <w:rFonts w:ascii="Arial" w:hAnsi="Arial" w:cs="Arial"/>
          <w:color w:val="auto"/>
          <w:sz w:val="20"/>
          <w:szCs w:val="20"/>
        </w:rPr>
        <w:t>per Unit (the "Offering Price") for gross proceeds of up to C$10,000,000</w:t>
      </w:r>
      <w:r w:rsidR="0062620D" w:rsidRPr="0062620D">
        <w:rPr>
          <w:rFonts w:ascii="Arial" w:hAnsi="Arial" w:cs="Arial"/>
          <w:color w:val="auto"/>
          <w:sz w:val="20"/>
          <w:szCs w:val="20"/>
        </w:rPr>
        <w:t xml:space="preserve"> (the “Offering”)</w:t>
      </w:r>
      <w:r w:rsidR="00DF5721" w:rsidRPr="0062620D">
        <w:rPr>
          <w:rFonts w:ascii="Arial" w:hAnsi="Arial" w:cs="Arial"/>
          <w:color w:val="auto"/>
          <w:sz w:val="20"/>
          <w:szCs w:val="20"/>
        </w:rPr>
        <w:t>. In addition, the Company has granted the Agents an option</w:t>
      </w:r>
      <w:r w:rsidR="009651F1" w:rsidRPr="0062620D">
        <w:rPr>
          <w:rFonts w:ascii="Arial" w:hAnsi="Arial" w:cs="Arial"/>
          <w:color w:val="auto"/>
          <w:sz w:val="20"/>
          <w:szCs w:val="20"/>
        </w:rPr>
        <w:t xml:space="preserve">, exercisable at any time prior to the Closing Date, to increase the size of the offering by up to </w:t>
      </w:r>
      <w:r w:rsidR="0062620D" w:rsidRPr="0062620D">
        <w:rPr>
          <w:rFonts w:ascii="Arial" w:hAnsi="Arial" w:cs="Arial"/>
          <w:color w:val="auto"/>
          <w:sz w:val="20"/>
          <w:szCs w:val="20"/>
        </w:rPr>
        <w:t xml:space="preserve">an additional 33,333,333 Units or </w:t>
      </w:r>
      <w:r w:rsidR="009651F1" w:rsidRPr="0062620D">
        <w:rPr>
          <w:rFonts w:ascii="Arial" w:hAnsi="Arial" w:cs="Arial"/>
          <w:color w:val="auto"/>
          <w:sz w:val="20"/>
          <w:szCs w:val="20"/>
        </w:rPr>
        <w:t>C$10,000,000.</w:t>
      </w:r>
      <w:bookmarkStart w:id="0" w:name="_GoBack"/>
      <w:bookmarkEnd w:id="0"/>
    </w:p>
    <w:p w14:paraId="21F1641B" w14:textId="4462093B" w:rsidR="00DF5721" w:rsidRPr="0062620D" w:rsidRDefault="00DF5721" w:rsidP="00DF5721">
      <w:pPr>
        <w:pStyle w:val="NormalWeb"/>
        <w:shd w:val="clear" w:color="auto" w:fill="FFFFFF"/>
        <w:spacing w:after="150"/>
        <w:jc w:val="both"/>
        <w:rPr>
          <w:rFonts w:ascii="Arial" w:hAnsi="Arial" w:cs="Arial"/>
          <w:color w:val="auto"/>
          <w:sz w:val="20"/>
          <w:szCs w:val="20"/>
        </w:rPr>
      </w:pPr>
      <w:r w:rsidRPr="0062620D">
        <w:rPr>
          <w:rFonts w:ascii="Arial" w:hAnsi="Arial" w:cs="Arial"/>
          <w:color w:val="auto"/>
          <w:sz w:val="20"/>
          <w:szCs w:val="20"/>
        </w:rPr>
        <w:t xml:space="preserve">Each Unit will consist of one common share of the Company </w:t>
      </w:r>
      <w:r w:rsidR="0062620D" w:rsidRPr="0062620D">
        <w:rPr>
          <w:rFonts w:ascii="Arial" w:hAnsi="Arial" w:cs="Arial"/>
          <w:color w:val="auto"/>
          <w:sz w:val="20"/>
          <w:szCs w:val="20"/>
        </w:rPr>
        <w:t>(a “Common Share”)</w:t>
      </w:r>
      <w:r w:rsidR="0062620D">
        <w:rPr>
          <w:rFonts w:ascii="Arial" w:hAnsi="Arial" w:cs="Arial"/>
          <w:color w:val="auto"/>
          <w:sz w:val="20"/>
          <w:szCs w:val="20"/>
        </w:rPr>
        <w:t xml:space="preserve"> </w:t>
      </w:r>
      <w:r w:rsidRPr="0062620D">
        <w:rPr>
          <w:rFonts w:ascii="Arial" w:hAnsi="Arial" w:cs="Arial"/>
          <w:color w:val="auto"/>
          <w:sz w:val="20"/>
          <w:szCs w:val="20"/>
        </w:rPr>
        <w:t xml:space="preserve">and one common share purchase warrant (a "Warrant").  Each Warrant will be exercisable to acquire one </w:t>
      </w:r>
      <w:r w:rsidR="0062620D">
        <w:rPr>
          <w:rFonts w:ascii="Arial" w:hAnsi="Arial" w:cs="Arial"/>
          <w:color w:val="auto"/>
          <w:sz w:val="20"/>
          <w:szCs w:val="20"/>
        </w:rPr>
        <w:t xml:space="preserve">Common </w:t>
      </w:r>
      <w:r w:rsidR="008D3668">
        <w:rPr>
          <w:rFonts w:ascii="Arial" w:hAnsi="Arial" w:cs="Arial"/>
          <w:color w:val="auto"/>
          <w:sz w:val="20"/>
          <w:szCs w:val="20"/>
        </w:rPr>
        <w:t>Share</w:t>
      </w:r>
      <w:r w:rsidR="008D3668" w:rsidRPr="0062620D">
        <w:rPr>
          <w:rFonts w:ascii="Arial" w:hAnsi="Arial" w:cs="Arial"/>
          <w:color w:val="auto"/>
          <w:sz w:val="20"/>
          <w:szCs w:val="20"/>
        </w:rPr>
        <w:t xml:space="preserve"> for</w:t>
      </w:r>
      <w:r w:rsidRPr="0062620D">
        <w:rPr>
          <w:rFonts w:ascii="Arial" w:hAnsi="Arial" w:cs="Arial"/>
          <w:color w:val="auto"/>
          <w:sz w:val="20"/>
          <w:szCs w:val="20"/>
        </w:rPr>
        <w:t xml:space="preserve"> a period of </w:t>
      </w:r>
      <w:r w:rsidR="00B47805" w:rsidRPr="0062620D">
        <w:rPr>
          <w:rFonts w:ascii="Arial" w:hAnsi="Arial" w:cs="Arial"/>
          <w:color w:val="auto"/>
          <w:sz w:val="20"/>
          <w:szCs w:val="20"/>
        </w:rPr>
        <w:t xml:space="preserve">60 </w:t>
      </w:r>
      <w:r w:rsidRPr="0062620D">
        <w:rPr>
          <w:rFonts w:ascii="Arial" w:hAnsi="Arial" w:cs="Arial"/>
          <w:color w:val="auto"/>
          <w:sz w:val="20"/>
          <w:szCs w:val="20"/>
        </w:rPr>
        <w:t>months from the closing date of the Offering (</w:t>
      </w:r>
      <w:r w:rsidR="0062620D" w:rsidRPr="0062620D">
        <w:rPr>
          <w:rFonts w:ascii="Arial" w:hAnsi="Arial" w:cs="Arial"/>
          <w:color w:val="auto"/>
          <w:sz w:val="20"/>
          <w:szCs w:val="20"/>
        </w:rPr>
        <w:t xml:space="preserve">the </w:t>
      </w:r>
      <w:r w:rsidRPr="0062620D">
        <w:rPr>
          <w:rFonts w:ascii="Arial" w:hAnsi="Arial" w:cs="Arial"/>
          <w:color w:val="auto"/>
          <w:sz w:val="20"/>
          <w:szCs w:val="20"/>
        </w:rPr>
        <w:t>"Closing Date") at an exercise price of C$</w:t>
      </w:r>
      <w:r w:rsidR="00B47805" w:rsidRPr="0062620D">
        <w:rPr>
          <w:rFonts w:ascii="Arial" w:hAnsi="Arial" w:cs="Arial"/>
          <w:color w:val="auto"/>
          <w:sz w:val="20"/>
          <w:szCs w:val="20"/>
        </w:rPr>
        <w:t>0</w:t>
      </w:r>
      <w:r w:rsidRPr="0062620D">
        <w:rPr>
          <w:rFonts w:ascii="Arial" w:hAnsi="Arial" w:cs="Arial"/>
          <w:color w:val="auto"/>
          <w:sz w:val="20"/>
          <w:szCs w:val="20"/>
        </w:rPr>
        <w:t>.</w:t>
      </w:r>
      <w:r w:rsidR="00B47805" w:rsidRPr="0062620D">
        <w:rPr>
          <w:rFonts w:ascii="Arial" w:hAnsi="Arial" w:cs="Arial"/>
          <w:color w:val="auto"/>
          <w:sz w:val="20"/>
          <w:szCs w:val="20"/>
        </w:rPr>
        <w:t>5</w:t>
      </w:r>
      <w:r w:rsidRPr="0062620D">
        <w:rPr>
          <w:rFonts w:ascii="Arial" w:hAnsi="Arial" w:cs="Arial"/>
          <w:color w:val="auto"/>
          <w:sz w:val="20"/>
          <w:szCs w:val="20"/>
        </w:rPr>
        <w:t>0</w:t>
      </w:r>
      <w:r w:rsidR="004B23B1">
        <w:rPr>
          <w:rFonts w:ascii="Arial" w:hAnsi="Arial" w:cs="Arial"/>
          <w:color w:val="auto"/>
          <w:sz w:val="20"/>
          <w:szCs w:val="20"/>
        </w:rPr>
        <w:t xml:space="preserve"> per Warrant</w:t>
      </w:r>
      <w:r w:rsidR="00CE04E8" w:rsidRPr="0062620D">
        <w:rPr>
          <w:rFonts w:ascii="Arial" w:hAnsi="Arial" w:cs="Arial"/>
          <w:color w:val="auto"/>
          <w:sz w:val="20"/>
          <w:szCs w:val="20"/>
        </w:rPr>
        <w:t>.</w:t>
      </w:r>
    </w:p>
    <w:p w14:paraId="674FB8C4" w14:textId="0B357C76" w:rsidR="00DF5721" w:rsidRPr="0062620D" w:rsidRDefault="00DF5721" w:rsidP="00DF5721">
      <w:pPr>
        <w:pStyle w:val="NormalWeb"/>
        <w:shd w:val="clear" w:color="auto" w:fill="FFFFFF"/>
        <w:spacing w:after="150"/>
        <w:jc w:val="both"/>
        <w:rPr>
          <w:rFonts w:ascii="Arial" w:hAnsi="Arial" w:cs="Arial"/>
          <w:color w:val="auto"/>
          <w:sz w:val="20"/>
          <w:szCs w:val="20"/>
        </w:rPr>
      </w:pPr>
      <w:r w:rsidRPr="0062620D">
        <w:rPr>
          <w:rFonts w:ascii="Arial" w:hAnsi="Arial" w:cs="Arial"/>
          <w:color w:val="auto"/>
          <w:sz w:val="20"/>
          <w:szCs w:val="20"/>
        </w:rPr>
        <w:t xml:space="preserve">The Agents will be paid a cash commission equal to 8% of the gross proceeds of the Offering and will also receive warrants to purchase such number of Units as is equal to 8% of the Units sold under the Offering (the “Compensation </w:t>
      </w:r>
      <w:r w:rsidR="004B23B1">
        <w:rPr>
          <w:rFonts w:ascii="Arial" w:hAnsi="Arial" w:cs="Arial"/>
          <w:color w:val="auto"/>
          <w:sz w:val="20"/>
          <w:szCs w:val="20"/>
        </w:rPr>
        <w:t>Warrants</w:t>
      </w:r>
      <w:r w:rsidRPr="0062620D">
        <w:rPr>
          <w:rFonts w:ascii="Arial" w:hAnsi="Arial" w:cs="Arial"/>
          <w:color w:val="auto"/>
          <w:sz w:val="20"/>
          <w:szCs w:val="20"/>
        </w:rPr>
        <w:t xml:space="preserve">”). The Compensation </w:t>
      </w:r>
      <w:r w:rsidR="004B23B1">
        <w:rPr>
          <w:rFonts w:ascii="Arial" w:hAnsi="Arial" w:cs="Arial"/>
          <w:color w:val="auto"/>
          <w:sz w:val="20"/>
          <w:szCs w:val="20"/>
        </w:rPr>
        <w:t>Warrants</w:t>
      </w:r>
      <w:r w:rsidR="004B23B1" w:rsidRPr="0062620D">
        <w:rPr>
          <w:rFonts w:ascii="Arial" w:hAnsi="Arial" w:cs="Arial"/>
          <w:color w:val="auto"/>
          <w:sz w:val="20"/>
          <w:szCs w:val="20"/>
        </w:rPr>
        <w:t xml:space="preserve"> </w:t>
      </w:r>
      <w:r w:rsidRPr="0062620D">
        <w:rPr>
          <w:rFonts w:ascii="Arial" w:hAnsi="Arial" w:cs="Arial"/>
          <w:color w:val="auto"/>
          <w:sz w:val="20"/>
          <w:szCs w:val="20"/>
        </w:rPr>
        <w:t xml:space="preserve">will be exercisable for a period of 24 months following </w:t>
      </w:r>
      <w:r w:rsidR="0062620D" w:rsidRPr="0062620D">
        <w:rPr>
          <w:rFonts w:ascii="Arial" w:hAnsi="Arial" w:cs="Arial"/>
          <w:color w:val="auto"/>
          <w:sz w:val="20"/>
          <w:szCs w:val="20"/>
        </w:rPr>
        <w:t>the Closing Date</w:t>
      </w:r>
      <w:r w:rsidRPr="0062620D">
        <w:rPr>
          <w:rFonts w:ascii="Arial" w:hAnsi="Arial" w:cs="Arial"/>
          <w:color w:val="auto"/>
          <w:sz w:val="20"/>
          <w:szCs w:val="20"/>
        </w:rPr>
        <w:t xml:space="preserve"> at an exercise price equal to the </w:t>
      </w:r>
      <w:r w:rsidR="0062620D" w:rsidRPr="0062620D">
        <w:rPr>
          <w:rFonts w:ascii="Arial" w:hAnsi="Arial" w:cs="Arial"/>
          <w:color w:val="auto"/>
          <w:sz w:val="20"/>
          <w:szCs w:val="20"/>
        </w:rPr>
        <w:t xml:space="preserve">Offering </w:t>
      </w:r>
      <w:r w:rsidRPr="0062620D">
        <w:rPr>
          <w:rFonts w:ascii="Arial" w:hAnsi="Arial" w:cs="Arial"/>
          <w:color w:val="auto"/>
          <w:sz w:val="20"/>
          <w:szCs w:val="20"/>
        </w:rPr>
        <w:t>Price.</w:t>
      </w:r>
    </w:p>
    <w:p w14:paraId="00476DC8" w14:textId="77777777" w:rsidR="00DF5721" w:rsidRPr="0062620D" w:rsidRDefault="00DF5721" w:rsidP="00DF5721">
      <w:pPr>
        <w:pStyle w:val="NormalWeb"/>
        <w:shd w:val="clear" w:color="auto" w:fill="FFFFFF"/>
        <w:spacing w:after="150"/>
        <w:jc w:val="both"/>
        <w:rPr>
          <w:rFonts w:ascii="Arial" w:hAnsi="Arial" w:cs="Arial"/>
          <w:color w:val="auto"/>
          <w:sz w:val="20"/>
          <w:szCs w:val="20"/>
        </w:rPr>
      </w:pPr>
      <w:r w:rsidRPr="0062620D">
        <w:rPr>
          <w:rFonts w:ascii="Arial" w:hAnsi="Arial" w:cs="Arial"/>
          <w:color w:val="auto"/>
          <w:sz w:val="20"/>
          <w:szCs w:val="20"/>
        </w:rPr>
        <w:t xml:space="preserve">The Company intends to use the net proceeds of the Offering for capital expenditures for the launch of a major brand acquisition strategy to expand the Company’s portfolio of brands as well as working capital and general corporate purposes. </w:t>
      </w:r>
    </w:p>
    <w:p w14:paraId="15857C94" w14:textId="06EBE13A" w:rsidR="00DF5721" w:rsidRPr="0062620D" w:rsidRDefault="00DF5721" w:rsidP="00DF5721">
      <w:pPr>
        <w:pStyle w:val="NormalWeb"/>
        <w:shd w:val="clear" w:color="auto" w:fill="FFFFFF"/>
        <w:spacing w:after="150"/>
        <w:jc w:val="both"/>
        <w:rPr>
          <w:rFonts w:ascii="Arial" w:hAnsi="Arial" w:cs="Arial"/>
          <w:color w:val="auto"/>
          <w:sz w:val="20"/>
          <w:szCs w:val="20"/>
        </w:rPr>
      </w:pPr>
      <w:r w:rsidRPr="0062620D">
        <w:rPr>
          <w:rFonts w:ascii="Arial" w:hAnsi="Arial" w:cs="Arial"/>
          <w:color w:val="auto"/>
          <w:sz w:val="20"/>
          <w:szCs w:val="20"/>
        </w:rPr>
        <w:t xml:space="preserve">The Offering may be completed in multiple </w:t>
      </w:r>
      <w:r w:rsidR="0062620D" w:rsidRPr="0062620D">
        <w:rPr>
          <w:rFonts w:ascii="Arial" w:hAnsi="Arial" w:cs="Arial"/>
          <w:color w:val="auto"/>
          <w:sz w:val="20"/>
          <w:szCs w:val="20"/>
        </w:rPr>
        <w:t>future tranches</w:t>
      </w:r>
      <w:r w:rsidRPr="0062620D">
        <w:rPr>
          <w:rFonts w:ascii="Arial" w:hAnsi="Arial" w:cs="Arial"/>
          <w:color w:val="auto"/>
          <w:sz w:val="20"/>
          <w:szCs w:val="20"/>
        </w:rPr>
        <w:t xml:space="preserve">, with the final </w:t>
      </w:r>
      <w:r w:rsidR="0062620D" w:rsidRPr="0062620D">
        <w:rPr>
          <w:rFonts w:ascii="Arial" w:hAnsi="Arial" w:cs="Arial"/>
          <w:color w:val="auto"/>
          <w:sz w:val="20"/>
          <w:szCs w:val="20"/>
        </w:rPr>
        <w:t xml:space="preserve">tranche </w:t>
      </w:r>
      <w:r w:rsidRPr="0062620D">
        <w:rPr>
          <w:rFonts w:ascii="Arial" w:hAnsi="Arial" w:cs="Arial"/>
          <w:color w:val="auto"/>
          <w:sz w:val="20"/>
          <w:szCs w:val="20"/>
        </w:rPr>
        <w:t xml:space="preserve">expected to </w:t>
      </w:r>
      <w:r w:rsidR="0062620D" w:rsidRPr="0062620D">
        <w:rPr>
          <w:rFonts w:ascii="Arial" w:hAnsi="Arial" w:cs="Arial"/>
          <w:color w:val="auto"/>
          <w:sz w:val="20"/>
          <w:szCs w:val="20"/>
        </w:rPr>
        <w:t xml:space="preserve">close </w:t>
      </w:r>
      <w:r w:rsidR="0094079F">
        <w:rPr>
          <w:rFonts w:ascii="Arial" w:hAnsi="Arial" w:cs="Arial"/>
          <w:color w:val="auto"/>
          <w:sz w:val="20"/>
          <w:szCs w:val="20"/>
        </w:rPr>
        <w:t>on a date</w:t>
      </w:r>
      <w:r w:rsidRPr="0062620D">
        <w:rPr>
          <w:rFonts w:ascii="Arial" w:hAnsi="Arial" w:cs="Arial"/>
          <w:color w:val="auto"/>
          <w:sz w:val="20"/>
          <w:szCs w:val="20"/>
        </w:rPr>
        <w:t xml:space="preserve"> mutually agreed upon by the Company and Agents, subject to the receipt of all necessary regulatory approvals, including the approval of the Canadian Securities Exchange. All securities issued pursuant to the Offering will be subject to a four-month hold period in accordance with applicable Canadian securities laws.</w:t>
      </w:r>
    </w:p>
    <w:p w14:paraId="540C711C" w14:textId="1E7694FA" w:rsidR="00376DF5" w:rsidRDefault="00DF5721">
      <w:pPr>
        <w:contextualSpacing w:val="0"/>
        <w:jc w:val="both"/>
        <w:rPr>
          <w:color w:val="1155CC"/>
          <w:sz w:val="20"/>
          <w:szCs w:val="20"/>
          <w:u w:val="single"/>
        </w:rPr>
      </w:pPr>
      <w:r w:rsidRPr="0062620D">
        <w:rPr>
          <w:sz w:val="20"/>
          <w:szCs w:val="20"/>
        </w:rPr>
        <w:t>This news release does not constitute an offer to sell or a solicitation of an offer to sell any of securities in the United States. The securities have not been and will not be registered under the United States Securities Act of 1933, as amended (the “U.S. Securities Act”) or any state securities laws and may not be offered or sold within the United States or to or for the account or benefit of U.S. Persons unless registered under the U.S. Securities Act and applicable state securities laws or an exemption from such registration is available.</w:t>
      </w:r>
      <w:r w:rsidR="0062620D" w:rsidRPr="0062620D">
        <w:rPr>
          <w:sz w:val="20"/>
          <w:szCs w:val="20"/>
        </w:rPr>
        <w:t xml:space="preserve"> </w:t>
      </w:r>
      <w:r w:rsidR="00982A71" w:rsidRPr="0062620D">
        <w:rPr>
          <w:sz w:val="20"/>
          <w:szCs w:val="20"/>
        </w:rPr>
        <w:t xml:space="preserve">For more information, please </w:t>
      </w:r>
      <w:r w:rsidR="00982A71">
        <w:rPr>
          <w:sz w:val="20"/>
          <w:szCs w:val="20"/>
        </w:rPr>
        <w:t>visit</w:t>
      </w:r>
      <w:hyperlink r:id="rId8" w:history="1">
        <w:r w:rsidR="00982A71">
          <w:rPr>
            <w:sz w:val="20"/>
            <w:szCs w:val="20"/>
          </w:rPr>
          <w:t xml:space="preserve"> </w:t>
        </w:r>
      </w:hyperlink>
      <w:r w:rsidR="00982A71">
        <w:rPr>
          <w:color w:val="1155CC"/>
          <w:sz w:val="20"/>
          <w:szCs w:val="20"/>
          <w:u w:val="single"/>
        </w:rPr>
        <w:t>www.cannamericabrands.com.</w:t>
      </w:r>
    </w:p>
    <w:p w14:paraId="7C5C2F7C" w14:textId="77777777" w:rsidR="00376DF5" w:rsidRDefault="00982A71">
      <w:pPr>
        <w:contextualSpacing w:val="0"/>
        <w:jc w:val="both"/>
        <w:rPr>
          <w:sz w:val="20"/>
          <w:szCs w:val="20"/>
        </w:rPr>
      </w:pPr>
      <w:r>
        <w:rPr>
          <w:sz w:val="20"/>
          <w:szCs w:val="20"/>
        </w:rPr>
        <w:t xml:space="preserve"> </w:t>
      </w:r>
    </w:p>
    <w:p w14:paraId="7796B2F6" w14:textId="77777777" w:rsidR="00376DF5" w:rsidRDefault="00982A71">
      <w:pPr>
        <w:contextualSpacing w:val="0"/>
        <w:jc w:val="both"/>
        <w:rPr>
          <w:sz w:val="20"/>
          <w:szCs w:val="20"/>
        </w:rPr>
      </w:pPr>
      <w:r>
        <w:rPr>
          <w:sz w:val="20"/>
          <w:szCs w:val="20"/>
        </w:rPr>
        <w:t>On Behalf of the Board,</w:t>
      </w:r>
    </w:p>
    <w:p w14:paraId="6B5C7E93" w14:textId="77777777" w:rsidR="00376DF5" w:rsidRDefault="00982A71">
      <w:pPr>
        <w:contextualSpacing w:val="0"/>
        <w:jc w:val="both"/>
        <w:rPr>
          <w:sz w:val="20"/>
          <w:szCs w:val="20"/>
        </w:rPr>
      </w:pPr>
      <w:r>
        <w:rPr>
          <w:sz w:val="20"/>
          <w:szCs w:val="20"/>
        </w:rPr>
        <w:t>Dan Anglin</w:t>
      </w:r>
    </w:p>
    <w:p w14:paraId="5670CD4E" w14:textId="77777777" w:rsidR="00376DF5" w:rsidRDefault="00982A71">
      <w:pPr>
        <w:contextualSpacing w:val="0"/>
        <w:jc w:val="both"/>
        <w:rPr>
          <w:sz w:val="20"/>
          <w:szCs w:val="20"/>
        </w:rPr>
      </w:pPr>
      <w:r>
        <w:rPr>
          <w:sz w:val="20"/>
          <w:szCs w:val="20"/>
        </w:rPr>
        <w:t>CEO and Director</w:t>
      </w:r>
    </w:p>
    <w:p w14:paraId="40810593" w14:textId="77777777" w:rsidR="00CC61D6" w:rsidRDefault="00982A71" w:rsidP="00CC61D6">
      <w:pPr>
        <w:contextualSpacing w:val="0"/>
        <w:rPr>
          <w:sz w:val="20"/>
          <w:szCs w:val="20"/>
        </w:rPr>
      </w:pPr>
      <w:r>
        <w:rPr>
          <w:sz w:val="20"/>
          <w:szCs w:val="20"/>
        </w:rPr>
        <w:t>(314) 495-4589</w:t>
      </w:r>
    </w:p>
    <w:p w14:paraId="30BFA2E2" w14:textId="77777777" w:rsidR="00376DF5" w:rsidRDefault="00982A71">
      <w:pPr>
        <w:contextualSpacing w:val="0"/>
        <w:jc w:val="both"/>
        <w:rPr>
          <w:sz w:val="20"/>
          <w:szCs w:val="20"/>
        </w:rPr>
      </w:pPr>
      <w:r>
        <w:rPr>
          <w:sz w:val="20"/>
          <w:szCs w:val="20"/>
        </w:rPr>
        <w:t xml:space="preserve"> </w:t>
      </w:r>
    </w:p>
    <w:p w14:paraId="1F5589B8" w14:textId="77777777" w:rsidR="00B47805" w:rsidRDefault="00B47805" w:rsidP="00C058DA">
      <w:pPr>
        <w:keepNext/>
        <w:jc w:val="both"/>
      </w:pPr>
      <w:r>
        <w:rPr>
          <w:sz w:val="20"/>
          <w:szCs w:val="20"/>
        </w:rPr>
        <w:lastRenderedPageBreak/>
        <w:t>Media Contact</w:t>
      </w:r>
    </w:p>
    <w:p w14:paraId="2F911536" w14:textId="77777777" w:rsidR="00B47805" w:rsidRDefault="00B47805" w:rsidP="00C058DA">
      <w:pPr>
        <w:keepNext/>
        <w:jc w:val="both"/>
      </w:pPr>
      <w:r>
        <w:rPr>
          <w:sz w:val="20"/>
          <w:szCs w:val="20"/>
        </w:rPr>
        <w:t>Sarah Thorson</w:t>
      </w:r>
    </w:p>
    <w:p w14:paraId="6BE78963" w14:textId="77777777" w:rsidR="00B47805" w:rsidRDefault="00B47805" w:rsidP="00C058DA">
      <w:pPr>
        <w:keepNext/>
        <w:jc w:val="both"/>
      </w:pPr>
      <w:r>
        <w:rPr>
          <w:sz w:val="20"/>
          <w:szCs w:val="20"/>
        </w:rPr>
        <w:t>Grasslands: A Journalism-Minded Agency</w:t>
      </w:r>
    </w:p>
    <w:p w14:paraId="2C8E93D3" w14:textId="77777777" w:rsidR="00B47805" w:rsidRDefault="0021506B" w:rsidP="00C058DA">
      <w:pPr>
        <w:keepNext/>
      </w:pPr>
      <w:hyperlink r:id="rId9" w:history="1">
        <w:r w:rsidR="00B47805">
          <w:rPr>
            <w:rStyle w:val="Hyperlink"/>
            <w:sz w:val="20"/>
            <w:szCs w:val="20"/>
          </w:rPr>
          <w:t>Sarah@mygrasslands.com</w:t>
        </w:r>
      </w:hyperlink>
    </w:p>
    <w:p w14:paraId="74C9DF0A" w14:textId="77777777" w:rsidR="00B47805" w:rsidRDefault="00B47805" w:rsidP="00C058DA">
      <w:pPr>
        <w:keepNext/>
      </w:pPr>
      <w:r>
        <w:rPr>
          <w:sz w:val="20"/>
          <w:szCs w:val="20"/>
        </w:rPr>
        <w:t>(609) 234-8531</w:t>
      </w:r>
    </w:p>
    <w:p w14:paraId="21F5F0B7" w14:textId="77777777" w:rsidR="00376DF5" w:rsidRDefault="00982A71">
      <w:pPr>
        <w:contextualSpacing w:val="0"/>
        <w:jc w:val="both"/>
        <w:rPr>
          <w:b/>
          <w:sz w:val="20"/>
          <w:szCs w:val="20"/>
        </w:rPr>
      </w:pPr>
      <w:r>
        <w:rPr>
          <w:b/>
          <w:sz w:val="20"/>
          <w:szCs w:val="20"/>
        </w:rPr>
        <w:t xml:space="preserve"> </w:t>
      </w:r>
    </w:p>
    <w:p w14:paraId="73205520" w14:textId="77777777" w:rsidR="00376DF5" w:rsidRDefault="00982A71">
      <w:pPr>
        <w:contextualSpacing w:val="0"/>
        <w:jc w:val="both"/>
        <w:rPr>
          <w:b/>
          <w:sz w:val="20"/>
          <w:szCs w:val="20"/>
        </w:rPr>
      </w:pPr>
      <w:r>
        <w:rPr>
          <w:b/>
          <w:sz w:val="20"/>
          <w:szCs w:val="20"/>
        </w:rPr>
        <w:t>About CannAmerica Brands Corp.</w:t>
      </w:r>
    </w:p>
    <w:p w14:paraId="3A6E92C1" w14:textId="77777777" w:rsidR="00376DF5" w:rsidRDefault="00982A71">
      <w:pPr>
        <w:contextualSpacing w:val="0"/>
        <w:jc w:val="both"/>
        <w:rPr>
          <w:sz w:val="20"/>
          <w:szCs w:val="20"/>
        </w:rPr>
      </w:pPr>
      <w:r>
        <w:rPr>
          <w:sz w:val="20"/>
          <w:szCs w:val="20"/>
        </w:rPr>
        <w:t xml:space="preserve"> </w:t>
      </w:r>
    </w:p>
    <w:p w14:paraId="3F00BFC5" w14:textId="77777777" w:rsidR="00365A7F" w:rsidRDefault="00982A71" w:rsidP="0081230B">
      <w:pPr>
        <w:autoSpaceDE w:val="0"/>
        <w:autoSpaceDN w:val="0"/>
        <w:adjustRightInd w:val="0"/>
        <w:jc w:val="both"/>
        <w:rPr>
          <w:sz w:val="20"/>
          <w:szCs w:val="20"/>
        </w:rPr>
      </w:pPr>
      <w:r>
        <w:rPr>
          <w:sz w:val="20"/>
          <w:szCs w:val="20"/>
        </w:rPr>
        <w:t xml:space="preserve">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10" w:history="1">
        <w:r>
          <w:rPr>
            <w:rStyle w:val="Hyperlink"/>
            <w:sz w:val="20"/>
            <w:szCs w:val="20"/>
          </w:rPr>
          <w:t>www.cannamericabrands.com</w:t>
        </w:r>
      </w:hyperlink>
      <w:r>
        <w:rPr>
          <w:sz w:val="20"/>
          <w:szCs w:val="20"/>
        </w:rPr>
        <w:t>.</w:t>
      </w:r>
    </w:p>
    <w:p w14:paraId="1AC9B140" w14:textId="77777777" w:rsidR="00451993" w:rsidRDefault="0021506B">
      <w:pPr>
        <w:contextualSpacing w:val="0"/>
        <w:jc w:val="both"/>
        <w:rPr>
          <w:sz w:val="20"/>
          <w:szCs w:val="20"/>
        </w:rPr>
      </w:pPr>
    </w:p>
    <w:p w14:paraId="46A19F12" w14:textId="14E402B7" w:rsidR="00125BF4" w:rsidRDefault="00982A71" w:rsidP="002B3351">
      <w:pPr>
        <w:contextualSpacing w:val="0"/>
        <w:jc w:val="both"/>
        <w:rPr>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r>
        <w:rPr>
          <w:sz w:val="20"/>
          <w:szCs w:val="20"/>
        </w:rPr>
        <w:t>.</w:t>
      </w:r>
    </w:p>
    <w:p w14:paraId="0A48D1A5" w14:textId="269F4C08" w:rsidR="00DB362E" w:rsidRDefault="00DB362E" w:rsidP="002B3351">
      <w:pPr>
        <w:contextualSpacing w:val="0"/>
        <w:jc w:val="both"/>
        <w:rPr>
          <w:sz w:val="20"/>
          <w:szCs w:val="20"/>
        </w:rPr>
      </w:pPr>
    </w:p>
    <w:p w14:paraId="4834A560" w14:textId="30A2D7E9" w:rsidR="00DB362E" w:rsidRPr="00DB362E" w:rsidRDefault="00DB362E" w:rsidP="00DB362E">
      <w:pPr>
        <w:autoSpaceDE w:val="0"/>
        <w:autoSpaceDN w:val="0"/>
        <w:adjustRightInd w:val="0"/>
        <w:spacing w:line="240" w:lineRule="auto"/>
        <w:contextualSpacing w:val="0"/>
        <w:jc w:val="both"/>
        <w:rPr>
          <w:rFonts w:ascii="Arial-ItalicMT" w:hAnsi="Arial-ItalicMT" w:cs="Arial-ItalicMT"/>
          <w:i/>
          <w:iCs/>
          <w:sz w:val="20"/>
          <w:szCs w:val="20"/>
          <w:lang w:val="en-US"/>
        </w:rPr>
      </w:pPr>
      <w:r w:rsidRPr="0094079F">
        <w:rPr>
          <w:i/>
          <w:sz w:val="20"/>
          <w:szCs w:val="20"/>
        </w:rPr>
        <w:t xml:space="preserve">Cautionary Note Regarding Forward-Looking Statements: This release includes certain statements and information that may constitute forward-looking information within the meaning of applicable Canadian securities laws or forward-looking statements within the meaning of the United States Private Securities Litigation Reform Act of 1995. All statements in this news release, other than statements of historical facts, including statements regarding the size, timing and completion of the Offering, the use of proceeds thereof, the proposed launch by the Company of its brand acquisition strategy and the anticipated completion of future tranches of the Offering, are forward-looking statements and contain forward-looking information. Generally, forward-looking statements and information can be identified by the use of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 including that the Company will be successful in completing the Offering in the timeframe currently contemplated, if at all, </w:t>
      </w:r>
      <w:r w:rsidR="0094079F" w:rsidRPr="0094079F">
        <w:rPr>
          <w:i/>
          <w:sz w:val="20"/>
          <w:szCs w:val="20"/>
        </w:rPr>
        <w:t xml:space="preserve">that the Company will be able to use the proceeds of the Offering as anticipated, that the Company will be able to complete the anticipated launch of its brand acquisition strategy </w:t>
      </w:r>
      <w:r w:rsidRPr="0094079F">
        <w:rPr>
          <w:i/>
          <w:sz w:val="20"/>
          <w:szCs w:val="20"/>
        </w:rPr>
        <w:t xml:space="preserve">and that the Company will be able to complete future tranches of the Offering. These forward-looking 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 Important factors that may cause actual results to vary, include, without limitation, that the Company will be unable to obtain the necessary approvals to complete the Offering, that the Company will be unable to complete the Offering on the terms and conditions as anticipated by management, </w:t>
      </w:r>
      <w:r w:rsidR="0094079F" w:rsidRPr="0094079F">
        <w:rPr>
          <w:i/>
          <w:sz w:val="20"/>
          <w:szCs w:val="20"/>
        </w:rPr>
        <w:t xml:space="preserve">that the Company will not be able to use the proceeds of the Offering as anticipated, that the Company will not be able to complete the anticipated launch of its brand acquisition strategy, </w:t>
      </w:r>
      <w:r w:rsidRPr="0094079F">
        <w:rPr>
          <w:i/>
          <w:sz w:val="20"/>
          <w:szCs w:val="20"/>
        </w:rPr>
        <w:t xml:space="preserve">that </w:t>
      </w:r>
      <w:r w:rsidRPr="0094079F">
        <w:rPr>
          <w:rFonts w:ascii="Arial-ItalicMT" w:hAnsi="Arial-ItalicMT" w:cs="Arial-ItalicMT"/>
          <w:i/>
          <w:iCs/>
          <w:sz w:val="20"/>
          <w:szCs w:val="20"/>
          <w:lang w:val="en-US"/>
        </w:rPr>
        <w:t>the Company will be unable to obtain the necessary approvals to complete the future tranches of the Offering or to complete the future tranches of the Offering on the terms and conditions as anticipated by management</w:t>
      </w:r>
      <w:r w:rsidRPr="0094079F">
        <w:rPr>
          <w:i/>
          <w:sz w:val="20"/>
          <w:szCs w:val="20"/>
        </w:rPr>
        <w:t>. 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w:t>
      </w:r>
      <w:r w:rsidRPr="00DB362E">
        <w:rPr>
          <w:i/>
          <w:sz w:val="20"/>
          <w:szCs w:val="20"/>
        </w:rPr>
        <w:t xml:space="preserve">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w:t>
      </w:r>
      <w:r w:rsidRPr="00DB362E">
        <w:rPr>
          <w:i/>
          <w:sz w:val="20"/>
          <w:szCs w:val="20"/>
        </w:rPr>
        <w:lastRenderedPageBreak/>
        <w:t>not undertake to update any forward-looking statement, forward-looking information or financial out-look that are incorporated by reference herein, except in accordance with applicable securities laws.</w:t>
      </w:r>
    </w:p>
    <w:sectPr w:rsidR="00DB362E" w:rsidRPr="00DB362E" w:rsidSect="00457580">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7AFE" w14:textId="77777777" w:rsidR="0021506B" w:rsidRDefault="0021506B">
      <w:pPr>
        <w:spacing w:line="240" w:lineRule="auto"/>
      </w:pPr>
      <w:r>
        <w:separator/>
      </w:r>
    </w:p>
  </w:endnote>
  <w:endnote w:type="continuationSeparator" w:id="0">
    <w:p w14:paraId="591C02D4" w14:textId="77777777" w:rsidR="0021506B" w:rsidRDefault="00215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BCC7" w14:textId="77777777" w:rsidR="00780D63" w:rsidRPr="0017015C" w:rsidRDefault="00982A71" w:rsidP="0017015C">
    <w:pPr>
      <w:pStyle w:val="Footer"/>
      <w:rPr>
        <w:rFonts w:ascii="Calibri" w:hAnsi="Calibri" w:cs="Calibri"/>
        <w:sz w:val="14"/>
      </w:rPr>
    </w:pPr>
    <w:r>
      <w:rPr>
        <w:rFonts w:ascii="Calibri" w:hAnsi="Calibri" w:cs="Calibri"/>
        <w:noProof/>
        <w:vanish/>
        <w:sz w:val="14"/>
      </w:rPr>
      <w:t>JGK\507101\NEWS RELEASES\2389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6C9E" w14:textId="77777777" w:rsidR="00780D63" w:rsidRPr="00DC4797" w:rsidRDefault="00982A71" w:rsidP="00DC4797">
    <w:pPr>
      <w:pStyle w:val="Footer"/>
      <w:rPr>
        <w:sz w:val="14"/>
      </w:rPr>
    </w:pPr>
    <w:r>
      <w:rPr>
        <w:noProof/>
        <w:vanish/>
        <w:sz w:val="14"/>
      </w:rPr>
      <w:t>JGK\507101\NEWS RELEASES\2389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41C0" w14:textId="77777777" w:rsidR="0021506B" w:rsidRDefault="0021506B">
      <w:pPr>
        <w:spacing w:line="240" w:lineRule="auto"/>
      </w:pPr>
      <w:r>
        <w:separator/>
      </w:r>
    </w:p>
  </w:footnote>
  <w:footnote w:type="continuationSeparator" w:id="0">
    <w:p w14:paraId="7B145A92" w14:textId="77777777" w:rsidR="0021506B" w:rsidRDefault="00215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9056" w14:textId="77777777" w:rsidR="00376DF5" w:rsidRDefault="00982A71">
    <w:pPr>
      <w:contextualSpacing w:val="0"/>
      <w:jc w:val="center"/>
    </w:pPr>
    <w:r>
      <w:rPr>
        <w:noProof/>
        <w:lang w:val="en-US"/>
      </w:rPr>
      <w:drawing>
        <wp:inline distT="114300" distB="114300" distL="114300" distR="114300" wp14:anchorId="34608863" wp14:editId="765D07FE">
          <wp:extent cx="16764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374448299"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33A2" w14:textId="77777777" w:rsidR="00161149" w:rsidRDefault="00982A71" w:rsidP="00161149">
    <w:pPr>
      <w:pStyle w:val="Header"/>
      <w:jc w:val="center"/>
    </w:pPr>
    <w:r>
      <w:rPr>
        <w:noProof/>
        <w:lang w:val="en-US"/>
      </w:rPr>
      <w:drawing>
        <wp:inline distT="114300" distB="114300" distL="114300" distR="114300" wp14:anchorId="6A0886CB" wp14:editId="64280CC2">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03161058"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1E9B"/>
    <w:multiLevelType w:val="hybridMultilevel"/>
    <w:tmpl w:val="ED36B76A"/>
    <w:lvl w:ilvl="0" w:tplc="4E6C0DA4">
      <w:start w:val="1"/>
      <w:numFmt w:val="decimal"/>
      <w:lvlText w:val="%1)"/>
      <w:lvlJc w:val="left"/>
      <w:pPr>
        <w:ind w:left="720" w:hanging="360"/>
      </w:pPr>
      <w:rPr>
        <w:rFonts w:hint="default"/>
      </w:rPr>
    </w:lvl>
    <w:lvl w:ilvl="1" w:tplc="90FA4DE6" w:tentative="1">
      <w:start w:val="1"/>
      <w:numFmt w:val="lowerLetter"/>
      <w:lvlText w:val="%2."/>
      <w:lvlJc w:val="left"/>
      <w:pPr>
        <w:ind w:left="1440" w:hanging="360"/>
      </w:pPr>
    </w:lvl>
    <w:lvl w:ilvl="2" w:tplc="CAB07D32" w:tentative="1">
      <w:start w:val="1"/>
      <w:numFmt w:val="lowerRoman"/>
      <w:lvlText w:val="%3."/>
      <w:lvlJc w:val="right"/>
      <w:pPr>
        <w:ind w:left="2160" w:hanging="180"/>
      </w:pPr>
    </w:lvl>
    <w:lvl w:ilvl="3" w:tplc="8310860C" w:tentative="1">
      <w:start w:val="1"/>
      <w:numFmt w:val="decimal"/>
      <w:lvlText w:val="%4."/>
      <w:lvlJc w:val="left"/>
      <w:pPr>
        <w:ind w:left="2880" w:hanging="360"/>
      </w:pPr>
    </w:lvl>
    <w:lvl w:ilvl="4" w:tplc="EBD02732" w:tentative="1">
      <w:start w:val="1"/>
      <w:numFmt w:val="lowerLetter"/>
      <w:lvlText w:val="%5."/>
      <w:lvlJc w:val="left"/>
      <w:pPr>
        <w:ind w:left="3600" w:hanging="360"/>
      </w:pPr>
    </w:lvl>
    <w:lvl w:ilvl="5" w:tplc="FF7A7212" w:tentative="1">
      <w:start w:val="1"/>
      <w:numFmt w:val="lowerRoman"/>
      <w:lvlText w:val="%6."/>
      <w:lvlJc w:val="right"/>
      <w:pPr>
        <w:ind w:left="4320" w:hanging="180"/>
      </w:pPr>
    </w:lvl>
    <w:lvl w:ilvl="6" w:tplc="7A86E12C" w:tentative="1">
      <w:start w:val="1"/>
      <w:numFmt w:val="decimal"/>
      <w:lvlText w:val="%7."/>
      <w:lvlJc w:val="left"/>
      <w:pPr>
        <w:ind w:left="5040" w:hanging="360"/>
      </w:pPr>
    </w:lvl>
    <w:lvl w:ilvl="7" w:tplc="F40CF438" w:tentative="1">
      <w:start w:val="1"/>
      <w:numFmt w:val="lowerLetter"/>
      <w:lvlText w:val="%8."/>
      <w:lvlJc w:val="left"/>
      <w:pPr>
        <w:ind w:left="5760" w:hanging="360"/>
      </w:pPr>
    </w:lvl>
    <w:lvl w:ilvl="8" w:tplc="A74C9EB2" w:tentative="1">
      <w:start w:val="1"/>
      <w:numFmt w:val="lowerRoman"/>
      <w:lvlText w:val="%9."/>
      <w:lvlJc w:val="right"/>
      <w:pPr>
        <w:ind w:left="6480" w:hanging="180"/>
      </w:pPr>
    </w:lvl>
  </w:abstractNum>
  <w:abstractNum w:abstractNumId="1" w15:restartNumberingAfterBreak="0">
    <w:nsid w:val="5E39684E"/>
    <w:multiLevelType w:val="hybridMultilevel"/>
    <w:tmpl w:val="B8E6C980"/>
    <w:lvl w:ilvl="0" w:tplc="81D43454">
      <w:start w:val="1"/>
      <w:numFmt w:val="bullet"/>
      <w:lvlText w:val=""/>
      <w:lvlJc w:val="left"/>
      <w:pPr>
        <w:ind w:left="720" w:hanging="360"/>
      </w:pPr>
      <w:rPr>
        <w:rFonts w:ascii="Symbol" w:hAnsi="Symbol" w:hint="default"/>
      </w:rPr>
    </w:lvl>
    <w:lvl w:ilvl="1" w:tplc="EFE841B6" w:tentative="1">
      <w:start w:val="1"/>
      <w:numFmt w:val="bullet"/>
      <w:lvlText w:val="o"/>
      <w:lvlJc w:val="left"/>
      <w:pPr>
        <w:ind w:left="1440" w:hanging="360"/>
      </w:pPr>
      <w:rPr>
        <w:rFonts w:ascii="Courier New" w:hAnsi="Courier New" w:cs="Courier New" w:hint="default"/>
      </w:rPr>
    </w:lvl>
    <w:lvl w:ilvl="2" w:tplc="45F0677A" w:tentative="1">
      <w:start w:val="1"/>
      <w:numFmt w:val="bullet"/>
      <w:lvlText w:val=""/>
      <w:lvlJc w:val="left"/>
      <w:pPr>
        <w:ind w:left="2160" w:hanging="360"/>
      </w:pPr>
      <w:rPr>
        <w:rFonts w:ascii="Wingdings" w:hAnsi="Wingdings" w:hint="default"/>
      </w:rPr>
    </w:lvl>
    <w:lvl w:ilvl="3" w:tplc="169EF680" w:tentative="1">
      <w:start w:val="1"/>
      <w:numFmt w:val="bullet"/>
      <w:lvlText w:val=""/>
      <w:lvlJc w:val="left"/>
      <w:pPr>
        <w:ind w:left="2880" w:hanging="360"/>
      </w:pPr>
      <w:rPr>
        <w:rFonts w:ascii="Symbol" w:hAnsi="Symbol" w:hint="default"/>
      </w:rPr>
    </w:lvl>
    <w:lvl w:ilvl="4" w:tplc="36408ADE" w:tentative="1">
      <w:start w:val="1"/>
      <w:numFmt w:val="bullet"/>
      <w:lvlText w:val="o"/>
      <w:lvlJc w:val="left"/>
      <w:pPr>
        <w:ind w:left="3600" w:hanging="360"/>
      </w:pPr>
      <w:rPr>
        <w:rFonts w:ascii="Courier New" w:hAnsi="Courier New" w:cs="Courier New" w:hint="default"/>
      </w:rPr>
    </w:lvl>
    <w:lvl w:ilvl="5" w:tplc="E91C91FC" w:tentative="1">
      <w:start w:val="1"/>
      <w:numFmt w:val="bullet"/>
      <w:lvlText w:val=""/>
      <w:lvlJc w:val="left"/>
      <w:pPr>
        <w:ind w:left="4320" w:hanging="360"/>
      </w:pPr>
      <w:rPr>
        <w:rFonts w:ascii="Wingdings" w:hAnsi="Wingdings" w:hint="default"/>
      </w:rPr>
    </w:lvl>
    <w:lvl w:ilvl="6" w:tplc="E9B4641E" w:tentative="1">
      <w:start w:val="1"/>
      <w:numFmt w:val="bullet"/>
      <w:lvlText w:val=""/>
      <w:lvlJc w:val="left"/>
      <w:pPr>
        <w:ind w:left="5040" w:hanging="360"/>
      </w:pPr>
      <w:rPr>
        <w:rFonts w:ascii="Symbol" w:hAnsi="Symbol" w:hint="default"/>
      </w:rPr>
    </w:lvl>
    <w:lvl w:ilvl="7" w:tplc="4F20EB60" w:tentative="1">
      <w:start w:val="1"/>
      <w:numFmt w:val="bullet"/>
      <w:lvlText w:val="o"/>
      <w:lvlJc w:val="left"/>
      <w:pPr>
        <w:ind w:left="5760" w:hanging="360"/>
      </w:pPr>
      <w:rPr>
        <w:rFonts w:ascii="Courier New" w:hAnsi="Courier New" w:cs="Courier New" w:hint="default"/>
      </w:rPr>
    </w:lvl>
    <w:lvl w:ilvl="8" w:tplc="5F8039D2" w:tentative="1">
      <w:start w:val="1"/>
      <w:numFmt w:val="bullet"/>
      <w:lvlText w:val=""/>
      <w:lvlJc w:val="left"/>
      <w:pPr>
        <w:ind w:left="6480" w:hanging="360"/>
      </w:pPr>
      <w:rPr>
        <w:rFonts w:ascii="Wingdings" w:hAnsi="Wingdings" w:hint="default"/>
      </w:rPr>
    </w:lvl>
  </w:abstractNum>
  <w:abstractNum w:abstractNumId="2" w15:restartNumberingAfterBreak="0">
    <w:nsid w:val="60DA44FB"/>
    <w:multiLevelType w:val="hybridMultilevel"/>
    <w:tmpl w:val="8C8096A2"/>
    <w:lvl w:ilvl="0" w:tplc="CA1C2658">
      <w:start w:val="1"/>
      <w:numFmt w:val="decimal"/>
      <w:lvlText w:val="%1)"/>
      <w:lvlJc w:val="left"/>
      <w:pPr>
        <w:ind w:left="720" w:hanging="360"/>
      </w:pPr>
      <w:rPr>
        <w:rFonts w:hint="default"/>
      </w:rPr>
    </w:lvl>
    <w:lvl w:ilvl="1" w:tplc="66AC4D4E" w:tentative="1">
      <w:start w:val="1"/>
      <w:numFmt w:val="lowerLetter"/>
      <w:lvlText w:val="%2."/>
      <w:lvlJc w:val="left"/>
      <w:pPr>
        <w:ind w:left="1440" w:hanging="360"/>
      </w:pPr>
    </w:lvl>
    <w:lvl w:ilvl="2" w:tplc="16504E30" w:tentative="1">
      <w:start w:val="1"/>
      <w:numFmt w:val="lowerRoman"/>
      <w:lvlText w:val="%3."/>
      <w:lvlJc w:val="right"/>
      <w:pPr>
        <w:ind w:left="2160" w:hanging="180"/>
      </w:pPr>
    </w:lvl>
    <w:lvl w:ilvl="3" w:tplc="1920285E" w:tentative="1">
      <w:start w:val="1"/>
      <w:numFmt w:val="decimal"/>
      <w:lvlText w:val="%4."/>
      <w:lvlJc w:val="left"/>
      <w:pPr>
        <w:ind w:left="2880" w:hanging="360"/>
      </w:pPr>
    </w:lvl>
    <w:lvl w:ilvl="4" w:tplc="0DA0117C" w:tentative="1">
      <w:start w:val="1"/>
      <w:numFmt w:val="lowerLetter"/>
      <w:lvlText w:val="%5."/>
      <w:lvlJc w:val="left"/>
      <w:pPr>
        <w:ind w:left="3600" w:hanging="360"/>
      </w:pPr>
    </w:lvl>
    <w:lvl w:ilvl="5" w:tplc="018E0884" w:tentative="1">
      <w:start w:val="1"/>
      <w:numFmt w:val="lowerRoman"/>
      <w:lvlText w:val="%6."/>
      <w:lvlJc w:val="right"/>
      <w:pPr>
        <w:ind w:left="4320" w:hanging="180"/>
      </w:pPr>
    </w:lvl>
    <w:lvl w:ilvl="6" w:tplc="01903EDA" w:tentative="1">
      <w:start w:val="1"/>
      <w:numFmt w:val="decimal"/>
      <w:lvlText w:val="%7."/>
      <w:lvlJc w:val="left"/>
      <w:pPr>
        <w:ind w:left="5040" w:hanging="360"/>
      </w:pPr>
    </w:lvl>
    <w:lvl w:ilvl="7" w:tplc="8FA63796" w:tentative="1">
      <w:start w:val="1"/>
      <w:numFmt w:val="lowerLetter"/>
      <w:lvlText w:val="%8."/>
      <w:lvlJc w:val="left"/>
      <w:pPr>
        <w:ind w:left="5760" w:hanging="360"/>
      </w:pPr>
    </w:lvl>
    <w:lvl w:ilvl="8" w:tplc="D8105C24" w:tentative="1">
      <w:start w:val="1"/>
      <w:numFmt w:val="lowerRoman"/>
      <w:lvlText w:val="%9."/>
      <w:lvlJc w:val="right"/>
      <w:pPr>
        <w:ind w:left="6480" w:hanging="180"/>
      </w:pPr>
    </w:lvl>
  </w:abstractNum>
  <w:abstractNum w:abstractNumId="3" w15:restartNumberingAfterBreak="0">
    <w:nsid w:val="726841C7"/>
    <w:multiLevelType w:val="multilevel"/>
    <w:tmpl w:val="FF38AB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67315"/>
    <w:rsid w:val="000156DA"/>
    <w:rsid w:val="00034D99"/>
    <w:rsid w:val="00043346"/>
    <w:rsid w:val="0005573B"/>
    <w:rsid w:val="000956ED"/>
    <w:rsid w:val="001165AA"/>
    <w:rsid w:val="00152C5A"/>
    <w:rsid w:val="001A5DFF"/>
    <w:rsid w:val="001C1531"/>
    <w:rsid w:val="00213073"/>
    <w:rsid w:val="0021506B"/>
    <w:rsid w:val="00221DB5"/>
    <w:rsid w:val="00222656"/>
    <w:rsid w:val="002C10B0"/>
    <w:rsid w:val="003444E3"/>
    <w:rsid w:val="00344C7A"/>
    <w:rsid w:val="003A1BE0"/>
    <w:rsid w:val="00456896"/>
    <w:rsid w:val="004648C4"/>
    <w:rsid w:val="004B23B1"/>
    <w:rsid w:val="004B6EDA"/>
    <w:rsid w:val="004F34AF"/>
    <w:rsid w:val="005358FA"/>
    <w:rsid w:val="00552955"/>
    <w:rsid w:val="0058208A"/>
    <w:rsid w:val="005A2826"/>
    <w:rsid w:val="006215DA"/>
    <w:rsid w:val="0062620D"/>
    <w:rsid w:val="006A5FA6"/>
    <w:rsid w:val="006B2A16"/>
    <w:rsid w:val="007A3C8B"/>
    <w:rsid w:val="007A5B72"/>
    <w:rsid w:val="007B3A4F"/>
    <w:rsid w:val="007C47A0"/>
    <w:rsid w:val="007F2514"/>
    <w:rsid w:val="00877349"/>
    <w:rsid w:val="008D3668"/>
    <w:rsid w:val="00911E21"/>
    <w:rsid w:val="0094079F"/>
    <w:rsid w:val="009425CB"/>
    <w:rsid w:val="00943FEF"/>
    <w:rsid w:val="00957414"/>
    <w:rsid w:val="009651F1"/>
    <w:rsid w:val="00966C29"/>
    <w:rsid w:val="00982A71"/>
    <w:rsid w:val="00997A58"/>
    <w:rsid w:val="009E6D1E"/>
    <w:rsid w:val="00A0239F"/>
    <w:rsid w:val="00A64968"/>
    <w:rsid w:val="00AC16B4"/>
    <w:rsid w:val="00AE34EA"/>
    <w:rsid w:val="00B47805"/>
    <w:rsid w:val="00B7500D"/>
    <w:rsid w:val="00BA1766"/>
    <w:rsid w:val="00BA59C0"/>
    <w:rsid w:val="00C0229D"/>
    <w:rsid w:val="00C0298F"/>
    <w:rsid w:val="00C058DA"/>
    <w:rsid w:val="00CE04E8"/>
    <w:rsid w:val="00D67315"/>
    <w:rsid w:val="00D92C85"/>
    <w:rsid w:val="00DB362E"/>
    <w:rsid w:val="00DF5721"/>
    <w:rsid w:val="00E705E9"/>
    <w:rsid w:val="00F65070"/>
    <w:rsid w:val="00F9277C"/>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86E9"/>
  <w15:docId w15:val="{803673D9-F1F7-4E82-A29C-B6EDBFF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 w:type="paragraph" w:styleId="ListParagraph">
    <w:name w:val="List Paragraph"/>
    <w:basedOn w:val="Normal"/>
    <w:uiPriority w:val="34"/>
    <w:qFormat/>
    <w:rsid w:val="001A725F"/>
    <w:pPr>
      <w:ind w:left="720"/>
    </w:pPr>
  </w:style>
  <w:style w:type="character" w:customStyle="1" w:styleId="apple-converted-space">
    <w:name w:val="apple-converted-space"/>
    <w:basedOn w:val="DefaultParagraphFont"/>
    <w:rsid w:val="00055F1F"/>
  </w:style>
  <w:style w:type="character" w:styleId="Hyperlink">
    <w:name w:val="Hyperlink"/>
    <w:basedOn w:val="DefaultParagraphFont"/>
    <w:uiPriority w:val="99"/>
    <w:unhideWhenUsed/>
    <w:rsid w:val="00BA628B"/>
    <w:rPr>
      <w:color w:val="0000FF" w:themeColor="hyperlink"/>
      <w:u w:val="single"/>
    </w:rPr>
  </w:style>
  <w:style w:type="character" w:customStyle="1" w:styleId="UnresolvedMention1">
    <w:name w:val="Unresolved Mention1"/>
    <w:basedOn w:val="DefaultParagraphFont"/>
    <w:uiPriority w:val="99"/>
    <w:rsid w:val="00BA628B"/>
    <w:rPr>
      <w:color w:val="605E5C"/>
      <w:shd w:val="clear" w:color="auto" w:fill="E1DFDD"/>
    </w:rPr>
  </w:style>
  <w:style w:type="paragraph" w:customStyle="1" w:styleId="DocID">
    <w:name w:val="DocID"/>
    <w:basedOn w:val="Footer"/>
    <w:next w:val="Footer"/>
    <w:link w:val="DocIDChar"/>
    <w:rsid w:val="00780D63"/>
    <w:pPr>
      <w:tabs>
        <w:tab w:val="clear" w:pos="4680"/>
        <w:tab w:val="clear" w:pos="9360"/>
      </w:tabs>
      <w:contextualSpacing w:val="0"/>
    </w:pPr>
    <w:rPr>
      <w:rFonts w:ascii="Times New Roman" w:eastAsia="Times New Roman" w:hAnsi="Times New Roman" w:cs="Times New Roman"/>
      <w:sz w:val="16"/>
      <w:szCs w:val="20"/>
      <w:lang w:val="en-US"/>
    </w:rPr>
  </w:style>
  <w:style w:type="character" w:customStyle="1" w:styleId="DocIDChar">
    <w:name w:val="DocID Char"/>
    <w:basedOn w:val="DefaultParagraphFont"/>
    <w:link w:val="DocID"/>
    <w:rsid w:val="00780D63"/>
    <w:rPr>
      <w:rFonts w:ascii="Times New Roman" w:eastAsia="Times New Roman" w:hAnsi="Times New Roman" w:cs="Times New Roman"/>
      <w:sz w:val="16"/>
      <w:szCs w:val="20"/>
      <w:lang w:val="en-US" w:eastAsia="en-US"/>
    </w:rPr>
  </w:style>
  <w:style w:type="paragraph" w:styleId="Revision">
    <w:name w:val="Revision"/>
    <w:hidden/>
    <w:uiPriority w:val="99"/>
    <w:semiHidden/>
    <w:rsid w:val="005358FA"/>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namericabrands.com" TargetMode="External"/><Relationship Id="rId4" Type="http://schemas.openxmlformats.org/officeDocument/2006/relationships/settings" Target="settings.xml"/><Relationship Id="rId9" Type="http://schemas.openxmlformats.org/officeDocument/2006/relationships/hyperlink" Target="mailto:Sarah@mygrassland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9E01-2761-4F64-9575-268D4350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1158</Words>
  <Characters>6602</Characters>
  <Application>Microsoft Office Word</Application>
  <DocSecurity>0</DocSecurity>
  <PresentationFormat>15|.DOCX</PresentationFormat>
  <Lines>55</Lines>
  <Paragraphs>15</Paragraphs>
  <ScaleCrop>false</ScaleCrop>
  <HeadingPairs>
    <vt:vector size="2" baseType="variant">
      <vt:variant>
        <vt:lpstr>Title</vt:lpstr>
      </vt:variant>
      <vt:variant>
        <vt:i4>1</vt:i4>
      </vt:variant>
    </vt:vector>
  </HeadingPairs>
  <TitlesOfParts>
    <vt:vector size="1" baseType="lpstr">
      <vt:lpstr>NR re CannAmerica Brokered Private Placement of Units ($0.50 - Second Tranche)  (D0014032.DOCX;2)</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Kathy Love</cp:lastModifiedBy>
  <cp:revision>4</cp:revision>
  <cp:lastPrinted>1900-01-01T08:00:00Z</cp:lastPrinted>
  <dcterms:created xsi:type="dcterms:W3CDTF">2019-03-12T21:49:00Z</dcterms:created>
  <dcterms:modified xsi:type="dcterms:W3CDTF">2019-03-12T21:50:00Z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