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1"/>
        <w:gridCol w:w="3019"/>
      </w:tblGrid>
      <w:tr w:rsidR="00840B45" w:rsidTr="00840B45">
        <w:tc>
          <w:tcPr>
            <w:tcW w:w="6487" w:type="dxa"/>
          </w:tcPr>
          <w:p w:rsidR="00840B45" w:rsidRDefault="008F13D6" w:rsidP="00CB4AA1">
            <w:pPr>
              <w:pStyle w:val="BodyText"/>
              <w:rPr>
                <w:rFonts w:ascii="Arial" w:hAnsi="Arial"/>
                <w:lang w:val="en-CA"/>
              </w:rPr>
            </w:pPr>
            <w:r>
              <w:rPr>
                <w:rFonts w:ascii="Arial" w:hAnsi="Arial"/>
                <w:lang w:val="en-CA"/>
              </w:rPr>
              <w:t>TransC</w:t>
            </w:r>
            <w:r w:rsidR="005F7AF8">
              <w:rPr>
                <w:rFonts w:ascii="Arial" w:hAnsi="Arial"/>
                <w:lang w:val="en-CA"/>
              </w:rPr>
              <w:t xml:space="preserve">anna Holdings Inc. </w:t>
            </w:r>
            <w:r w:rsidR="00840B45">
              <w:rPr>
                <w:rFonts w:ascii="Arial" w:hAnsi="Arial"/>
                <w:lang w:val="en-CA"/>
              </w:rPr>
              <w:t xml:space="preserve">(the “Issuer”).  </w:t>
            </w:r>
          </w:p>
        </w:tc>
        <w:tc>
          <w:tcPr>
            <w:tcW w:w="3089" w:type="dxa"/>
          </w:tcPr>
          <w:p w:rsidR="00840B45" w:rsidRDefault="005F7AF8">
            <w:pPr>
              <w:pStyle w:val="BodyText"/>
              <w:rPr>
                <w:rFonts w:ascii="Arial" w:hAnsi="Arial"/>
                <w:lang w:val="en-CA"/>
              </w:rPr>
            </w:pPr>
            <w:r>
              <w:rPr>
                <w:rFonts w:ascii="Arial" w:hAnsi="Arial"/>
                <w:lang w:val="en-CA"/>
              </w:rPr>
              <w:t>TCAN</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5F7AF8">
        <w:rPr>
          <w:rFonts w:ascii="Arial" w:hAnsi="Arial"/>
          <w:u w:val="single"/>
          <w:lang w:val="en-CA"/>
        </w:rPr>
        <w:t>August 1</w:t>
      </w:r>
      <w:r w:rsidR="004A1D2B">
        <w:rPr>
          <w:rFonts w:ascii="Arial" w:hAnsi="Arial"/>
          <w:u w:val="single"/>
          <w:lang w:val="en-CA"/>
        </w:rPr>
        <w:t>4</w:t>
      </w:r>
      <w:r w:rsidR="005F7AF8">
        <w:rPr>
          <w:rFonts w:ascii="Arial" w:hAnsi="Arial"/>
          <w:u w:val="single"/>
          <w:lang w:val="en-CA"/>
        </w:rPr>
        <w:t xml:space="preserve">, 2019 </w:t>
      </w:r>
      <w:r>
        <w:rPr>
          <w:rFonts w:ascii="Arial" w:hAnsi="Arial"/>
          <w:lang w:val="en-CA"/>
        </w:rPr>
        <w:t xml:space="preserve">Is this </w:t>
      </w:r>
      <w:r w:rsidR="005F7AF8">
        <w:rPr>
          <w:rFonts w:ascii="Arial" w:hAnsi="Arial"/>
          <w:lang w:val="en-CA"/>
        </w:rPr>
        <w:t>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F7AF8">
        <w:rPr>
          <w:rFonts w:ascii="Arial" w:hAnsi="Arial"/>
          <w:lang w:val="en-CA"/>
        </w:rPr>
        <w:t xml:space="preserve">X </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4A1D2B" w:rsidRPr="004A1D2B">
        <w:rPr>
          <w:rFonts w:ascii="Arial" w:hAnsi="Arial"/>
          <w:u w:val="single"/>
          <w:lang w:val="en-CA"/>
        </w:rPr>
        <w:t>34,111,036</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4A1D2B" w:rsidRPr="004A1D2B">
        <w:rPr>
          <w:rFonts w:ascii="Arial" w:hAnsi="Arial"/>
          <w:u w:val="single"/>
          <w:lang w:val="en-CA"/>
        </w:rPr>
        <w:t>August 14</w:t>
      </w:r>
      <w:r w:rsidR="005F7AF8" w:rsidRPr="004A1D2B">
        <w:rPr>
          <w:rFonts w:ascii="Arial" w:hAnsi="Arial"/>
          <w:u w:val="single"/>
          <w:lang w:val="en-CA"/>
        </w:rPr>
        <w:t>, 2019</w:t>
      </w:r>
      <w:r w:rsidR="00840B45">
        <w:rPr>
          <w:rFonts w:ascii="Arial" w:hAnsi="Arial"/>
          <w:u w:val="single"/>
          <w:lang w:val="en-CA"/>
        </w:rPr>
        <w:t xml:space="preserve">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5F7AF8" w:rsidRPr="004A1D2B">
        <w:rPr>
          <w:rFonts w:ascii="Arial" w:hAnsi="Arial"/>
          <w:u w:val="single"/>
          <w:lang w:val="en-CA"/>
        </w:rPr>
        <w:t>$1.1</w:t>
      </w:r>
      <w:r w:rsidR="004A1D2B" w:rsidRPr="004A1D2B">
        <w:rPr>
          <w:rFonts w:ascii="Arial" w:hAnsi="Arial"/>
          <w:u w:val="single"/>
          <w:lang w:val="en-CA"/>
        </w:rPr>
        <w:t>4</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Pr="005F7AF8">
        <w:rPr>
          <w:rFonts w:ascii="Arial" w:hAnsi="Arial"/>
          <w:u w:val="single"/>
          <w:lang w:val="en-CA"/>
        </w:rPr>
        <w:t>_</w:t>
      </w:r>
      <w:r w:rsidR="005F7AF8" w:rsidRPr="005F7AF8">
        <w:rPr>
          <w:rFonts w:ascii="Arial" w:hAnsi="Arial"/>
          <w:u w:val="single"/>
          <w:lang w:val="en-CA"/>
        </w:rPr>
        <w:t>810,000</w:t>
      </w:r>
      <w:r>
        <w:rPr>
          <w:rFonts w:ascii="Arial" w:hAnsi="Arial"/>
          <w:lang w:val="en-CA"/>
        </w:rPr>
        <w:t>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Pr="005F7AF8">
        <w:rPr>
          <w:rFonts w:ascii="Arial" w:hAnsi="Arial"/>
          <w:highlight w:val="yellow"/>
          <w:u w:val="single"/>
          <w:lang w:val="en-CA"/>
        </w:rPr>
        <w:softHyphen/>
      </w:r>
      <w:r w:rsidR="004A1D2B">
        <w:rPr>
          <w:rFonts w:ascii="Arial" w:hAnsi="Arial" w:cs="Arial"/>
          <w:u w:val="single"/>
          <w:lang w:val="en-CA"/>
        </w:rPr>
        <w:t>34,921,036</w:t>
      </w:r>
      <w:r>
        <w:rPr>
          <w:rFonts w:ascii="Arial" w:hAnsi="Arial"/>
          <w:lang w:val="en-CA"/>
        </w:rPr>
        <w:t>_____________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5F7AF8">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F7AF8">
        <w:rPr>
          <w:rFonts w:ascii="Arial" w:hAnsi="Arial"/>
          <w:color w:val="000000"/>
          <w:u w:val="single"/>
        </w:rPr>
        <w:t>All of the issued and outstanding membership interests in Tres Ojos Naturals LLC, dba "SolDaze ("</w:t>
      </w:r>
      <w:r w:rsidR="005F7AF8" w:rsidRPr="005F7AF8">
        <w:rPr>
          <w:rFonts w:ascii="Arial" w:hAnsi="Arial"/>
          <w:b/>
          <w:color w:val="000000"/>
          <w:u w:val="single"/>
        </w:rPr>
        <w:t>SolDaze</w:t>
      </w:r>
      <w:r w:rsidR="005F7AF8">
        <w:rPr>
          <w:rFonts w:ascii="Arial" w:hAnsi="Arial"/>
          <w:color w:val="000000"/>
          <w:u w:val="single"/>
        </w:rPr>
        <w:t xml:space="preserve">"), a </w:t>
      </w:r>
      <w:r w:rsidR="005F7AF8" w:rsidRPr="005F7AF8">
        <w:rPr>
          <w:rFonts w:ascii="Arial" w:hAnsi="Arial"/>
          <w:color w:val="000000"/>
          <w:u w:val="single"/>
        </w:rPr>
        <w:t>limited liability company organized under the laws of the State of California</w:t>
      </w:r>
      <w:r w:rsidR="005F7AF8">
        <w:rPr>
          <w:rFonts w:ascii="Arial" w:hAnsi="Arial"/>
          <w:color w:val="000000"/>
          <w:u w:val="single"/>
        </w:rPr>
        <w:t xml:space="preserve">, which operates in </w:t>
      </w:r>
      <w:r w:rsidR="005F7AF8" w:rsidRPr="005F7AF8">
        <w:rPr>
          <w:rFonts w:ascii="Arial" w:hAnsi="Arial"/>
          <w:color w:val="000000"/>
          <w:u w:val="single"/>
        </w:rPr>
        <w:t>the business of state-approved cannabis related activities and the production of edible cannabis products</w:t>
      </w:r>
      <w:r w:rsidR="005F7AF8">
        <w:rPr>
          <w:rFonts w:ascii="Arial" w:hAnsi="Arial"/>
          <w:color w:val="000000"/>
          <w:u w:val="single"/>
        </w:rPr>
        <w:t>.</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5F7AF8">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F7AF8" w:rsidRPr="005F7AF8">
        <w:rPr>
          <w:rFonts w:ascii="Arial" w:hAnsi="Arial"/>
          <w:color w:val="000000"/>
          <w:u w:val="single"/>
        </w:rPr>
        <w:t xml:space="preserve">The acquisition is being completed pursuant to a membership interest purchase agreement among the Issuer, SolDaze and SolDaze's members (the equivalent of shareholders), dated effective </w:t>
      </w:r>
      <w:r w:rsidR="005F7AF8" w:rsidRPr="004A1D2B">
        <w:rPr>
          <w:rFonts w:ascii="Arial" w:hAnsi="Arial"/>
          <w:color w:val="000000"/>
          <w:u w:val="single"/>
        </w:rPr>
        <w:t xml:space="preserve">August </w:t>
      </w:r>
      <w:r w:rsidR="004A1D2B" w:rsidRPr="004A1D2B">
        <w:rPr>
          <w:rFonts w:ascii="Arial" w:hAnsi="Arial" w:cs="Arial"/>
          <w:color w:val="000000"/>
          <w:u w:val="single"/>
        </w:rPr>
        <w:t>13</w:t>
      </w:r>
      <w:r w:rsidR="005F7AF8" w:rsidRPr="004A1D2B">
        <w:rPr>
          <w:rFonts w:ascii="Arial" w:hAnsi="Arial"/>
          <w:color w:val="000000"/>
          <w:u w:val="single"/>
        </w:rPr>
        <w:t>,</w:t>
      </w:r>
      <w:r w:rsidR="005F7AF8" w:rsidRPr="005F7AF8">
        <w:rPr>
          <w:rFonts w:ascii="Arial" w:hAnsi="Arial"/>
          <w:color w:val="000000"/>
          <w:u w:val="single"/>
        </w:rPr>
        <w:t xml:space="preserve"> 2019 (the "</w:t>
      </w:r>
      <w:r w:rsidR="005F7AF8" w:rsidRPr="005F7AF8">
        <w:rPr>
          <w:rFonts w:ascii="Arial" w:hAnsi="Arial"/>
          <w:b/>
          <w:color w:val="000000"/>
          <w:u w:val="single"/>
        </w:rPr>
        <w:t>SPA</w:t>
      </w:r>
      <w:r w:rsidR="005F7AF8" w:rsidRPr="005F7AF8">
        <w:rPr>
          <w:rFonts w:ascii="Arial" w:hAnsi="Arial"/>
          <w:color w:val="000000"/>
          <w:u w:val="single"/>
        </w:rPr>
        <w:t>"), pursuant to which the Issuer shall purchase the entire membership interest in SolDaze from the vendors, for a purchase price consisting of a combination of cash and common shares of the Issuer, and payable in part on closing and at later intervals pursuant to the terms of the SPA.</w:t>
      </w:r>
      <w:r w:rsidRPr="005F7AF8">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E2C38" w:rsidRPr="00CE2C38">
        <w:rPr>
          <w:rFonts w:ascii="Arial" w:hAnsi="Arial"/>
          <w:color w:val="000000"/>
          <w:u w:val="single"/>
        </w:rPr>
        <w:t>1,386,660</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F7AF8" w:rsidRPr="005F7AF8">
        <w:rPr>
          <w:rFonts w:ascii="Arial" w:hAnsi="Arial"/>
          <w:color w:val="000000"/>
          <w:u w:val="single"/>
        </w:rPr>
        <w:t>US$350,000 in the aggregate</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5F7AF8" w:rsidP="005F7AF8">
      <w:pPr>
        <w:pStyle w:val="List"/>
        <w:tabs>
          <w:tab w:val="left" w:pos="1080"/>
          <w:tab w:val="left" w:pos="2160"/>
          <w:tab w:val="left" w:pos="9180"/>
        </w:tabs>
        <w:spacing w:before="0"/>
        <w:ind w:left="2160" w:firstLine="0"/>
        <w:rPr>
          <w:rFonts w:ascii="Arial" w:hAnsi="Arial"/>
          <w:color w:val="000000"/>
        </w:rPr>
      </w:pPr>
      <w:r w:rsidRPr="005F7AF8">
        <w:rPr>
          <w:rFonts w:ascii="Arial" w:hAnsi="Arial"/>
          <w:color w:val="000000"/>
          <w:u w:val="single"/>
        </w:rPr>
        <w:t>810,000 common shares of the Issuer at a deemed price of $</w:t>
      </w:r>
      <w:r w:rsidR="004A1D2B">
        <w:rPr>
          <w:rFonts w:ascii="Arial" w:hAnsi="Arial" w:cs="Arial"/>
          <w:color w:val="000000"/>
          <w:u w:val="single"/>
        </w:rPr>
        <w:t>1.14</w:t>
      </w:r>
      <w:r w:rsidRPr="005F7AF8">
        <w:rPr>
          <w:rFonts w:ascii="Arial" w:hAnsi="Arial"/>
          <w:color w:val="000000"/>
          <w:u w:val="single"/>
        </w:rPr>
        <w:t xml:space="preserve"> per common share</w:t>
      </w:r>
      <w:r>
        <w:rPr>
          <w:rFonts w:ascii="Arial" w:hAnsi="Arial"/>
          <w:color w:val="000000"/>
          <w:u w:val="single"/>
        </w:rPr>
        <w:t xml:space="preserve">. 315,000 of which shall be payable on closing of the acquisition, and the remainder to become subject to the terms of a voluntary pooling agreement entered into among the Issuer and the vendors, which provides for the release of the remaining common shares upon the achievement of certain milestones, failure to achieve which may result in the forfeiture by the vendors of certain of the Issuer common shares received. </w:t>
      </w:r>
      <w:r w:rsidR="00EA4133">
        <w:rPr>
          <w:rFonts w:ascii="Arial" w:hAnsi="Arial"/>
          <w:color w:val="000000"/>
          <w:u w:val="single"/>
        </w:rPr>
        <w:tab/>
      </w:r>
      <w:r w:rsidR="00EA4133">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F7AF8" w:rsidRPr="005F7AF8">
        <w:rPr>
          <w:rFonts w:ascii="Arial" w:hAnsi="Arial"/>
          <w:color w:val="000000"/>
          <w:u w:val="single"/>
        </w:rPr>
        <w:t>n/a</w:t>
      </w:r>
      <w:r w:rsidRPr="005F7AF8">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F7AF8" w:rsidRPr="005F7AF8">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F7AF8" w:rsidRPr="005F7AF8">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sidR="005F7AF8" w:rsidRPr="005F7AF8">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5F7AF8" w:rsidRPr="005F7AF8" w:rsidRDefault="005F7AF8" w:rsidP="005F7AF8">
      <w:pPr>
        <w:pStyle w:val="List"/>
        <w:tabs>
          <w:tab w:val="left" w:pos="9180"/>
        </w:tabs>
        <w:ind w:firstLine="0"/>
        <w:rPr>
          <w:rFonts w:ascii="Arial" w:hAnsi="Arial"/>
          <w:color w:val="000000"/>
          <w:u w:val="single"/>
        </w:rPr>
      </w:pPr>
      <w:r w:rsidRPr="005F7AF8">
        <w:rPr>
          <w:rFonts w:ascii="Arial" w:hAnsi="Arial"/>
          <w:color w:val="000000"/>
          <w:u w:val="single"/>
        </w:rPr>
        <w:t>Arm's length negotiation. The purchase price was determined pursuant to a non-binding letter of intent entered into by the Issuer and SolDaze and announced as of May 15, 2019. Subsequently, Shawn Shevlin, the president and a member of SolDaze, was hired by the Issuer to oversee its new branding division, while the vendors and the Issuer continued to work on definitive documentation to complete the acquisition of SolDaze.</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5F7AF8">
        <w:rPr>
          <w:rFonts w:ascii="Arial" w:hAnsi="Arial"/>
          <w:color w:val="000000"/>
        </w:rPr>
        <w:t xml:space="preserve"> </w:t>
      </w:r>
      <w:r w:rsidR="005F7AF8" w:rsidRPr="005F7AF8">
        <w:rPr>
          <w:rFonts w:ascii="Arial" w:hAnsi="Arial"/>
          <w:color w:val="000000"/>
          <w:u w:val="single"/>
        </w:rPr>
        <w:t>None. SolDaze has only been in operation for less than one year</w:t>
      </w:r>
      <w:r w:rsidR="005F7AF8">
        <w:rPr>
          <w:rFonts w:ascii="Arial" w:hAnsi="Arial"/>
          <w:color w:val="000000"/>
          <w:u w:val="single"/>
        </w:rPr>
        <w:t xml:space="preserve"> with significant intellectual property and supply arrangements for the production of edible products which the Issuer believes will enhance its revenues and be accretive.</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w:t>
      </w:r>
      <w:r w:rsidR="005F7AF8">
        <w:rPr>
          <w:rFonts w:ascii="Arial" w:hAnsi="Arial"/>
          <w:color w:val="000000"/>
        </w:rPr>
        <w:t>ssued are described as follows:</w:t>
      </w:r>
    </w:p>
    <w:tbl>
      <w:tblPr>
        <w:tblStyle w:val="TableGrid"/>
        <w:tblW w:w="9630" w:type="dxa"/>
        <w:tblInd w:w="198" w:type="dxa"/>
        <w:tblLook w:val="04A0" w:firstRow="1" w:lastRow="0" w:firstColumn="1" w:lastColumn="0" w:noHBand="0" w:noVBand="1"/>
      </w:tblPr>
      <w:tblGrid>
        <w:gridCol w:w="1515"/>
        <w:gridCol w:w="1173"/>
        <w:gridCol w:w="1217"/>
        <w:gridCol w:w="1317"/>
        <w:gridCol w:w="1682"/>
        <w:gridCol w:w="1244"/>
        <w:gridCol w:w="1482"/>
      </w:tblGrid>
      <w:tr w:rsidR="005F7AF8" w:rsidRPr="005F7AF8" w:rsidTr="00CE2C38">
        <w:tc>
          <w:tcPr>
            <w:tcW w:w="1593" w:type="dxa"/>
            <w:tcBorders>
              <w:top w:val="double" w:sz="4" w:space="0" w:color="auto"/>
              <w:left w:val="double" w:sz="4" w:space="0" w:color="auto"/>
            </w:tcBorders>
          </w:tcPr>
          <w:p w:rsidR="005F7AF8" w:rsidRPr="005F7AF8" w:rsidRDefault="005F7AF8" w:rsidP="005F7AF8">
            <w:pPr>
              <w:pStyle w:val="BodyText"/>
              <w:keepNext/>
              <w:keepLines/>
              <w:spacing w:before="0" w:line="280" w:lineRule="exact"/>
              <w:jc w:val="center"/>
              <w:rPr>
                <w:rFonts w:ascii="Arial" w:hAnsi="Arial"/>
                <w:b/>
                <w:sz w:val="20"/>
                <w:lang w:val="en-CA"/>
              </w:rPr>
            </w:pPr>
          </w:p>
          <w:p w:rsidR="005F7AF8" w:rsidRPr="005F7AF8" w:rsidRDefault="005F7AF8" w:rsidP="005F7AF8">
            <w:pPr>
              <w:pStyle w:val="BodyText"/>
              <w:keepNext/>
              <w:keepLines/>
              <w:spacing w:before="0" w:line="280" w:lineRule="exact"/>
              <w:jc w:val="center"/>
              <w:rPr>
                <w:rFonts w:ascii="Arial" w:hAnsi="Arial"/>
                <w:b/>
                <w:sz w:val="20"/>
                <w:lang w:val="en-CA"/>
              </w:rPr>
            </w:pPr>
            <w:r w:rsidRPr="005F7AF8">
              <w:rPr>
                <w:rFonts w:ascii="Arial" w:hAnsi="Arial"/>
                <w:b/>
                <w:sz w:val="20"/>
                <w:lang w:val="en-CA"/>
              </w:rPr>
              <w:t>Name of Party (If not an individual, name all insiders of the Party)</w:t>
            </w:r>
          </w:p>
        </w:tc>
        <w:tc>
          <w:tcPr>
            <w:tcW w:w="1173" w:type="dxa"/>
            <w:tcBorders>
              <w:top w:val="double" w:sz="4" w:space="0" w:color="auto"/>
            </w:tcBorders>
          </w:tcPr>
          <w:p w:rsidR="005F7AF8" w:rsidRPr="005F7AF8" w:rsidRDefault="005F7AF8" w:rsidP="005F7AF8">
            <w:pPr>
              <w:pStyle w:val="BodyText"/>
              <w:keepNext/>
              <w:keepLines/>
              <w:spacing w:before="0" w:line="280" w:lineRule="exact"/>
              <w:jc w:val="center"/>
              <w:rPr>
                <w:rFonts w:ascii="Arial" w:hAnsi="Arial"/>
                <w:b/>
                <w:sz w:val="20"/>
                <w:lang w:val="en-CA"/>
              </w:rPr>
            </w:pPr>
          </w:p>
          <w:p w:rsidR="005F7AF8" w:rsidRPr="005F7AF8" w:rsidRDefault="005F7AF8" w:rsidP="005F7AF8">
            <w:pPr>
              <w:pStyle w:val="BodyText"/>
              <w:keepNext/>
              <w:keepLines/>
              <w:spacing w:before="0" w:line="280" w:lineRule="exact"/>
              <w:jc w:val="center"/>
              <w:rPr>
                <w:rFonts w:ascii="Arial" w:hAnsi="Arial"/>
                <w:b/>
                <w:sz w:val="20"/>
                <w:lang w:val="en-CA"/>
              </w:rPr>
            </w:pPr>
            <w:r w:rsidRPr="005F7AF8">
              <w:rPr>
                <w:rFonts w:ascii="Arial" w:hAnsi="Arial"/>
                <w:b/>
                <w:sz w:val="20"/>
                <w:lang w:val="en-CA"/>
              </w:rPr>
              <w:t>Number and Type of Securities to be Issued</w:t>
            </w:r>
          </w:p>
        </w:tc>
        <w:tc>
          <w:tcPr>
            <w:tcW w:w="1006" w:type="dxa"/>
            <w:tcBorders>
              <w:top w:val="double" w:sz="4" w:space="0" w:color="auto"/>
            </w:tcBorders>
          </w:tcPr>
          <w:p w:rsidR="005F7AF8" w:rsidRPr="005F7AF8" w:rsidRDefault="005F7AF8" w:rsidP="005F7AF8">
            <w:pPr>
              <w:pStyle w:val="BodyText"/>
              <w:keepNext/>
              <w:keepLines/>
              <w:spacing w:before="0" w:line="280" w:lineRule="exact"/>
              <w:jc w:val="center"/>
              <w:rPr>
                <w:rFonts w:ascii="Arial" w:hAnsi="Arial"/>
                <w:b/>
                <w:sz w:val="20"/>
                <w:lang w:val="en-CA"/>
              </w:rPr>
            </w:pPr>
          </w:p>
          <w:p w:rsidR="005F7AF8" w:rsidRPr="005F7AF8" w:rsidRDefault="005F7AF8" w:rsidP="005F7AF8">
            <w:pPr>
              <w:pStyle w:val="BodyText"/>
              <w:keepNext/>
              <w:keepLines/>
              <w:spacing w:before="0" w:line="280" w:lineRule="exact"/>
              <w:jc w:val="center"/>
              <w:rPr>
                <w:rFonts w:ascii="Arial" w:hAnsi="Arial"/>
                <w:b/>
                <w:sz w:val="20"/>
                <w:lang w:val="en-CA"/>
              </w:rPr>
            </w:pPr>
            <w:r w:rsidRPr="005F7AF8">
              <w:rPr>
                <w:rFonts w:ascii="Arial" w:hAnsi="Arial"/>
                <w:b/>
                <w:sz w:val="20"/>
                <w:lang w:val="en-CA"/>
              </w:rPr>
              <w:t>Dollar value per Security (CDN$)</w:t>
            </w:r>
          </w:p>
        </w:tc>
        <w:tc>
          <w:tcPr>
            <w:tcW w:w="1317" w:type="dxa"/>
            <w:tcBorders>
              <w:top w:val="double" w:sz="4" w:space="0" w:color="auto"/>
            </w:tcBorders>
          </w:tcPr>
          <w:p w:rsidR="005F7AF8" w:rsidRPr="005F7AF8" w:rsidRDefault="005F7AF8" w:rsidP="005F7AF8">
            <w:pPr>
              <w:pStyle w:val="BodyText"/>
              <w:keepNext/>
              <w:keepLines/>
              <w:spacing w:before="0" w:line="280" w:lineRule="exact"/>
              <w:jc w:val="center"/>
              <w:rPr>
                <w:rFonts w:ascii="Arial" w:hAnsi="Arial"/>
                <w:b/>
                <w:sz w:val="20"/>
                <w:lang w:val="en-CA"/>
              </w:rPr>
            </w:pPr>
          </w:p>
          <w:p w:rsidR="005F7AF8" w:rsidRPr="005F7AF8" w:rsidRDefault="005F7AF8" w:rsidP="005F7AF8">
            <w:pPr>
              <w:pStyle w:val="BodyText"/>
              <w:keepNext/>
              <w:keepLines/>
              <w:spacing w:before="0" w:line="280" w:lineRule="exact"/>
              <w:jc w:val="center"/>
              <w:rPr>
                <w:rFonts w:ascii="Arial" w:hAnsi="Arial"/>
                <w:b/>
                <w:sz w:val="20"/>
                <w:lang w:val="en-CA"/>
              </w:rPr>
            </w:pPr>
            <w:r w:rsidRPr="005F7AF8">
              <w:rPr>
                <w:rFonts w:ascii="Arial" w:hAnsi="Arial"/>
                <w:b/>
                <w:sz w:val="20"/>
                <w:lang w:val="en-CA"/>
              </w:rPr>
              <w:t>Conversion price (if applicable)</w:t>
            </w:r>
          </w:p>
        </w:tc>
        <w:tc>
          <w:tcPr>
            <w:tcW w:w="1777" w:type="dxa"/>
            <w:tcBorders>
              <w:top w:val="double" w:sz="4" w:space="0" w:color="auto"/>
            </w:tcBorders>
          </w:tcPr>
          <w:p w:rsidR="005F7AF8" w:rsidRPr="005F7AF8" w:rsidRDefault="005F7AF8" w:rsidP="005F7AF8">
            <w:pPr>
              <w:pStyle w:val="BodyText"/>
              <w:keepNext/>
              <w:keepLines/>
              <w:spacing w:before="0" w:line="280" w:lineRule="exact"/>
              <w:jc w:val="center"/>
              <w:rPr>
                <w:rFonts w:ascii="Arial" w:hAnsi="Arial"/>
                <w:b/>
                <w:sz w:val="20"/>
                <w:lang w:val="en-CA"/>
              </w:rPr>
            </w:pPr>
          </w:p>
          <w:p w:rsidR="005F7AF8" w:rsidRPr="005F7AF8" w:rsidRDefault="005F7AF8" w:rsidP="005F7AF8">
            <w:pPr>
              <w:pStyle w:val="BodyText"/>
              <w:keepNext/>
              <w:keepLines/>
              <w:spacing w:before="0" w:line="280" w:lineRule="exact"/>
              <w:jc w:val="center"/>
              <w:rPr>
                <w:rFonts w:ascii="Arial" w:hAnsi="Arial"/>
                <w:b/>
                <w:sz w:val="20"/>
                <w:lang w:val="en-CA"/>
              </w:rPr>
            </w:pPr>
            <w:r w:rsidRPr="005F7AF8">
              <w:rPr>
                <w:rFonts w:ascii="Arial" w:hAnsi="Arial"/>
                <w:b/>
                <w:sz w:val="20"/>
                <w:lang w:val="en-CA"/>
              </w:rPr>
              <w:t>Prospectus Exemption</w:t>
            </w:r>
          </w:p>
        </w:tc>
        <w:tc>
          <w:tcPr>
            <w:tcW w:w="1248" w:type="dxa"/>
            <w:tcBorders>
              <w:top w:val="double" w:sz="4" w:space="0" w:color="auto"/>
            </w:tcBorders>
          </w:tcPr>
          <w:p w:rsidR="005F7AF8" w:rsidRPr="005F7AF8" w:rsidRDefault="005F7AF8" w:rsidP="005F7AF8">
            <w:pPr>
              <w:pStyle w:val="BodyText"/>
              <w:keepNext/>
              <w:keepLines/>
              <w:spacing w:before="0" w:line="280" w:lineRule="exact"/>
              <w:jc w:val="center"/>
              <w:rPr>
                <w:rFonts w:ascii="Arial" w:hAnsi="Arial"/>
                <w:b/>
                <w:sz w:val="20"/>
              </w:rPr>
            </w:pPr>
          </w:p>
          <w:p w:rsidR="005F7AF8" w:rsidRPr="005F7AF8" w:rsidRDefault="005F7AF8" w:rsidP="005F7AF8">
            <w:pPr>
              <w:pStyle w:val="BodyText"/>
              <w:keepNext/>
              <w:keepLines/>
              <w:spacing w:before="0" w:line="280" w:lineRule="exact"/>
              <w:jc w:val="center"/>
              <w:rPr>
                <w:rFonts w:ascii="Arial" w:hAnsi="Arial"/>
                <w:b/>
                <w:sz w:val="20"/>
                <w:lang w:val="en-CA"/>
              </w:rPr>
            </w:pPr>
            <w:r w:rsidRPr="005F7AF8">
              <w:rPr>
                <w:rFonts w:ascii="Arial" w:hAnsi="Arial"/>
                <w:b/>
                <w:sz w:val="20"/>
              </w:rPr>
              <w:t>Total Securities, Previously Owned, Controlled or Directed by Party</w:t>
            </w:r>
          </w:p>
        </w:tc>
        <w:tc>
          <w:tcPr>
            <w:tcW w:w="1516" w:type="dxa"/>
            <w:tcBorders>
              <w:top w:val="double" w:sz="4" w:space="0" w:color="auto"/>
              <w:right w:val="double" w:sz="4" w:space="0" w:color="auto"/>
            </w:tcBorders>
          </w:tcPr>
          <w:p w:rsidR="005F7AF8" w:rsidRPr="005F7AF8" w:rsidRDefault="005F7AF8" w:rsidP="005F7AF8">
            <w:pPr>
              <w:pStyle w:val="BodyText"/>
              <w:keepNext/>
              <w:keepLines/>
              <w:spacing w:before="0" w:line="280" w:lineRule="exact"/>
              <w:jc w:val="center"/>
              <w:rPr>
                <w:rFonts w:ascii="Arial" w:hAnsi="Arial"/>
                <w:b/>
                <w:color w:val="000000"/>
                <w:sz w:val="20"/>
                <w:lang w:val="en-CA"/>
              </w:rPr>
            </w:pPr>
          </w:p>
          <w:p w:rsidR="005F7AF8" w:rsidRPr="005F7AF8" w:rsidRDefault="005F7AF8" w:rsidP="005F7AF8">
            <w:pPr>
              <w:pStyle w:val="BodyText"/>
              <w:keepNext/>
              <w:keepLines/>
              <w:spacing w:before="0" w:line="280" w:lineRule="exact"/>
              <w:jc w:val="center"/>
              <w:rPr>
                <w:rFonts w:ascii="Arial" w:hAnsi="Arial"/>
                <w:b/>
                <w:color w:val="000000"/>
                <w:sz w:val="20"/>
                <w:lang w:val="en-CA"/>
              </w:rPr>
            </w:pPr>
            <w:r w:rsidRPr="005F7AF8">
              <w:rPr>
                <w:rFonts w:ascii="Arial" w:hAnsi="Arial"/>
                <w:b/>
                <w:color w:val="000000"/>
                <w:sz w:val="20"/>
                <w:lang w:val="en-CA"/>
              </w:rPr>
              <w:t xml:space="preserve">Describe relationship </w:t>
            </w:r>
          </w:p>
          <w:p w:rsidR="005F7AF8" w:rsidRPr="005F7AF8" w:rsidRDefault="005F7AF8" w:rsidP="005F7AF8">
            <w:pPr>
              <w:pStyle w:val="BodyText"/>
              <w:keepNext/>
              <w:keepLines/>
              <w:spacing w:before="0" w:line="280" w:lineRule="exact"/>
              <w:jc w:val="center"/>
              <w:rPr>
                <w:rFonts w:ascii="Arial" w:hAnsi="Arial"/>
                <w:b/>
                <w:color w:val="000000"/>
                <w:sz w:val="20"/>
                <w:lang w:val="en-CA"/>
              </w:rPr>
            </w:pPr>
            <w:r w:rsidRPr="005F7AF8">
              <w:rPr>
                <w:rFonts w:ascii="Arial" w:hAnsi="Arial"/>
                <w:b/>
                <w:color w:val="000000"/>
                <w:sz w:val="20"/>
                <w:lang w:val="en-CA"/>
              </w:rPr>
              <w:t>to Issuer</w:t>
            </w:r>
            <w:r w:rsidRPr="005F7AF8">
              <w:rPr>
                <w:rFonts w:ascii="Arial" w:hAnsi="Arial"/>
                <w:b/>
                <w:color w:val="000000"/>
                <w:sz w:val="20"/>
                <w:vertAlign w:val="superscript"/>
                <w:lang w:val="en-CA"/>
              </w:rPr>
              <w:t>(1)</w:t>
            </w:r>
          </w:p>
        </w:tc>
      </w:tr>
      <w:tr w:rsidR="00CE2C38" w:rsidRPr="005F7AF8" w:rsidTr="00CE2C38">
        <w:tc>
          <w:tcPr>
            <w:tcW w:w="1593" w:type="dxa"/>
            <w:tcBorders>
              <w:top w:val="double" w:sz="4" w:space="0" w:color="auto"/>
              <w:lef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Shawn Shevlin</w:t>
            </w:r>
          </w:p>
        </w:tc>
        <w:tc>
          <w:tcPr>
            <w:tcW w:w="1173" w:type="dxa"/>
            <w:tcBorders>
              <w:top w:val="double" w:sz="4" w:space="0" w:color="auto"/>
            </w:tcBorders>
          </w:tcPr>
          <w:p w:rsidR="00CE2C38" w:rsidRPr="005F7AF8" w:rsidRDefault="00CE2C38" w:rsidP="00CE2C38">
            <w:pPr>
              <w:pStyle w:val="List"/>
              <w:ind w:left="0" w:firstLine="0"/>
              <w:jc w:val="both"/>
              <w:rPr>
                <w:rFonts w:ascii="Arial" w:hAnsi="Arial"/>
                <w:color w:val="000000"/>
                <w:sz w:val="20"/>
              </w:rPr>
            </w:pPr>
            <w:r>
              <w:rPr>
                <w:rFonts w:ascii="Arial" w:hAnsi="Arial"/>
                <w:color w:val="000000"/>
                <w:sz w:val="20"/>
              </w:rPr>
              <w:t>157,949</w:t>
            </w:r>
          </w:p>
        </w:tc>
        <w:tc>
          <w:tcPr>
            <w:tcW w:w="1006" w:type="dxa"/>
            <w:tcBorders>
              <w:top w:val="double" w:sz="4" w:space="0" w:color="auto"/>
            </w:tcBorders>
          </w:tcPr>
          <w:p w:rsidR="00CE2C38" w:rsidRPr="00CE2C38" w:rsidRDefault="00CE2C38" w:rsidP="00CE2C38">
            <w:pPr>
              <w:jc w:val="center"/>
              <w:rPr>
                <w:rFonts w:ascii="Arial" w:hAnsi="Arial" w:cs="Arial"/>
                <w:color w:val="000000"/>
                <w:szCs w:val="22"/>
              </w:rPr>
            </w:pPr>
          </w:p>
          <w:p w:rsidR="00CE2C38" w:rsidRPr="00CE2C38" w:rsidRDefault="00CE2C38" w:rsidP="00CE2C38">
            <w:pPr>
              <w:jc w:val="center"/>
              <w:rPr>
                <w:rFonts w:ascii="Arial" w:hAnsi="Arial" w:cs="Arial"/>
                <w:color w:val="000000"/>
                <w:szCs w:val="22"/>
              </w:rPr>
            </w:pPr>
            <w:r w:rsidRPr="00CE2C38">
              <w:rPr>
                <w:rFonts w:ascii="Arial" w:hAnsi="Arial" w:cs="Arial"/>
                <w:color w:val="000000"/>
                <w:szCs w:val="22"/>
              </w:rPr>
              <w:t>180,061.86</w:t>
            </w:r>
          </w:p>
        </w:tc>
        <w:tc>
          <w:tcPr>
            <w:tcW w:w="1317" w:type="dxa"/>
            <w:tcBorders>
              <w:top w:val="double" w:sz="4" w:space="0" w:color="auto"/>
            </w:tcBorders>
          </w:tcPr>
          <w:p w:rsidR="00CE2C38" w:rsidRPr="005F7AF8" w:rsidRDefault="00CE2C38" w:rsidP="00CE2C38">
            <w:pPr>
              <w:pStyle w:val="List"/>
              <w:ind w:left="0" w:firstLine="0"/>
              <w:jc w:val="center"/>
              <w:rPr>
                <w:rFonts w:ascii="Arial" w:hAnsi="Arial"/>
                <w:color w:val="000000"/>
                <w:sz w:val="20"/>
              </w:rPr>
            </w:pPr>
            <w:r w:rsidRPr="005F7AF8">
              <w:rPr>
                <w:rFonts w:ascii="Arial" w:hAnsi="Arial"/>
                <w:color w:val="000000"/>
                <w:sz w:val="20"/>
              </w:rPr>
              <w:t>n/a</w:t>
            </w:r>
          </w:p>
        </w:tc>
        <w:tc>
          <w:tcPr>
            <w:tcW w:w="1777" w:type="dxa"/>
            <w:tcBorders>
              <w:top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BC Instrument 72-503</w:t>
            </w:r>
          </w:p>
        </w:tc>
        <w:tc>
          <w:tcPr>
            <w:tcW w:w="1248" w:type="dxa"/>
            <w:tcBorders>
              <w:top w:val="double" w:sz="4" w:space="0" w:color="auto"/>
            </w:tcBorders>
          </w:tcPr>
          <w:p w:rsidR="00CE2C38" w:rsidRPr="00CE2C38" w:rsidRDefault="00CE2C38" w:rsidP="00CE2C38">
            <w:pPr>
              <w:pStyle w:val="List"/>
              <w:ind w:left="0" w:firstLine="0"/>
              <w:jc w:val="center"/>
              <w:rPr>
                <w:rFonts w:ascii="Arial" w:hAnsi="Arial"/>
                <w:color w:val="000000"/>
                <w:sz w:val="20"/>
              </w:rPr>
            </w:pPr>
            <w:r w:rsidRPr="00CE2C38">
              <w:rPr>
                <w:rFonts w:ascii="Arial" w:hAnsi="Arial"/>
                <w:color w:val="000000"/>
                <w:sz w:val="20"/>
              </w:rPr>
              <w:t>Nil</w:t>
            </w:r>
          </w:p>
        </w:tc>
        <w:tc>
          <w:tcPr>
            <w:tcW w:w="1516" w:type="dxa"/>
            <w:tcBorders>
              <w:top w:val="double" w:sz="4" w:space="0" w:color="auto"/>
              <w:righ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Employee of Issuer but not an insider or related party</w:t>
            </w:r>
          </w:p>
        </w:tc>
      </w:tr>
      <w:tr w:rsidR="00CE2C38" w:rsidRPr="005F7AF8" w:rsidTr="00CE2C38">
        <w:tc>
          <w:tcPr>
            <w:tcW w:w="1593" w:type="dxa"/>
            <w:tcBorders>
              <w:lef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Jon Friesell</w:t>
            </w:r>
          </w:p>
        </w:tc>
        <w:tc>
          <w:tcPr>
            <w:tcW w:w="1173" w:type="dxa"/>
          </w:tcPr>
          <w:p w:rsidR="00CE2C38" w:rsidRPr="005F7AF8" w:rsidRDefault="00CE2C38" w:rsidP="00CE2C38">
            <w:pPr>
              <w:pStyle w:val="List"/>
              <w:ind w:left="0" w:firstLine="0"/>
              <w:jc w:val="both"/>
              <w:rPr>
                <w:rFonts w:ascii="Arial" w:hAnsi="Arial"/>
                <w:color w:val="000000"/>
                <w:sz w:val="20"/>
              </w:rPr>
            </w:pPr>
            <w:r>
              <w:rPr>
                <w:rFonts w:ascii="Arial" w:hAnsi="Arial"/>
                <w:color w:val="000000"/>
                <w:sz w:val="20"/>
              </w:rPr>
              <w:t>206,549</w:t>
            </w:r>
          </w:p>
        </w:tc>
        <w:tc>
          <w:tcPr>
            <w:tcW w:w="1006" w:type="dxa"/>
          </w:tcPr>
          <w:p w:rsidR="00CE2C38" w:rsidRPr="00CE2C38" w:rsidRDefault="00CE2C38" w:rsidP="00CE2C38">
            <w:pPr>
              <w:jc w:val="center"/>
              <w:rPr>
                <w:rFonts w:ascii="Arial" w:hAnsi="Arial" w:cs="Arial"/>
                <w:color w:val="000000"/>
                <w:szCs w:val="22"/>
              </w:rPr>
            </w:pPr>
          </w:p>
          <w:p w:rsidR="00CE2C38" w:rsidRPr="00CE2C38" w:rsidRDefault="00CE2C38" w:rsidP="00CE2C38">
            <w:pPr>
              <w:jc w:val="center"/>
              <w:rPr>
                <w:rFonts w:ascii="Arial" w:hAnsi="Arial" w:cs="Arial"/>
                <w:color w:val="000000"/>
                <w:szCs w:val="22"/>
              </w:rPr>
            </w:pPr>
            <w:r w:rsidRPr="00CE2C38">
              <w:rPr>
                <w:rFonts w:ascii="Arial" w:hAnsi="Arial" w:cs="Arial"/>
                <w:color w:val="000000"/>
                <w:szCs w:val="22"/>
              </w:rPr>
              <w:t>235,465.86</w:t>
            </w:r>
          </w:p>
        </w:tc>
        <w:tc>
          <w:tcPr>
            <w:tcW w:w="1317" w:type="dxa"/>
          </w:tcPr>
          <w:p w:rsidR="00CE2C38" w:rsidRPr="005F7AF8" w:rsidRDefault="00CE2C38" w:rsidP="00CE2C38">
            <w:pPr>
              <w:pStyle w:val="List"/>
              <w:ind w:left="0" w:firstLine="0"/>
              <w:jc w:val="center"/>
              <w:rPr>
                <w:rFonts w:ascii="Arial" w:hAnsi="Arial"/>
                <w:color w:val="000000"/>
                <w:sz w:val="20"/>
              </w:rPr>
            </w:pPr>
            <w:r w:rsidRPr="005F7AF8">
              <w:rPr>
                <w:rFonts w:ascii="Arial" w:hAnsi="Arial"/>
                <w:color w:val="000000"/>
                <w:sz w:val="20"/>
              </w:rPr>
              <w:t>n/a</w:t>
            </w:r>
          </w:p>
        </w:tc>
        <w:tc>
          <w:tcPr>
            <w:tcW w:w="1777" w:type="dxa"/>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BC Instrument 72-503</w:t>
            </w:r>
          </w:p>
        </w:tc>
        <w:tc>
          <w:tcPr>
            <w:tcW w:w="1248" w:type="dxa"/>
          </w:tcPr>
          <w:p w:rsidR="00CE2C38" w:rsidRPr="00CE2C38" w:rsidRDefault="00CE2C38" w:rsidP="00CE2C38">
            <w:pPr>
              <w:pStyle w:val="List"/>
              <w:ind w:left="0" w:firstLine="0"/>
              <w:jc w:val="center"/>
              <w:rPr>
                <w:rFonts w:ascii="Arial" w:hAnsi="Arial"/>
                <w:color w:val="000000"/>
                <w:sz w:val="20"/>
              </w:rPr>
            </w:pPr>
            <w:r w:rsidRPr="00CE2C38">
              <w:rPr>
                <w:rFonts w:ascii="Arial" w:hAnsi="Arial"/>
                <w:color w:val="000000"/>
                <w:sz w:val="20"/>
              </w:rPr>
              <w:t>Nil</w:t>
            </w:r>
          </w:p>
        </w:tc>
        <w:tc>
          <w:tcPr>
            <w:tcW w:w="1516" w:type="dxa"/>
            <w:tcBorders>
              <w:righ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Arm's length</w:t>
            </w:r>
          </w:p>
        </w:tc>
      </w:tr>
      <w:tr w:rsidR="00CE2C38" w:rsidRPr="005F7AF8" w:rsidTr="00CE2C38">
        <w:tc>
          <w:tcPr>
            <w:tcW w:w="1593" w:type="dxa"/>
            <w:tcBorders>
              <w:lef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Stephen Cardoza</w:t>
            </w:r>
          </w:p>
        </w:tc>
        <w:tc>
          <w:tcPr>
            <w:tcW w:w="1173" w:type="dxa"/>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182,25</w:t>
            </w:r>
            <w:r>
              <w:rPr>
                <w:rFonts w:ascii="Arial" w:hAnsi="Arial"/>
                <w:color w:val="000000"/>
                <w:sz w:val="20"/>
              </w:rPr>
              <w:t>1</w:t>
            </w:r>
          </w:p>
        </w:tc>
        <w:tc>
          <w:tcPr>
            <w:tcW w:w="1006" w:type="dxa"/>
          </w:tcPr>
          <w:p w:rsidR="00CE2C38" w:rsidRPr="00CE2C38" w:rsidRDefault="00CE2C38" w:rsidP="00CE2C38">
            <w:pPr>
              <w:jc w:val="center"/>
              <w:rPr>
                <w:rFonts w:ascii="Arial" w:hAnsi="Arial" w:cs="Arial"/>
                <w:color w:val="000000"/>
                <w:szCs w:val="22"/>
              </w:rPr>
            </w:pPr>
          </w:p>
          <w:p w:rsidR="00CE2C38" w:rsidRPr="00CE2C38" w:rsidRDefault="00CE2C38" w:rsidP="00CE2C38">
            <w:pPr>
              <w:jc w:val="center"/>
              <w:rPr>
                <w:rFonts w:ascii="Arial" w:hAnsi="Arial" w:cs="Arial"/>
                <w:color w:val="000000"/>
                <w:szCs w:val="22"/>
              </w:rPr>
            </w:pPr>
            <w:r w:rsidRPr="00CE2C38">
              <w:rPr>
                <w:rFonts w:ascii="Arial" w:hAnsi="Arial" w:cs="Arial"/>
                <w:color w:val="000000"/>
                <w:szCs w:val="22"/>
              </w:rPr>
              <w:t>207,766.14</w:t>
            </w:r>
          </w:p>
        </w:tc>
        <w:tc>
          <w:tcPr>
            <w:tcW w:w="1317" w:type="dxa"/>
          </w:tcPr>
          <w:p w:rsidR="00CE2C38" w:rsidRPr="005F7AF8" w:rsidRDefault="00CE2C38" w:rsidP="00CE2C38">
            <w:pPr>
              <w:pStyle w:val="List"/>
              <w:ind w:left="0" w:firstLine="0"/>
              <w:jc w:val="center"/>
              <w:rPr>
                <w:rFonts w:ascii="Arial" w:hAnsi="Arial"/>
                <w:color w:val="000000"/>
                <w:sz w:val="20"/>
              </w:rPr>
            </w:pPr>
            <w:r w:rsidRPr="005F7AF8">
              <w:rPr>
                <w:rFonts w:ascii="Arial" w:hAnsi="Arial"/>
                <w:color w:val="000000"/>
                <w:sz w:val="20"/>
              </w:rPr>
              <w:t>n/a</w:t>
            </w:r>
          </w:p>
        </w:tc>
        <w:tc>
          <w:tcPr>
            <w:tcW w:w="1777" w:type="dxa"/>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BC Instrument 72-503</w:t>
            </w:r>
          </w:p>
        </w:tc>
        <w:tc>
          <w:tcPr>
            <w:tcW w:w="1248" w:type="dxa"/>
          </w:tcPr>
          <w:p w:rsidR="00CE2C38" w:rsidRPr="00CE2C38" w:rsidRDefault="00CE2C38" w:rsidP="00CE2C38">
            <w:pPr>
              <w:pStyle w:val="List"/>
              <w:ind w:left="0" w:firstLine="0"/>
              <w:jc w:val="center"/>
              <w:rPr>
                <w:rFonts w:ascii="Arial" w:hAnsi="Arial"/>
                <w:color w:val="000000"/>
                <w:sz w:val="20"/>
              </w:rPr>
            </w:pPr>
            <w:r w:rsidRPr="00CE2C38">
              <w:rPr>
                <w:rFonts w:ascii="Arial" w:hAnsi="Arial"/>
                <w:color w:val="000000"/>
                <w:sz w:val="20"/>
              </w:rPr>
              <w:t>Nil</w:t>
            </w:r>
          </w:p>
        </w:tc>
        <w:tc>
          <w:tcPr>
            <w:tcW w:w="1516" w:type="dxa"/>
            <w:tcBorders>
              <w:righ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Arm's length</w:t>
            </w:r>
          </w:p>
        </w:tc>
      </w:tr>
      <w:tr w:rsidR="00CE2C38" w:rsidRPr="005F7AF8" w:rsidTr="00CE2C38">
        <w:tc>
          <w:tcPr>
            <w:tcW w:w="1593" w:type="dxa"/>
            <w:tcBorders>
              <w:lef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Frank Cruz</w:t>
            </w:r>
          </w:p>
        </w:tc>
        <w:tc>
          <w:tcPr>
            <w:tcW w:w="1173" w:type="dxa"/>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182,25</w:t>
            </w:r>
            <w:r>
              <w:rPr>
                <w:rFonts w:ascii="Arial" w:hAnsi="Arial"/>
                <w:color w:val="000000"/>
                <w:sz w:val="20"/>
              </w:rPr>
              <w:t>1</w:t>
            </w:r>
          </w:p>
        </w:tc>
        <w:tc>
          <w:tcPr>
            <w:tcW w:w="1006" w:type="dxa"/>
          </w:tcPr>
          <w:p w:rsidR="00CE2C38" w:rsidRPr="00CE2C38" w:rsidRDefault="00CE2C38" w:rsidP="00CE2C38">
            <w:pPr>
              <w:jc w:val="center"/>
              <w:rPr>
                <w:rFonts w:ascii="Arial" w:hAnsi="Arial" w:cs="Arial"/>
                <w:color w:val="000000"/>
                <w:szCs w:val="22"/>
              </w:rPr>
            </w:pPr>
          </w:p>
          <w:p w:rsidR="00CE2C38" w:rsidRPr="00CE2C38" w:rsidRDefault="00CE2C38" w:rsidP="00CE2C38">
            <w:pPr>
              <w:jc w:val="center"/>
              <w:rPr>
                <w:rFonts w:ascii="Arial" w:hAnsi="Arial" w:cs="Arial"/>
                <w:color w:val="000000"/>
                <w:szCs w:val="22"/>
              </w:rPr>
            </w:pPr>
            <w:r w:rsidRPr="00CE2C38">
              <w:rPr>
                <w:rFonts w:ascii="Arial" w:hAnsi="Arial" w:cs="Arial"/>
                <w:color w:val="000000"/>
                <w:szCs w:val="22"/>
              </w:rPr>
              <w:t>207,766.14</w:t>
            </w:r>
          </w:p>
        </w:tc>
        <w:tc>
          <w:tcPr>
            <w:tcW w:w="1317" w:type="dxa"/>
          </w:tcPr>
          <w:p w:rsidR="00CE2C38" w:rsidRPr="005F7AF8" w:rsidRDefault="00CE2C38" w:rsidP="00CE2C38">
            <w:pPr>
              <w:pStyle w:val="List"/>
              <w:ind w:left="0" w:firstLine="0"/>
              <w:jc w:val="center"/>
              <w:rPr>
                <w:rFonts w:ascii="Arial" w:hAnsi="Arial"/>
                <w:color w:val="000000"/>
                <w:sz w:val="20"/>
              </w:rPr>
            </w:pPr>
            <w:r w:rsidRPr="005F7AF8">
              <w:rPr>
                <w:rFonts w:ascii="Arial" w:hAnsi="Arial"/>
                <w:color w:val="000000"/>
                <w:sz w:val="20"/>
              </w:rPr>
              <w:t>n/a</w:t>
            </w:r>
          </w:p>
        </w:tc>
        <w:tc>
          <w:tcPr>
            <w:tcW w:w="1777" w:type="dxa"/>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BC Instrument 72-503</w:t>
            </w:r>
          </w:p>
        </w:tc>
        <w:tc>
          <w:tcPr>
            <w:tcW w:w="1248" w:type="dxa"/>
          </w:tcPr>
          <w:p w:rsidR="00CE2C38" w:rsidRPr="00CE2C38" w:rsidRDefault="00CE2C38" w:rsidP="00CE2C38">
            <w:pPr>
              <w:pStyle w:val="List"/>
              <w:ind w:left="0" w:firstLine="0"/>
              <w:jc w:val="center"/>
              <w:rPr>
                <w:rFonts w:ascii="Arial" w:hAnsi="Arial"/>
                <w:color w:val="000000"/>
                <w:sz w:val="20"/>
              </w:rPr>
            </w:pPr>
            <w:r w:rsidRPr="00CE2C38">
              <w:rPr>
                <w:rFonts w:ascii="Arial" w:hAnsi="Arial"/>
                <w:color w:val="000000"/>
                <w:sz w:val="20"/>
              </w:rPr>
              <w:t>Nil</w:t>
            </w:r>
          </w:p>
        </w:tc>
        <w:tc>
          <w:tcPr>
            <w:tcW w:w="1516" w:type="dxa"/>
            <w:tcBorders>
              <w:righ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Arm's length</w:t>
            </w:r>
          </w:p>
        </w:tc>
      </w:tr>
      <w:tr w:rsidR="00CE2C38" w:rsidRPr="005F7AF8" w:rsidTr="00CE2C38">
        <w:tc>
          <w:tcPr>
            <w:tcW w:w="1593" w:type="dxa"/>
            <w:tcBorders>
              <w:left w:val="double" w:sz="4" w:space="0" w:color="auto"/>
              <w:bottom w:val="double" w:sz="4" w:space="0" w:color="auto"/>
            </w:tcBorders>
          </w:tcPr>
          <w:p w:rsidR="00CE2C38" w:rsidRPr="005F7AF8" w:rsidRDefault="00CE2C38" w:rsidP="00CE2C38">
            <w:pPr>
              <w:pStyle w:val="List"/>
              <w:ind w:left="0" w:firstLine="0"/>
              <w:rPr>
                <w:rFonts w:ascii="Arial" w:hAnsi="Arial"/>
                <w:color w:val="000000"/>
                <w:sz w:val="20"/>
              </w:rPr>
            </w:pPr>
            <w:r w:rsidRPr="005F7AF8">
              <w:rPr>
                <w:rFonts w:ascii="Arial" w:hAnsi="Arial"/>
                <w:color w:val="000000"/>
                <w:sz w:val="20"/>
              </w:rPr>
              <w:t>Mary Melissa McDill</w:t>
            </w:r>
          </w:p>
        </w:tc>
        <w:tc>
          <w:tcPr>
            <w:tcW w:w="1173" w:type="dxa"/>
            <w:tcBorders>
              <w:bottom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81,000</w:t>
            </w:r>
          </w:p>
        </w:tc>
        <w:tc>
          <w:tcPr>
            <w:tcW w:w="1006" w:type="dxa"/>
            <w:tcBorders>
              <w:bottom w:val="double" w:sz="4" w:space="0" w:color="auto"/>
            </w:tcBorders>
          </w:tcPr>
          <w:p w:rsidR="00CE2C38" w:rsidRPr="00CE2C38" w:rsidRDefault="00CE2C38" w:rsidP="00CE2C38">
            <w:pPr>
              <w:jc w:val="center"/>
              <w:rPr>
                <w:rFonts w:ascii="Arial" w:hAnsi="Arial" w:cs="Arial"/>
                <w:color w:val="000000"/>
                <w:szCs w:val="22"/>
              </w:rPr>
            </w:pPr>
          </w:p>
          <w:p w:rsidR="00CE2C38" w:rsidRPr="00CE2C38" w:rsidRDefault="00CE2C38" w:rsidP="00CE2C38">
            <w:pPr>
              <w:jc w:val="center"/>
              <w:rPr>
                <w:rFonts w:ascii="Arial" w:hAnsi="Arial" w:cs="Arial"/>
                <w:color w:val="000000"/>
                <w:szCs w:val="22"/>
              </w:rPr>
            </w:pPr>
            <w:r w:rsidRPr="00CE2C38">
              <w:rPr>
                <w:rFonts w:ascii="Arial" w:hAnsi="Arial" w:cs="Arial"/>
                <w:color w:val="000000"/>
                <w:szCs w:val="22"/>
              </w:rPr>
              <w:t>92,340.00</w:t>
            </w:r>
          </w:p>
        </w:tc>
        <w:tc>
          <w:tcPr>
            <w:tcW w:w="1317" w:type="dxa"/>
            <w:tcBorders>
              <w:bottom w:val="double" w:sz="4" w:space="0" w:color="auto"/>
            </w:tcBorders>
          </w:tcPr>
          <w:p w:rsidR="00CE2C38" w:rsidRPr="005F7AF8" w:rsidRDefault="00CE2C38" w:rsidP="00CE2C38">
            <w:pPr>
              <w:pStyle w:val="List"/>
              <w:ind w:left="0" w:firstLine="0"/>
              <w:jc w:val="center"/>
              <w:rPr>
                <w:rFonts w:ascii="Arial" w:hAnsi="Arial"/>
                <w:color w:val="000000"/>
                <w:sz w:val="20"/>
              </w:rPr>
            </w:pPr>
            <w:r w:rsidRPr="005F7AF8">
              <w:rPr>
                <w:rFonts w:ascii="Arial" w:hAnsi="Arial"/>
                <w:color w:val="000000"/>
                <w:sz w:val="20"/>
              </w:rPr>
              <w:t>n/a</w:t>
            </w:r>
          </w:p>
        </w:tc>
        <w:tc>
          <w:tcPr>
            <w:tcW w:w="1777" w:type="dxa"/>
            <w:tcBorders>
              <w:bottom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BC Instrument 72-503</w:t>
            </w:r>
          </w:p>
        </w:tc>
        <w:tc>
          <w:tcPr>
            <w:tcW w:w="1248" w:type="dxa"/>
            <w:tcBorders>
              <w:bottom w:val="double" w:sz="4" w:space="0" w:color="auto"/>
            </w:tcBorders>
          </w:tcPr>
          <w:p w:rsidR="00CE2C38" w:rsidRPr="00CE2C38" w:rsidRDefault="00CE2C38" w:rsidP="00CE2C38">
            <w:pPr>
              <w:pStyle w:val="List"/>
              <w:ind w:left="0" w:firstLine="0"/>
              <w:jc w:val="center"/>
              <w:rPr>
                <w:rFonts w:ascii="Arial" w:hAnsi="Arial"/>
                <w:color w:val="000000"/>
                <w:sz w:val="20"/>
              </w:rPr>
            </w:pPr>
            <w:r w:rsidRPr="00CE2C38">
              <w:rPr>
                <w:rFonts w:ascii="Arial" w:hAnsi="Arial"/>
                <w:color w:val="000000"/>
                <w:sz w:val="20"/>
              </w:rPr>
              <w:t>Nil</w:t>
            </w:r>
          </w:p>
        </w:tc>
        <w:tc>
          <w:tcPr>
            <w:tcW w:w="1516" w:type="dxa"/>
            <w:tcBorders>
              <w:bottom w:val="double" w:sz="4" w:space="0" w:color="auto"/>
              <w:right w:val="double" w:sz="4" w:space="0" w:color="auto"/>
            </w:tcBorders>
          </w:tcPr>
          <w:p w:rsidR="00CE2C38" w:rsidRPr="005F7AF8" w:rsidRDefault="00CE2C38" w:rsidP="00CE2C38">
            <w:pPr>
              <w:pStyle w:val="List"/>
              <w:ind w:left="0" w:firstLine="0"/>
              <w:jc w:val="both"/>
              <w:rPr>
                <w:rFonts w:ascii="Arial" w:hAnsi="Arial"/>
                <w:color w:val="000000"/>
                <w:sz w:val="20"/>
              </w:rPr>
            </w:pPr>
            <w:r w:rsidRPr="005F7AF8">
              <w:rPr>
                <w:rFonts w:ascii="Arial" w:hAnsi="Arial"/>
                <w:color w:val="000000"/>
                <w:sz w:val="20"/>
              </w:rPr>
              <w:t>Arm's length</w:t>
            </w:r>
          </w:p>
        </w:tc>
      </w:tr>
    </w:tbl>
    <w:p w:rsidR="005F7AF8" w:rsidRDefault="005F7AF8" w:rsidP="005F7AF8">
      <w:pPr>
        <w:pStyle w:val="List"/>
        <w:ind w:left="0" w:firstLine="0"/>
        <w:jc w:val="both"/>
        <w:rPr>
          <w:rFonts w:ascii="Arial" w:hAnsi="Arial"/>
          <w:color w:val="000000"/>
        </w:rPr>
      </w:pPr>
    </w:p>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F7AF8" w:rsidRPr="005F7AF8">
        <w:rPr>
          <w:rFonts w:ascii="Arial" w:hAnsi="Arial"/>
          <w:color w:val="000000"/>
          <w:u w:val="single"/>
        </w:rPr>
        <w:t xml:space="preserve">Legal </w:t>
      </w:r>
      <w:r w:rsidR="005F7AF8">
        <w:rPr>
          <w:rFonts w:ascii="Arial" w:hAnsi="Arial"/>
          <w:color w:val="000000"/>
          <w:u w:val="single"/>
        </w:rPr>
        <w:t xml:space="preserve">and management </w:t>
      </w:r>
      <w:r w:rsidR="005F7AF8" w:rsidRPr="005F7AF8">
        <w:rPr>
          <w:rFonts w:ascii="Arial" w:hAnsi="Arial"/>
          <w:color w:val="000000"/>
          <w:u w:val="single"/>
        </w:rPr>
        <w:t>due diligence and representations and warranties provided by the vendors in the SPA.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5F7AF8">
        <w:rPr>
          <w:rFonts w:ascii="Arial" w:hAnsi="Arial"/>
        </w:rPr>
        <w:t xml:space="preserve"> n/a</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CE2C38">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5F7AF8" w:rsidRPr="005F7AF8">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5F7AF8" w:rsidRPr="005F7AF8">
        <w:rPr>
          <w:rFonts w:ascii="Arial" w:hAnsi="Arial"/>
          <w:color w:val="000000"/>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lastRenderedPageBreak/>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E2C38" w:rsidRPr="00CE2C38">
        <w:rPr>
          <w:rFonts w:ascii="Arial" w:hAnsi="Arial"/>
          <w:u w:val="single"/>
        </w:rPr>
        <w:t>August 14, 2019</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CE2C38" w:rsidRPr="00CE2C38">
        <w:rPr>
          <w:rFonts w:ascii="Arial" w:hAnsi="Arial"/>
          <w:u w:val="single"/>
        </w:rPr>
        <w:t>Arni Johannson</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461C68">
        <w:rPr>
          <w:rFonts w:ascii="Arial" w:hAnsi="Arial" w:cs="Arial"/>
          <w:u w:val="single"/>
        </w:rPr>
        <w:t>“Arni Johanson”</w:t>
      </w:r>
      <w:bookmarkStart w:id="4" w:name="_GoBack"/>
      <w:bookmarkEnd w:id="4"/>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CE2C38" w:rsidRPr="00CE2C38">
        <w:rPr>
          <w:rFonts w:ascii="Arial" w:hAnsi="Arial"/>
        </w:rPr>
        <w:t>President and Chairman of the</w:t>
      </w:r>
      <w:r w:rsidR="00CE2C38" w:rsidRPr="00CE2C38">
        <w:rPr>
          <w:rFonts w:ascii="Arial" w:hAnsi="Arial"/>
          <w:u w:val="single"/>
        </w:rPr>
        <w:t xml:space="preserve"> Board of Directors</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5F7AF8" w:rsidRDefault="005F7AF8">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F8" w:rsidRDefault="005F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Pr="005F7AF8" w:rsidRDefault="008F13D6" w:rsidP="005F7AF8">
    <w:pPr>
      <w:tabs>
        <w:tab w:val="center" w:pos="4674"/>
        <w:tab w:val="left" w:pos="8460"/>
      </w:tabs>
      <w:rPr>
        <w:rStyle w:val="PageNumber"/>
        <w:rFonts w:ascii="Arial" w:hAnsi="Arial" w:cs="Arial"/>
        <w:b/>
      </w:rPr>
    </w:pPr>
    <w:r w:rsidRPr="008F13D6">
      <w:rPr>
        <w:rFonts w:ascii="Arial" w:hAnsi="Arial" w:cs="Arial"/>
        <w:b/>
        <w:noProof/>
        <w:sz w:val="16"/>
      </w:rPr>
      <w:t>{00293981.2}</w:t>
    </w:r>
    <w:r w:rsidR="005F7AF8">
      <w:rPr>
        <w:rFonts w:ascii="Arial" w:hAnsi="Arial" w:cs="Arial"/>
        <w:b/>
      </w:rPr>
      <w:tab/>
    </w:r>
    <w:r w:rsidR="00461C68">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34C9"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sidRPr="005F7AF8">
      <w:rPr>
        <w:rFonts w:ascii="Arial" w:hAnsi="Arial" w:cs="Arial"/>
        <w:b/>
      </w:rPr>
      <w:t xml:space="preserve">FORM 9 – NOTICE OF </w:t>
    </w:r>
    <w:r w:rsidR="00C536D3" w:rsidRPr="005F7AF8">
      <w:rPr>
        <w:rFonts w:ascii="Arial" w:hAnsi="Arial" w:cs="Arial"/>
        <w:b/>
      </w:rPr>
      <w:t xml:space="preserve">ISSUANCE OR </w:t>
    </w:r>
    <w:r w:rsidR="00EA4133" w:rsidRPr="005F7AF8">
      <w:rPr>
        <w:rFonts w:ascii="Arial" w:hAnsi="Arial" w:cs="Arial"/>
        <w:b/>
      </w:rPr>
      <w:t>PROPOSED ISSUANCE OF</w:t>
    </w:r>
  </w:p>
  <w:p w:rsidR="00EA4133" w:rsidRPr="005F7AF8" w:rsidRDefault="000B64EF" w:rsidP="008003B9">
    <w:pPr>
      <w:tabs>
        <w:tab w:val="center" w:pos="4674"/>
        <w:tab w:val="left" w:pos="8460"/>
      </w:tabs>
      <w:jc w:val="center"/>
      <w:rPr>
        <w:rStyle w:val="PageNumber"/>
        <w:rFonts w:ascii="Arial" w:hAnsi="Arial" w:cs="Arial"/>
        <w:b/>
      </w:rPr>
    </w:pPr>
    <w:r w:rsidRPr="005F7AF8">
      <w:rPr>
        <w:rFonts w:ascii="Arial" w:hAnsi="Arial" w:cs="Arial"/>
        <w:b/>
      </w:rPr>
      <w:t>LIST</w:t>
    </w:r>
    <w:r w:rsidR="00EA4133" w:rsidRPr="005F7AF8">
      <w:rPr>
        <w:rFonts w:ascii="Arial" w:hAnsi="Arial" w:cs="Arial"/>
        <w:b/>
      </w:rPr>
      <w:t>ED SECURITIES</w:t>
    </w:r>
  </w:p>
  <w:p w:rsidR="00EA4133" w:rsidRPr="005F7AF8"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5F7AF8">
      <w:rPr>
        <w:rStyle w:val="PageNumber"/>
        <w:rFonts w:ascii="Arial" w:hAnsi="Arial" w:cs="Arial"/>
        <w:sz w:val="16"/>
        <w:szCs w:val="16"/>
      </w:rPr>
      <w:t>September 2018</w:t>
    </w:r>
  </w:p>
  <w:p w:rsidR="00EA4133" w:rsidRPr="005F7AF8" w:rsidRDefault="008003B9" w:rsidP="008003B9">
    <w:pPr>
      <w:pStyle w:val="Footer"/>
      <w:jc w:val="center"/>
      <w:rPr>
        <w:rFonts w:ascii="Arial" w:hAnsi="Arial" w:cs="Arial"/>
        <w:sz w:val="16"/>
        <w:szCs w:val="16"/>
      </w:rPr>
    </w:pPr>
    <w:r w:rsidRPr="005F7AF8">
      <w:rPr>
        <w:rStyle w:val="PageNumber"/>
        <w:rFonts w:ascii="Arial" w:hAnsi="Arial" w:cs="Arial"/>
        <w:sz w:val="16"/>
        <w:szCs w:val="16"/>
      </w:rPr>
      <w:t xml:space="preserve">Page </w:t>
    </w:r>
    <w:r w:rsidR="000C7CEC" w:rsidRPr="005F7AF8">
      <w:rPr>
        <w:rStyle w:val="PageNumber"/>
        <w:rFonts w:ascii="Arial" w:hAnsi="Arial" w:cs="Arial"/>
        <w:sz w:val="16"/>
        <w:szCs w:val="16"/>
      </w:rPr>
      <w:fldChar w:fldCharType="begin"/>
    </w:r>
    <w:r w:rsidRPr="005F7AF8">
      <w:rPr>
        <w:rStyle w:val="PageNumber"/>
        <w:rFonts w:ascii="Arial" w:hAnsi="Arial" w:cs="Arial"/>
        <w:sz w:val="16"/>
        <w:szCs w:val="16"/>
      </w:rPr>
      <w:instrText xml:space="preserve"> PAGE </w:instrText>
    </w:r>
    <w:r w:rsidR="000C7CEC" w:rsidRPr="005F7AF8">
      <w:rPr>
        <w:rStyle w:val="PageNumber"/>
        <w:rFonts w:ascii="Arial" w:hAnsi="Arial" w:cs="Arial"/>
        <w:sz w:val="16"/>
        <w:szCs w:val="16"/>
      </w:rPr>
      <w:fldChar w:fldCharType="separate"/>
    </w:r>
    <w:r w:rsidR="008F13D6">
      <w:rPr>
        <w:rStyle w:val="PageNumber"/>
        <w:rFonts w:ascii="Arial" w:hAnsi="Arial" w:cs="Arial"/>
        <w:noProof/>
        <w:sz w:val="16"/>
        <w:szCs w:val="16"/>
      </w:rPr>
      <w:t>1</w:t>
    </w:r>
    <w:r w:rsidR="000C7CEC" w:rsidRPr="005F7AF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461C68">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EB6" w:rsidRDefault="00305EB6">
      <w:pPr>
        <w:rPr>
          <w:noProof/>
        </w:rPr>
      </w:pPr>
      <w:r>
        <w:rPr>
          <w:noProof/>
        </w:rPr>
        <w:separator/>
      </w:r>
    </w:p>
  </w:footnote>
  <w:footnote w:type="continuationSeparator" w:id="0">
    <w:p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F8" w:rsidRDefault="005F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F8" w:rsidRDefault="005F7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F8" w:rsidRDefault="005F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73F0B"/>
    <w:rsid w:val="00186DA5"/>
    <w:rsid w:val="002557FD"/>
    <w:rsid w:val="002560F1"/>
    <w:rsid w:val="00286BB9"/>
    <w:rsid w:val="002F0416"/>
    <w:rsid w:val="00305EB6"/>
    <w:rsid w:val="00326D55"/>
    <w:rsid w:val="003431FD"/>
    <w:rsid w:val="0035331C"/>
    <w:rsid w:val="003C6D7E"/>
    <w:rsid w:val="00456624"/>
    <w:rsid w:val="00461C68"/>
    <w:rsid w:val="004A1403"/>
    <w:rsid w:val="004A1D2B"/>
    <w:rsid w:val="004B214D"/>
    <w:rsid w:val="00544BCF"/>
    <w:rsid w:val="005F7AF8"/>
    <w:rsid w:val="00613E01"/>
    <w:rsid w:val="00617A0E"/>
    <w:rsid w:val="0062717F"/>
    <w:rsid w:val="007568B3"/>
    <w:rsid w:val="00775373"/>
    <w:rsid w:val="007B0425"/>
    <w:rsid w:val="007C4F86"/>
    <w:rsid w:val="008003B9"/>
    <w:rsid w:val="00840B45"/>
    <w:rsid w:val="008F13D6"/>
    <w:rsid w:val="008F27FF"/>
    <w:rsid w:val="009136E7"/>
    <w:rsid w:val="009466F0"/>
    <w:rsid w:val="0097763E"/>
    <w:rsid w:val="009C1EC2"/>
    <w:rsid w:val="00A00C54"/>
    <w:rsid w:val="00A10285"/>
    <w:rsid w:val="00A90670"/>
    <w:rsid w:val="00A93530"/>
    <w:rsid w:val="00A9392C"/>
    <w:rsid w:val="00B923F6"/>
    <w:rsid w:val="00BE2894"/>
    <w:rsid w:val="00C10A32"/>
    <w:rsid w:val="00C500F0"/>
    <w:rsid w:val="00C536D3"/>
    <w:rsid w:val="00CB4AA1"/>
    <w:rsid w:val="00CC2519"/>
    <w:rsid w:val="00CE2C38"/>
    <w:rsid w:val="00CF076A"/>
    <w:rsid w:val="00CF2A90"/>
    <w:rsid w:val="00CF5580"/>
    <w:rsid w:val="00CF72A4"/>
    <w:rsid w:val="00DA6830"/>
    <w:rsid w:val="00DB640C"/>
    <w:rsid w:val="00E55E58"/>
    <w:rsid w:val="00E65296"/>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329FEBC1"/>
  <w15:docId w15:val="{95DF0AF9-945B-490A-BF8B-C87202EE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12306</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00293981.2/Font=8</dc:subject>
  <dc:creator>lstdjoh</dc:creator>
  <cp:lastModifiedBy>Emily</cp:lastModifiedBy>
  <cp:revision>2</cp:revision>
  <cp:lastPrinted>2004-05-20T20:47:00Z</cp:lastPrinted>
  <dcterms:created xsi:type="dcterms:W3CDTF">2019-08-15T17:10:00Z</dcterms:created>
  <dcterms:modified xsi:type="dcterms:W3CDTF">2019-08-15T17:10:00Z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