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13BD" w14:textId="77777777" w:rsidR="00A079F1" w:rsidRDefault="00B73233">
      <w:pPr>
        <w:pStyle w:val="Title"/>
        <w:spacing w:before="0"/>
        <w:rPr>
          <w:sz w:val="28"/>
          <w:lang w:val="en-CA"/>
        </w:rPr>
      </w:pPr>
      <w:r>
        <w:rPr>
          <w:sz w:val="28"/>
          <w:lang w:val="en-CA"/>
        </w:rPr>
        <w:t>FORM 9</w:t>
      </w:r>
    </w:p>
    <w:p w14:paraId="7FD013BE" w14:textId="77777777" w:rsidR="00A079F1" w:rsidRDefault="00B73233">
      <w:pPr>
        <w:pStyle w:val="Title"/>
        <w:spacing w:before="0" w:after="0"/>
        <w:rPr>
          <w:sz w:val="28"/>
          <w:u w:val="single"/>
          <w:lang w:val="en-CA"/>
        </w:rPr>
      </w:pPr>
      <w:r>
        <w:rPr>
          <w:sz w:val="28"/>
          <w:u w:val="single"/>
          <w:lang w:val="en-CA"/>
        </w:rPr>
        <w:t xml:space="preserve">NOTICE OF ISSUANCE OR PROPOSED ISSUANCE OF LISTED SECURITIES </w:t>
      </w:r>
    </w:p>
    <w:p w14:paraId="7FD013BF" w14:textId="77777777" w:rsidR="00A079F1" w:rsidRDefault="00B73233">
      <w:pPr>
        <w:pStyle w:val="Title"/>
        <w:spacing w:before="0" w:after="0"/>
        <w:rPr>
          <w:sz w:val="28"/>
          <w:u w:val="single"/>
          <w:lang w:val="en-CA"/>
        </w:rPr>
      </w:pPr>
      <w:r>
        <w:rPr>
          <w:sz w:val="28"/>
          <w:u w:val="single"/>
          <w:lang w:val="en-CA"/>
        </w:rPr>
        <w:t>(</w:t>
      </w:r>
      <w:proofErr w:type="gramStart"/>
      <w:r>
        <w:rPr>
          <w:sz w:val="28"/>
          <w:u w:val="single"/>
          <w:lang w:val="en-CA"/>
        </w:rPr>
        <w:t>or</w:t>
      </w:r>
      <w:proofErr w:type="gramEnd"/>
      <w:r>
        <w:rPr>
          <w:sz w:val="28"/>
          <w:u w:val="single"/>
          <w:lang w:val="en-CA"/>
        </w:rPr>
        <w:t xml:space="preserve"> securities convertible or exchangeable into listed securities</w:t>
      </w:r>
      <w:r>
        <w:rPr>
          <w:rStyle w:val="FootnoteReference"/>
        </w:rPr>
        <w:footnoteRef/>
      </w:r>
      <w:r>
        <w:rPr>
          <w:sz w:val="28"/>
          <w:u w:val="single"/>
          <w:lang w:val="en-CA"/>
        </w:rPr>
        <w:t>)</w:t>
      </w:r>
    </w:p>
    <w:p w14:paraId="7FD013C0" w14:textId="77777777" w:rsidR="00A079F1" w:rsidRDefault="00B73233">
      <w:pPr>
        <w:pStyle w:val="BodyText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Name of Listed Issuer: </w:t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  <w:t>Symbol(s):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7"/>
        <w:gridCol w:w="3023"/>
      </w:tblGrid>
      <w:tr w:rsidR="00A079F1" w14:paraId="7FD013C3" w14:textId="77777777">
        <w:tc>
          <w:tcPr>
            <w:tcW w:w="6487" w:type="dxa"/>
          </w:tcPr>
          <w:p w14:paraId="7FD013C1" w14:textId="77777777" w:rsidR="00A079F1" w:rsidRDefault="00B73233">
            <w:pPr>
              <w:pStyle w:val="BodyText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Verano Holdings Corp. (the “</w:t>
            </w:r>
            <w:r>
              <w:rPr>
                <w:rFonts w:ascii="Arial" w:hAnsi="Arial"/>
                <w:b/>
                <w:lang w:val="en-CA"/>
              </w:rPr>
              <w:t>Issuer</w:t>
            </w:r>
            <w:r>
              <w:rPr>
                <w:rFonts w:ascii="Arial" w:hAnsi="Arial"/>
                <w:lang w:val="en-CA"/>
              </w:rPr>
              <w:t xml:space="preserve">”).  </w:t>
            </w:r>
          </w:p>
        </w:tc>
        <w:tc>
          <w:tcPr>
            <w:tcW w:w="3089" w:type="dxa"/>
          </w:tcPr>
          <w:p w14:paraId="7FD013C2" w14:textId="77777777" w:rsidR="00A079F1" w:rsidRDefault="00B73233">
            <w:pPr>
              <w:pStyle w:val="BodyText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VRNO</w:t>
            </w:r>
          </w:p>
        </w:tc>
      </w:tr>
    </w:tbl>
    <w:p w14:paraId="7FD013C4" w14:textId="77777777" w:rsidR="00A079F1" w:rsidRDefault="00B73233">
      <w:pPr>
        <w:pStyle w:val="BodyText"/>
        <w:spacing w:after="240"/>
        <w:rPr>
          <w:rFonts w:ascii="Arial" w:hAnsi="Arial"/>
          <w:sz w:val="32"/>
          <w:lang w:val="en-CA"/>
        </w:rPr>
      </w:pPr>
      <w:r>
        <w:rPr>
          <w:rFonts w:ascii="Arial" w:hAnsi="Arial"/>
          <w:lang w:val="en-CA"/>
        </w:rPr>
        <w:t xml:space="preserve">Date: November 15, </w:t>
      </w:r>
      <w:proofErr w:type="gramStart"/>
      <w:r>
        <w:rPr>
          <w:rFonts w:ascii="Arial" w:hAnsi="Arial"/>
          <w:lang w:val="en-CA"/>
        </w:rPr>
        <w:t>2022</w:t>
      </w:r>
      <w:proofErr w:type="gramEnd"/>
      <w:r>
        <w:rPr>
          <w:rFonts w:ascii="Arial" w:hAnsi="Arial"/>
          <w:lang w:val="en-CA"/>
        </w:rPr>
        <w:t xml:space="preserve"> Is this an updating or amending Notice: </w:t>
      </w:r>
      <w:r>
        <w:rPr>
          <w:rFonts w:ascii="Arial" w:hAnsi="Arial"/>
          <w:b/>
          <w:bCs/>
          <w:lang w:val="en-CA"/>
        </w:rPr>
        <w:sym w:font="Monotype Sorts" w:char="F07F"/>
      </w:r>
      <w:r>
        <w:rPr>
          <w:rFonts w:ascii="Arial" w:hAnsi="Arial"/>
          <w:i/>
          <w:iCs/>
          <w:lang w:val="en-CA"/>
        </w:rPr>
        <w:t xml:space="preserve"> Yes</w:t>
      </w:r>
      <w:r>
        <w:rPr>
          <w:rFonts w:ascii="Arial" w:hAnsi="Arial"/>
          <w:lang w:val="en-CA"/>
        </w:rPr>
        <w:t xml:space="preserve">    </w:t>
      </w:r>
      <w:r>
        <w:rPr>
          <w:rFonts w:ascii="Arial" w:hAnsi="Arial"/>
          <w:b/>
          <w:bCs/>
          <w:lang w:val="en-CA"/>
        </w:rPr>
        <w:t xml:space="preserve">X </w:t>
      </w:r>
      <w:r>
        <w:rPr>
          <w:rFonts w:ascii="Arial" w:hAnsi="Arial"/>
          <w:lang w:val="en-CA"/>
        </w:rPr>
        <w:t>No</w:t>
      </w:r>
      <w:r>
        <w:rPr>
          <w:rFonts w:ascii="Arial" w:hAnsi="Arial"/>
          <w:sz w:val="32"/>
          <w:lang w:val="en-CA"/>
        </w:rPr>
        <w:tab/>
      </w:r>
    </w:p>
    <w:p w14:paraId="7FD013C5" w14:textId="77777777" w:rsidR="00A079F1" w:rsidRDefault="00B73233">
      <w:pPr>
        <w:pStyle w:val="BodyText"/>
        <w:tabs>
          <w:tab w:val="left" w:pos="9180"/>
        </w:tabs>
        <w:spacing w:before="0" w:after="120"/>
        <w:rPr>
          <w:rFonts w:ascii="Arial" w:hAnsi="Arial"/>
          <w:i/>
          <w:iCs/>
          <w:lang w:val="en-CA"/>
        </w:rPr>
      </w:pPr>
      <w:r>
        <w:rPr>
          <w:rFonts w:ascii="Arial" w:hAnsi="Arial"/>
          <w:lang w:val="en-CA"/>
        </w:rPr>
        <w:t xml:space="preserve">If yes provide date(s) of prior Notices:  </w:t>
      </w:r>
      <w:r>
        <w:rPr>
          <w:rFonts w:ascii="Arial" w:hAnsi="Arial"/>
          <w:i/>
          <w:iCs/>
          <w:lang w:val="en-CA"/>
        </w:rPr>
        <w:t>N/A.</w:t>
      </w:r>
    </w:p>
    <w:p w14:paraId="7FD013C6" w14:textId="77777777" w:rsidR="00A079F1" w:rsidRDefault="00B73233">
      <w:pPr>
        <w:pStyle w:val="BodyText"/>
        <w:tabs>
          <w:tab w:val="left" w:pos="9180"/>
        </w:tabs>
        <w:spacing w:before="0" w:after="1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Issued and Outstanding Securities of Issuer Prior to Issuance: </w:t>
      </w:r>
      <w:r>
        <w:rPr>
          <w:rFonts w:ascii="Arial" w:hAnsi="Arial"/>
          <w:lang w:val="en-US"/>
        </w:rPr>
        <w:t>133,823.0813</w:t>
      </w:r>
      <w:r>
        <w:rPr>
          <w:rFonts w:ascii="Arial" w:hAnsi="Arial"/>
          <w:i/>
          <w:iCs/>
          <w:lang w:val="en-US"/>
        </w:rPr>
        <w:t xml:space="preserve"> class A subordinate voting shares in the capital of the Issuer (the "</w:t>
      </w:r>
      <w:r>
        <w:rPr>
          <w:rFonts w:ascii="Arial" w:hAnsi="Arial"/>
          <w:b/>
          <w:i/>
          <w:iCs/>
          <w:lang w:val="en-US"/>
        </w:rPr>
        <w:t>Subordinate Voting Shares</w:t>
      </w:r>
      <w:r>
        <w:rPr>
          <w:rFonts w:ascii="Arial" w:hAnsi="Arial"/>
          <w:i/>
          <w:iCs/>
          <w:lang w:val="en-US"/>
        </w:rPr>
        <w:t>") and 324,304,794.2738</w:t>
      </w:r>
      <w:r>
        <w:rPr>
          <w:rFonts w:ascii="Arial" w:hAnsi="Arial"/>
          <w:i/>
          <w:iCs/>
          <w:lang w:val="en-US"/>
        </w:rPr>
        <w:t xml:space="preserve"> class B proportionate voting shares in the capital of the Issuer (the "</w:t>
      </w:r>
      <w:r>
        <w:rPr>
          <w:rFonts w:ascii="Arial" w:hAnsi="Arial"/>
          <w:b/>
          <w:i/>
          <w:iCs/>
          <w:lang w:val="en-US"/>
        </w:rPr>
        <w:t>Proportionate Voting Shares</w:t>
      </w:r>
      <w:r>
        <w:rPr>
          <w:rFonts w:ascii="Arial" w:hAnsi="Arial"/>
          <w:i/>
          <w:iCs/>
          <w:lang w:val="en-US"/>
        </w:rPr>
        <w:t>").</w:t>
      </w:r>
    </w:p>
    <w:p w14:paraId="7FD013C7" w14:textId="77777777" w:rsidR="00A079F1" w:rsidRDefault="00B73233">
      <w:pPr>
        <w:pStyle w:val="BodyText"/>
        <w:tabs>
          <w:tab w:val="left" w:pos="9180"/>
        </w:tabs>
        <w:spacing w:before="0" w:after="120"/>
        <w:rPr>
          <w:rFonts w:ascii="Arial" w:hAnsi="Arial"/>
          <w:b/>
          <w:lang w:val="en-CA"/>
        </w:rPr>
      </w:pPr>
      <w:r>
        <w:rPr>
          <w:rFonts w:ascii="Arial" w:hAnsi="Arial"/>
          <w:b/>
          <w:lang w:val="en-CA"/>
        </w:rPr>
        <w:t>Pricing</w:t>
      </w:r>
    </w:p>
    <w:p w14:paraId="7FD013C8" w14:textId="77777777" w:rsidR="00A079F1" w:rsidRDefault="00B73233">
      <w:pPr>
        <w:pStyle w:val="BodyText"/>
        <w:tabs>
          <w:tab w:val="left" w:pos="9180"/>
        </w:tabs>
        <w:spacing w:before="0" w:after="120"/>
        <w:rPr>
          <w:rFonts w:ascii="Arial" w:hAnsi="Arial"/>
          <w:i/>
          <w:iCs/>
          <w:lang w:val="en-CA"/>
        </w:rPr>
      </w:pPr>
      <w:r>
        <w:rPr>
          <w:rFonts w:ascii="Arial" w:hAnsi="Arial"/>
          <w:lang w:val="en-CA"/>
        </w:rPr>
        <w:t xml:space="preserve">Date of news release announcing proposed issuance:  </w:t>
      </w:r>
      <w:r>
        <w:rPr>
          <w:rFonts w:ascii="Arial" w:hAnsi="Arial"/>
          <w:i/>
          <w:iCs/>
          <w:lang w:val="en-CA"/>
        </w:rPr>
        <w:t>N/A</w:t>
      </w:r>
    </w:p>
    <w:p w14:paraId="7FD013C9" w14:textId="77777777" w:rsidR="00A079F1" w:rsidRDefault="00B73233">
      <w:pPr>
        <w:pStyle w:val="BodyText"/>
        <w:tabs>
          <w:tab w:val="left" w:pos="9180"/>
        </w:tabs>
        <w:spacing w:before="0" w:after="1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Or</w:t>
      </w:r>
    </w:p>
    <w:p w14:paraId="7FD013CA" w14:textId="77777777" w:rsidR="00A079F1" w:rsidRDefault="00B73233">
      <w:pPr>
        <w:pStyle w:val="BodyText"/>
        <w:tabs>
          <w:tab w:val="left" w:pos="9180"/>
        </w:tabs>
        <w:spacing w:before="0" w:after="1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Date of confidential request for price protection:  </w:t>
      </w:r>
      <w:r>
        <w:rPr>
          <w:rFonts w:ascii="Arial" w:hAnsi="Arial"/>
          <w:i/>
          <w:iCs/>
          <w:lang w:val="en-CA"/>
        </w:rPr>
        <w:t>N/A</w:t>
      </w:r>
    </w:p>
    <w:p w14:paraId="7FD013CB" w14:textId="77777777" w:rsidR="00A079F1" w:rsidRDefault="00B73233">
      <w:pPr>
        <w:pStyle w:val="BodyText"/>
        <w:tabs>
          <w:tab w:val="left" w:pos="9180"/>
        </w:tabs>
        <w:spacing w:before="0" w:after="120"/>
        <w:rPr>
          <w:rFonts w:ascii="Arial" w:hAnsi="Arial"/>
          <w:i/>
          <w:iCs/>
          <w:lang w:val="en-CA"/>
        </w:rPr>
      </w:pPr>
      <w:r>
        <w:rPr>
          <w:rFonts w:ascii="Arial" w:hAnsi="Arial"/>
          <w:lang w:val="en-CA"/>
        </w:rPr>
        <w:t>Closing Market Price on Day Pr</w:t>
      </w:r>
      <w:r>
        <w:rPr>
          <w:rFonts w:ascii="Arial" w:hAnsi="Arial"/>
          <w:lang w:val="en-CA"/>
        </w:rPr>
        <w:t xml:space="preserve">eceding the news release:  </w:t>
      </w:r>
      <w:r>
        <w:rPr>
          <w:rFonts w:ascii="Arial" w:hAnsi="Arial"/>
          <w:i/>
          <w:iCs/>
          <w:lang w:val="en-CA"/>
        </w:rPr>
        <w:t>N/A</w:t>
      </w:r>
    </w:p>
    <w:p w14:paraId="7FD013CC" w14:textId="77777777" w:rsidR="00A079F1" w:rsidRDefault="00B73233">
      <w:pPr>
        <w:pStyle w:val="BodyText"/>
        <w:tabs>
          <w:tab w:val="left" w:pos="9180"/>
        </w:tabs>
        <w:spacing w:before="0" w:after="1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Or</w:t>
      </w:r>
    </w:p>
    <w:p w14:paraId="7FD013CD" w14:textId="77777777" w:rsidR="00A079F1" w:rsidRDefault="00B73233">
      <w:pPr>
        <w:pStyle w:val="BodyText"/>
        <w:tabs>
          <w:tab w:val="left" w:pos="9180"/>
        </w:tabs>
        <w:spacing w:before="0" w:after="1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Day preceding request for price protection: </w:t>
      </w:r>
      <w:r>
        <w:rPr>
          <w:rFonts w:ascii="Arial" w:hAnsi="Arial"/>
          <w:i/>
          <w:iCs/>
          <w:lang w:val="en-CA"/>
        </w:rPr>
        <w:t>N/A</w:t>
      </w:r>
    </w:p>
    <w:p w14:paraId="7FD013CE" w14:textId="77777777" w:rsidR="00A079F1" w:rsidRDefault="00B73233">
      <w:pPr>
        <w:pStyle w:val="BodyText"/>
        <w:tabs>
          <w:tab w:val="left" w:pos="9180"/>
        </w:tabs>
        <w:spacing w:before="0" w:after="120"/>
        <w:rPr>
          <w:rFonts w:ascii="Arial" w:hAnsi="Arial"/>
          <w:b/>
          <w:lang w:val="en-CA"/>
        </w:rPr>
      </w:pPr>
      <w:r>
        <w:rPr>
          <w:rFonts w:ascii="Arial" w:hAnsi="Arial"/>
          <w:b/>
          <w:lang w:val="en-CA"/>
        </w:rPr>
        <w:t xml:space="preserve">Closing </w:t>
      </w:r>
    </w:p>
    <w:p w14:paraId="7FD013CF" w14:textId="77777777" w:rsidR="00A079F1" w:rsidRDefault="00B73233">
      <w:pPr>
        <w:pStyle w:val="BodyText"/>
        <w:tabs>
          <w:tab w:val="left" w:pos="9180"/>
        </w:tabs>
        <w:spacing w:before="0" w:after="120"/>
        <w:rPr>
          <w:rFonts w:ascii="Arial" w:hAnsi="Arial"/>
          <w:b/>
          <w:bCs/>
          <w:lang w:val="en-CA"/>
        </w:rPr>
      </w:pPr>
      <w:r>
        <w:rPr>
          <w:rFonts w:ascii="Arial" w:hAnsi="Arial"/>
          <w:lang w:val="en-CA"/>
        </w:rPr>
        <w:t>Number of securities to be issued: 630,164</w:t>
      </w:r>
      <w:r>
        <w:rPr>
          <w:rFonts w:ascii="Arial" w:hAnsi="Arial"/>
          <w:i/>
          <w:iCs/>
          <w:lang w:val="en-CA"/>
        </w:rPr>
        <w:t xml:space="preserve"> Subordinate Voting Shares </w:t>
      </w:r>
    </w:p>
    <w:p w14:paraId="7FD013D0" w14:textId="77777777" w:rsidR="00A079F1" w:rsidRDefault="00B73233">
      <w:pPr>
        <w:pStyle w:val="BodyText"/>
        <w:tabs>
          <w:tab w:val="left" w:pos="9180"/>
        </w:tabs>
        <w:spacing w:before="0" w:after="1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Issued and outstanding securities following issuance: </w:t>
      </w:r>
      <w:r>
        <w:rPr>
          <w:rFonts w:ascii="Arial" w:hAnsi="Arial"/>
          <w:lang w:val="en-US"/>
        </w:rPr>
        <w:t>324,934,958.2738</w:t>
      </w:r>
      <w:r>
        <w:rPr>
          <w:rFonts w:ascii="Arial" w:hAnsi="Arial"/>
          <w:i/>
          <w:iCs/>
          <w:lang w:val="en-CA"/>
        </w:rPr>
        <w:t xml:space="preserve"> Subordinate Voting Share</w:t>
      </w:r>
      <w:r>
        <w:rPr>
          <w:rFonts w:ascii="Arial" w:hAnsi="Arial"/>
          <w:i/>
          <w:iCs/>
          <w:lang w:val="en-CA"/>
        </w:rPr>
        <w:t xml:space="preserve">s </w:t>
      </w:r>
    </w:p>
    <w:p w14:paraId="7FD013D1" w14:textId="77777777" w:rsidR="00A079F1" w:rsidRDefault="00A079F1">
      <w:pPr>
        <w:pStyle w:val="BodyText"/>
        <w:tabs>
          <w:tab w:val="left" w:pos="9180"/>
        </w:tabs>
        <w:spacing w:before="0" w:after="120"/>
        <w:rPr>
          <w:rFonts w:ascii="Arial" w:hAnsi="Arial"/>
          <w:b/>
          <w:lang w:val="en-CA"/>
        </w:rPr>
      </w:pPr>
    </w:p>
    <w:p w14:paraId="7FD013D2" w14:textId="77777777" w:rsidR="00A079F1" w:rsidRDefault="00B73233">
      <w:pPr>
        <w:pStyle w:val="BodyText"/>
        <w:tabs>
          <w:tab w:val="left" w:pos="9180"/>
        </w:tabs>
        <w:spacing w:before="0" w:after="120"/>
        <w:rPr>
          <w:rFonts w:ascii="Arial" w:hAnsi="Arial"/>
          <w:b/>
          <w:lang w:val="en-CA"/>
        </w:rPr>
      </w:pPr>
      <w:r>
        <w:rPr>
          <w:rFonts w:ascii="Arial" w:hAnsi="Arial"/>
          <w:b/>
          <w:lang w:val="en-CA"/>
        </w:rPr>
        <w:t>Instructions:</w:t>
      </w:r>
    </w:p>
    <w:p w14:paraId="7FD013D3" w14:textId="77777777" w:rsidR="00A079F1" w:rsidRDefault="00B73233">
      <w:pPr>
        <w:pStyle w:val="BodyText"/>
        <w:numPr>
          <w:ilvl w:val="0"/>
          <w:numId w:val="18"/>
        </w:numPr>
        <w:tabs>
          <w:tab w:val="left" w:pos="9180"/>
        </w:tabs>
        <w:spacing w:before="0" w:after="120"/>
        <w:ind w:left="426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For private placements (including debt settlement), complete tables 1A and 1B in Part 1 of this form.</w:t>
      </w:r>
    </w:p>
    <w:p w14:paraId="7FD013D4" w14:textId="77777777" w:rsidR="00A079F1" w:rsidRDefault="00B73233">
      <w:pPr>
        <w:pStyle w:val="BodyText"/>
        <w:numPr>
          <w:ilvl w:val="0"/>
          <w:numId w:val="18"/>
        </w:numPr>
        <w:tabs>
          <w:tab w:val="left" w:pos="9180"/>
        </w:tabs>
        <w:spacing w:before="0" w:after="120"/>
        <w:ind w:left="426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Complete Table 1A – Summary for all purchasers, excluding those identified in Item 8.</w:t>
      </w:r>
    </w:p>
    <w:p w14:paraId="7FD013D5" w14:textId="77777777" w:rsidR="00A079F1" w:rsidRDefault="00B73233">
      <w:pPr>
        <w:pStyle w:val="BodyText"/>
        <w:numPr>
          <w:ilvl w:val="0"/>
          <w:numId w:val="18"/>
        </w:numPr>
        <w:tabs>
          <w:tab w:val="left" w:pos="9180"/>
        </w:tabs>
        <w:spacing w:before="0" w:after="120"/>
        <w:ind w:left="426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Complete Table 1B – Related Persons only for Relat</w:t>
      </w:r>
      <w:r>
        <w:rPr>
          <w:rFonts w:ascii="Arial" w:hAnsi="Arial"/>
          <w:lang w:val="en-CA"/>
        </w:rPr>
        <w:t>ed Persons</w:t>
      </w:r>
    </w:p>
    <w:p w14:paraId="7FD013D6" w14:textId="77777777" w:rsidR="00A079F1" w:rsidRDefault="00B73233">
      <w:pPr>
        <w:pStyle w:val="BodyText"/>
        <w:numPr>
          <w:ilvl w:val="0"/>
          <w:numId w:val="18"/>
        </w:numPr>
        <w:tabs>
          <w:tab w:val="left" w:pos="9180"/>
        </w:tabs>
        <w:spacing w:before="0" w:after="120"/>
        <w:ind w:left="426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If shares are being issued in connection with an acquisition (either as consideration or to raise funds for a cash acquisition) please proceed to Part 2 of this form.</w:t>
      </w:r>
    </w:p>
    <w:p w14:paraId="7FD013D7" w14:textId="77777777" w:rsidR="00A079F1" w:rsidRDefault="00B73233">
      <w:pPr>
        <w:pStyle w:val="BodyText"/>
        <w:numPr>
          <w:ilvl w:val="0"/>
          <w:numId w:val="18"/>
        </w:numPr>
        <w:tabs>
          <w:tab w:val="left" w:pos="9180"/>
        </w:tabs>
        <w:spacing w:before="0" w:after="120"/>
        <w:ind w:left="426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An issuance of non-convertible debt does not have to be reported unless it is </w:t>
      </w:r>
      <w:r>
        <w:rPr>
          <w:rFonts w:ascii="Arial" w:hAnsi="Arial"/>
          <w:lang w:val="en-CA"/>
        </w:rPr>
        <w:t>a significant transaction as defined in Policy 7, in which case it is to be reported on Form 10 – Notice of Proposed Transaction</w:t>
      </w:r>
    </w:p>
    <w:p w14:paraId="7FD013D8" w14:textId="77777777" w:rsidR="00A079F1" w:rsidRDefault="00B73233">
      <w:pPr>
        <w:pStyle w:val="BodyText"/>
        <w:numPr>
          <w:ilvl w:val="0"/>
          <w:numId w:val="18"/>
        </w:numPr>
        <w:tabs>
          <w:tab w:val="left" w:pos="9180"/>
        </w:tabs>
        <w:spacing w:before="0" w:after="120"/>
        <w:ind w:left="426"/>
        <w:rPr>
          <w:rFonts w:ascii="Arial" w:hAnsi="Arial"/>
          <w:b/>
          <w:lang w:val="en-CA"/>
        </w:rPr>
      </w:pPr>
      <w:r>
        <w:rPr>
          <w:rFonts w:ascii="Arial" w:hAnsi="Arial"/>
          <w:lang w:val="en-CA"/>
        </w:rPr>
        <w:lastRenderedPageBreak/>
        <w:t xml:space="preserve">Post the completed Form 9 to the CSE website in accordance with </w:t>
      </w:r>
      <w:r>
        <w:rPr>
          <w:rFonts w:ascii="Arial" w:hAnsi="Arial"/>
          <w:i/>
          <w:lang w:val="en-CA"/>
        </w:rPr>
        <w:t>Policy 6 – Distributions.</w:t>
      </w:r>
      <w:r>
        <w:rPr>
          <w:rFonts w:ascii="Arial" w:hAnsi="Arial"/>
          <w:lang w:val="en-CA"/>
        </w:rPr>
        <w:t xml:space="preserve">  In addition, the completed form must</w:t>
      </w:r>
      <w:r>
        <w:rPr>
          <w:rFonts w:ascii="Arial" w:hAnsi="Arial"/>
          <w:lang w:val="en-CA"/>
        </w:rPr>
        <w:t xml:space="preserve"> be delivered to </w:t>
      </w:r>
      <w:hyperlink r:id="rId8" w:history="1">
        <w:r>
          <w:rPr>
            <w:rStyle w:val="Hyperlink"/>
            <w:rFonts w:ascii="Arial" w:hAnsi="Arial"/>
            <w:lang w:val="en-CA"/>
          </w:rPr>
          <w:t>listings@thecse.com</w:t>
        </w:r>
      </w:hyperlink>
      <w:r>
        <w:rPr>
          <w:rFonts w:ascii="Arial" w:hAnsi="Arial"/>
          <w:lang w:val="en-CA"/>
        </w:rPr>
        <w:t xml:space="preserve"> with an appendix that includes the information in Table 1B for ALL </w:t>
      </w:r>
      <w:proofErr w:type="spellStart"/>
      <w:r>
        <w:rPr>
          <w:rFonts w:ascii="Arial" w:hAnsi="Arial"/>
          <w:lang w:val="en-CA"/>
        </w:rPr>
        <w:t>placees</w:t>
      </w:r>
      <w:proofErr w:type="spellEnd"/>
      <w:r>
        <w:rPr>
          <w:rFonts w:ascii="Arial" w:hAnsi="Arial"/>
          <w:lang w:val="en-CA"/>
        </w:rPr>
        <w:t>.</w:t>
      </w:r>
    </w:p>
    <w:p w14:paraId="7FD013D9" w14:textId="77777777" w:rsidR="00A079F1" w:rsidRDefault="00B73233">
      <w:pPr>
        <w:pStyle w:val="BodyText"/>
        <w:spacing w:before="0" w:after="240"/>
        <w:rPr>
          <w:rFonts w:ascii="Arial" w:hAnsi="Arial"/>
          <w:b/>
          <w:lang w:val="en-CA"/>
        </w:rPr>
      </w:pPr>
      <w:r>
        <w:rPr>
          <w:rFonts w:ascii="Arial" w:hAnsi="Arial"/>
          <w:b/>
          <w:lang w:val="en-CA"/>
        </w:rPr>
        <w:t>Part 1.</w:t>
      </w:r>
      <w:r>
        <w:rPr>
          <w:rFonts w:ascii="Arial" w:hAnsi="Arial"/>
          <w:b/>
          <w:lang w:val="en-CA"/>
        </w:rPr>
        <w:tab/>
        <w:t xml:space="preserve">Private Placement </w:t>
      </w:r>
    </w:p>
    <w:p w14:paraId="7FD013DA" w14:textId="77777777" w:rsidR="00A079F1" w:rsidRDefault="00B73233">
      <w:pPr>
        <w:pStyle w:val="BodyText"/>
        <w:rPr>
          <w:rFonts w:ascii="Arial" w:hAnsi="Arial"/>
          <w:b/>
          <w:u w:val="single"/>
          <w:lang w:val="en-CA"/>
        </w:rPr>
      </w:pPr>
      <w:r>
        <w:rPr>
          <w:rFonts w:ascii="Arial" w:hAnsi="Arial"/>
          <w:b/>
          <w:u w:val="single"/>
          <w:lang w:val="en-CA"/>
        </w:rPr>
        <w:t>Table 1A – Summary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829"/>
        <w:gridCol w:w="2394"/>
      </w:tblGrid>
      <w:tr w:rsidR="00A079F1" w14:paraId="7FD013DF" w14:textId="77777777">
        <w:tc>
          <w:tcPr>
            <w:tcW w:w="3652" w:type="dxa"/>
          </w:tcPr>
          <w:p w14:paraId="7FD013DB" w14:textId="77777777" w:rsidR="00A079F1" w:rsidRDefault="00B73233">
            <w:pPr>
              <w:pStyle w:val="BodyText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 xml:space="preserve">Each </w:t>
            </w:r>
            <w:r>
              <w:rPr>
                <w:rFonts w:ascii="Arial" w:hAnsi="Arial"/>
                <w:lang w:val="en-CA"/>
              </w:rPr>
              <w:t>jurisdiction in which purchasers reside</w:t>
            </w:r>
          </w:p>
        </w:tc>
        <w:tc>
          <w:tcPr>
            <w:tcW w:w="1701" w:type="dxa"/>
          </w:tcPr>
          <w:p w14:paraId="7FD013DC" w14:textId="77777777" w:rsidR="00A079F1" w:rsidRDefault="00B73233">
            <w:pPr>
              <w:pStyle w:val="BodyText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Number of Purchasers</w:t>
            </w:r>
          </w:p>
        </w:tc>
        <w:tc>
          <w:tcPr>
            <w:tcW w:w="1829" w:type="dxa"/>
          </w:tcPr>
          <w:p w14:paraId="7FD013DD" w14:textId="77777777" w:rsidR="00A079F1" w:rsidRDefault="00B73233">
            <w:pPr>
              <w:pStyle w:val="BodyText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Price per Security</w:t>
            </w:r>
          </w:p>
        </w:tc>
        <w:tc>
          <w:tcPr>
            <w:tcW w:w="2394" w:type="dxa"/>
          </w:tcPr>
          <w:p w14:paraId="7FD013DE" w14:textId="77777777" w:rsidR="00A079F1" w:rsidRDefault="00B73233">
            <w:pPr>
              <w:pStyle w:val="BodyText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Total dollar value (CDN$) raised in the jurisdiction</w:t>
            </w:r>
          </w:p>
        </w:tc>
      </w:tr>
      <w:tr w:rsidR="00A079F1" w14:paraId="7FD013E4" w14:textId="77777777">
        <w:tc>
          <w:tcPr>
            <w:tcW w:w="3652" w:type="dxa"/>
          </w:tcPr>
          <w:p w14:paraId="7FD013E0" w14:textId="77777777" w:rsidR="00A079F1" w:rsidRDefault="00B73233">
            <w:pPr>
              <w:pStyle w:val="BodyText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United States</w:t>
            </w:r>
          </w:p>
        </w:tc>
        <w:tc>
          <w:tcPr>
            <w:tcW w:w="1701" w:type="dxa"/>
          </w:tcPr>
          <w:p w14:paraId="7FD013E1" w14:textId="77777777" w:rsidR="00A079F1" w:rsidRDefault="00B73233">
            <w:pPr>
              <w:pStyle w:val="BodyText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2</w:t>
            </w:r>
          </w:p>
        </w:tc>
        <w:tc>
          <w:tcPr>
            <w:tcW w:w="1829" w:type="dxa"/>
          </w:tcPr>
          <w:p w14:paraId="7FD013E2" w14:textId="77777777" w:rsidR="00A079F1" w:rsidRDefault="00B73233">
            <w:pPr>
              <w:pStyle w:val="BodyText"/>
              <w:rPr>
                <w:rFonts w:ascii="Arial" w:hAnsi="Arial"/>
                <w:vertAlign w:val="superscript"/>
                <w:lang w:val="en-CA"/>
              </w:rPr>
            </w:pPr>
            <w:r>
              <w:rPr>
                <w:rFonts w:ascii="Arial" w:hAnsi="Arial"/>
                <w:lang w:val="en-CA"/>
              </w:rPr>
              <w:t>C$7.40</w:t>
            </w:r>
          </w:p>
        </w:tc>
        <w:tc>
          <w:tcPr>
            <w:tcW w:w="2394" w:type="dxa"/>
          </w:tcPr>
          <w:p w14:paraId="7FD013E3" w14:textId="77777777" w:rsidR="00A079F1" w:rsidRDefault="00B73233">
            <w:pPr>
              <w:pStyle w:val="BodyText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$4,663,213.60</w:t>
            </w:r>
            <w:r>
              <w:rPr>
                <w:rFonts w:ascii="Arial" w:hAnsi="Arial"/>
                <w:vertAlign w:val="superscript"/>
                <w:lang w:val="en-CA"/>
              </w:rPr>
              <w:t>1</w:t>
            </w:r>
          </w:p>
        </w:tc>
      </w:tr>
      <w:tr w:rsidR="00A079F1" w14:paraId="7FD013E9" w14:textId="77777777">
        <w:tc>
          <w:tcPr>
            <w:tcW w:w="3652" w:type="dxa"/>
          </w:tcPr>
          <w:p w14:paraId="7FD013E5" w14:textId="77777777" w:rsidR="00A079F1" w:rsidRDefault="00B73233">
            <w:pPr>
              <w:pStyle w:val="BodyText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Total number of purchasers:</w:t>
            </w:r>
          </w:p>
        </w:tc>
        <w:tc>
          <w:tcPr>
            <w:tcW w:w="1701" w:type="dxa"/>
          </w:tcPr>
          <w:p w14:paraId="7FD013E6" w14:textId="77777777" w:rsidR="00A079F1" w:rsidRDefault="00A079F1">
            <w:pPr>
              <w:pStyle w:val="BodyText"/>
              <w:rPr>
                <w:rFonts w:ascii="Arial" w:hAnsi="Arial"/>
                <w:lang w:val="en-CA"/>
              </w:rPr>
            </w:pPr>
          </w:p>
        </w:tc>
        <w:tc>
          <w:tcPr>
            <w:tcW w:w="1829" w:type="dxa"/>
          </w:tcPr>
          <w:p w14:paraId="7FD013E7" w14:textId="77777777" w:rsidR="00A079F1" w:rsidRDefault="00A079F1">
            <w:pPr>
              <w:pStyle w:val="BodyText"/>
              <w:rPr>
                <w:rFonts w:ascii="Arial" w:hAnsi="Arial"/>
                <w:lang w:val="en-CA"/>
              </w:rPr>
            </w:pPr>
          </w:p>
        </w:tc>
        <w:tc>
          <w:tcPr>
            <w:tcW w:w="2394" w:type="dxa"/>
          </w:tcPr>
          <w:p w14:paraId="7FD013E8" w14:textId="77777777" w:rsidR="00A079F1" w:rsidRDefault="00A079F1">
            <w:pPr>
              <w:pStyle w:val="BodyText"/>
              <w:rPr>
                <w:rFonts w:ascii="Arial" w:hAnsi="Arial"/>
                <w:lang w:val="en-CA"/>
              </w:rPr>
            </w:pPr>
          </w:p>
        </w:tc>
      </w:tr>
      <w:tr w:rsidR="00A079F1" w14:paraId="7FD013EC" w14:textId="77777777">
        <w:tc>
          <w:tcPr>
            <w:tcW w:w="7182" w:type="dxa"/>
            <w:gridSpan w:val="3"/>
          </w:tcPr>
          <w:p w14:paraId="7FD013EA" w14:textId="77777777" w:rsidR="00A079F1" w:rsidRDefault="00B73233">
            <w:pPr>
              <w:pStyle w:val="BodyText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 xml:space="preserve">Total dollar value of distribution in all </w:t>
            </w:r>
            <w:r>
              <w:rPr>
                <w:rFonts w:ascii="Arial" w:hAnsi="Arial"/>
                <w:lang w:val="en-CA"/>
              </w:rPr>
              <w:t>jurisdictions:</w:t>
            </w:r>
          </w:p>
        </w:tc>
        <w:tc>
          <w:tcPr>
            <w:tcW w:w="2394" w:type="dxa"/>
          </w:tcPr>
          <w:p w14:paraId="7FD013EB" w14:textId="77777777" w:rsidR="00A079F1" w:rsidRDefault="00B73233">
            <w:pPr>
              <w:pStyle w:val="BodyText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$4,663,213.60</w:t>
            </w:r>
            <w:r>
              <w:rPr>
                <w:rFonts w:ascii="Arial" w:hAnsi="Arial"/>
                <w:vertAlign w:val="superscript"/>
                <w:lang w:val="en-CA"/>
              </w:rPr>
              <w:t>1</w:t>
            </w:r>
          </w:p>
        </w:tc>
      </w:tr>
    </w:tbl>
    <w:p w14:paraId="7FD013ED" w14:textId="10182C4F" w:rsidR="00A079F1" w:rsidRDefault="00B73233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/>
          <w:bCs/>
          <w:i/>
          <w:iCs/>
        </w:rPr>
        <w:t>1 No proceeds were raised as part of the distribution of the Subordinate Voting Shares (see responses to items 1 and 2 below). The total value of the performance bonuses payable under the Employment Agreements (as defined bel</w:t>
      </w:r>
      <w:r>
        <w:rPr>
          <w:rFonts w:ascii="Arial" w:hAnsi="Arial"/>
          <w:bCs/>
          <w:i/>
          <w:iCs/>
        </w:rPr>
        <w:t>ow) to be satisfied through the issuance of Subordinate Voting Shares is CDN$</w:t>
      </w:r>
      <w:r>
        <w:rPr>
          <w:rFonts w:ascii="Arial" w:hAnsi="Arial"/>
          <w:bCs/>
          <w:i/>
          <w:iCs/>
        </w:rPr>
        <w:t>4,663,213.60</w:t>
      </w:r>
      <w:r>
        <w:rPr>
          <w:rFonts w:ascii="Arial" w:hAnsi="Arial" w:cs="Arial"/>
          <w:sz w:val="24"/>
          <w:szCs w:val="24"/>
        </w:rPr>
        <w:t>.</w:t>
      </w:r>
    </w:p>
    <w:p w14:paraId="7FD013EE" w14:textId="77777777" w:rsidR="00A079F1" w:rsidRDefault="00B73233">
      <w:pPr>
        <w:pStyle w:val="BodyText"/>
        <w:rPr>
          <w:rFonts w:ascii="Arial" w:hAnsi="Arial"/>
          <w:b/>
          <w:u w:val="single"/>
          <w:lang w:val="en-CA"/>
        </w:rPr>
      </w:pPr>
      <w:r>
        <w:rPr>
          <w:rFonts w:ascii="Arial" w:hAnsi="Arial"/>
          <w:b/>
          <w:u w:val="single"/>
          <w:lang w:val="en-CA"/>
        </w:rPr>
        <w:t xml:space="preserve">Table 1B – Related Persons </w:t>
      </w:r>
    </w:p>
    <w:p w14:paraId="7FD013EF" w14:textId="77777777" w:rsidR="00A079F1" w:rsidRDefault="00A079F1">
      <w:pPr>
        <w:pStyle w:val="BodyText"/>
        <w:spacing w:before="0"/>
        <w:rPr>
          <w:rFonts w:ascii="Arial" w:hAnsi="Arial"/>
          <w:b/>
          <w:lang w:val="en-CA"/>
        </w:rPr>
      </w:pPr>
    </w:p>
    <w:tbl>
      <w:tblPr>
        <w:tblW w:w="106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4"/>
        <w:gridCol w:w="1376"/>
        <w:gridCol w:w="1355"/>
        <w:gridCol w:w="1213"/>
        <w:gridCol w:w="1376"/>
        <w:gridCol w:w="1742"/>
        <w:gridCol w:w="1100"/>
        <w:gridCol w:w="1100"/>
      </w:tblGrid>
      <w:tr w:rsidR="00A079F1" w14:paraId="7FD01403" w14:textId="77777777">
        <w:trPr>
          <w:trHeight w:val="1965"/>
          <w:jc w:val="center"/>
        </w:trPr>
        <w:tc>
          <w:tcPr>
            <w:tcW w:w="1394" w:type="dxa"/>
          </w:tcPr>
          <w:p w14:paraId="7FD013F0" w14:textId="77777777" w:rsidR="00A079F1" w:rsidRDefault="00A079F1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</w:p>
          <w:p w14:paraId="7FD013F1" w14:textId="77777777" w:rsidR="00A079F1" w:rsidRDefault="00B73233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/>
                <w:b/>
                <w:sz w:val="18"/>
                <w:szCs w:val="18"/>
                <w:lang w:val="en-CA"/>
              </w:rPr>
              <w:t xml:space="preserve">Full Name &amp; Municipality of Residence of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en-CA"/>
              </w:rPr>
              <w:t>Placee</w:t>
            </w:r>
            <w:proofErr w:type="spellEnd"/>
          </w:p>
        </w:tc>
        <w:tc>
          <w:tcPr>
            <w:tcW w:w="1376" w:type="dxa"/>
          </w:tcPr>
          <w:p w14:paraId="7FD013F2" w14:textId="77777777" w:rsidR="00A079F1" w:rsidRDefault="00A079F1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</w:p>
          <w:p w14:paraId="7FD013F3" w14:textId="77777777" w:rsidR="00A079F1" w:rsidRDefault="00B73233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/>
                <w:b/>
                <w:sz w:val="18"/>
                <w:szCs w:val="18"/>
                <w:lang w:val="en-CA"/>
              </w:rPr>
              <w:t>Number of Securities Purchased or to be Purchased</w:t>
            </w:r>
          </w:p>
        </w:tc>
        <w:tc>
          <w:tcPr>
            <w:tcW w:w="1355" w:type="dxa"/>
          </w:tcPr>
          <w:p w14:paraId="7FD013F4" w14:textId="77777777" w:rsidR="00A079F1" w:rsidRDefault="00A079F1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</w:p>
          <w:p w14:paraId="7FD013F5" w14:textId="77777777" w:rsidR="00A079F1" w:rsidRDefault="00B73233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/>
                <w:b/>
                <w:sz w:val="18"/>
                <w:szCs w:val="18"/>
                <w:lang w:val="en-CA"/>
              </w:rPr>
              <w:t xml:space="preserve">Purchase price per </w:t>
            </w:r>
            <w:r>
              <w:rPr>
                <w:rFonts w:ascii="Arial" w:hAnsi="Arial"/>
                <w:b/>
                <w:sz w:val="18"/>
                <w:szCs w:val="18"/>
                <w:lang w:val="en-CA"/>
              </w:rPr>
              <w:t>Security (CDN$)</w:t>
            </w:r>
          </w:p>
        </w:tc>
        <w:tc>
          <w:tcPr>
            <w:tcW w:w="1213" w:type="dxa"/>
          </w:tcPr>
          <w:p w14:paraId="7FD013F6" w14:textId="77777777" w:rsidR="00A079F1" w:rsidRDefault="00A079F1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</w:p>
          <w:p w14:paraId="7FD013F7" w14:textId="77777777" w:rsidR="00A079F1" w:rsidRDefault="00B73233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/>
                <w:b/>
                <w:sz w:val="18"/>
                <w:szCs w:val="18"/>
                <w:lang w:val="en-CA"/>
              </w:rPr>
              <w:t>Conversion</w:t>
            </w:r>
          </w:p>
          <w:p w14:paraId="7FD013F8" w14:textId="77777777" w:rsidR="00A079F1" w:rsidRDefault="00B73233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/>
                <w:b/>
                <w:sz w:val="18"/>
                <w:szCs w:val="18"/>
                <w:lang w:val="en-CA"/>
              </w:rPr>
              <w:t>Price (if</w:t>
            </w:r>
          </w:p>
          <w:p w14:paraId="7FD013F9" w14:textId="77777777" w:rsidR="00A079F1" w:rsidRDefault="00B73233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/>
                <w:b/>
                <w:sz w:val="18"/>
                <w:szCs w:val="18"/>
                <w:lang w:val="en-CA"/>
              </w:rPr>
              <w:t>Applicable)</w:t>
            </w:r>
          </w:p>
          <w:p w14:paraId="7FD013FA" w14:textId="77777777" w:rsidR="00A079F1" w:rsidRDefault="00B73233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/>
                <w:b/>
                <w:sz w:val="18"/>
                <w:szCs w:val="18"/>
                <w:lang w:val="en-CA"/>
              </w:rPr>
              <w:t>(CDN$)</w:t>
            </w:r>
          </w:p>
        </w:tc>
        <w:tc>
          <w:tcPr>
            <w:tcW w:w="1376" w:type="dxa"/>
          </w:tcPr>
          <w:p w14:paraId="7FD013FB" w14:textId="77777777" w:rsidR="00A079F1" w:rsidRDefault="00A079F1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</w:p>
          <w:p w14:paraId="7FD013FC" w14:textId="77777777" w:rsidR="00A079F1" w:rsidRDefault="00B73233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/>
                <w:b/>
                <w:sz w:val="18"/>
                <w:szCs w:val="18"/>
                <w:lang w:val="en-CA"/>
              </w:rPr>
              <w:t>Prospectus Exemption</w:t>
            </w:r>
          </w:p>
        </w:tc>
        <w:tc>
          <w:tcPr>
            <w:tcW w:w="1742" w:type="dxa"/>
          </w:tcPr>
          <w:p w14:paraId="7FD013FD" w14:textId="77777777" w:rsidR="00A079F1" w:rsidRDefault="00A079F1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7FD013FE" w14:textId="77777777" w:rsidR="00A079F1" w:rsidRDefault="00B73233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 Securities Previously Owned, Controlled or Directed</w:t>
            </w:r>
          </w:p>
        </w:tc>
        <w:tc>
          <w:tcPr>
            <w:tcW w:w="1100" w:type="dxa"/>
          </w:tcPr>
          <w:p w14:paraId="7FD013FF" w14:textId="77777777" w:rsidR="00A079F1" w:rsidRDefault="00A079F1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</w:p>
          <w:p w14:paraId="7FD01400" w14:textId="77777777" w:rsidR="00A079F1" w:rsidRDefault="00B73233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/>
                <w:b/>
                <w:sz w:val="18"/>
                <w:szCs w:val="18"/>
                <w:lang w:val="en-CA"/>
              </w:rPr>
              <w:t>Payment Date (1)</w:t>
            </w:r>
          </w:p>
        </w:tc>
        <w:tc>
          <w:tcPr>
            <w:tcW w:w="1100" w:type="dxa"/>
          </w:tcPr>
          <w:p w14:paraId="7FD01401" w14:textId="77777777" w:rsidR="00A079F1" w:rsidRDefault="00A079F1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val="en-CA"/>
              </w:rPr>
            </w:pPr>
          </w:p>
          <w:p w14:paraId="7FD01402" w14:textId="77777777" w:rsidR="00A079F1" w:rsidRDefault="00B73233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  <w:lang w:val="en-CA"/>
              </w:rPr>
              <w:t xml:space="preserve">Describe </w:t>
            </w:r>
            <w:proofErr w:type="gramStart"/>
            <w:r>
              <w:rPr>
                <w:rFonts w:ascii="Arial" w:hAnsi="Arial"/>
                <w:b/>
                <w:color w:val="000000"/>
                <w:sz w:val="18"/>
                <w:szCs w:val="18"/>
                <w:lang w:val="en-CA"/>
              </w:rPr>
              <w:t>relations-hip</w:t>
            </w:r>
            <w:proofErr w:type="gramEnd"/>
            <w:r>
              <w:rPr>
                <w:rFonts w:ascii="Arial" w:hAnsi="Arial"/>
                <w:b/>
                <w:color w:val="000000"/>
                <w:sz w:val="18"/>
                <w:szCs w:val="18"/>
                <w:lang w:val="en-CA"/>
              </w:rPr>
              <w:t xml:space="preserve"> to Issuer (2)</w:t>
            </w:r>
          </w:p>
        </w:tc>
      </w:tr>
      <w:tr w:rsidR="00A079F1" w14:paraId="7FD0140E" w14:textId="77777777">
        <w:trPr>
          <w:trHeight w:val="864"/>
          <w:jc w:val="center"/>
        </w:trPr>
        <w:tc>
          <w:tcPr>
            <w:tcW w:w="1394" w:type="dxa"/>
          </w:tcPr>
          <w:p w14:paraId="7FD01404" w14:textId="77777777" w:rsidR="00A079F1" w:rsidRDefault="00B73233">
            <w:pPr>
              <w:pStyle w:val="BodyText"/>
              <w:spacing w:before="0" w:line="280" w:lineRule="exact"/>
              <w:jc w:val="center"/>
              <w:rPr>
                <w:rFonts w:ascii="Arial" w:hAnsi="Arial"/>
                <w:sz w:val="18"/>
                <w:szCs w:val="18"/>
                <w:lang w:val="en-CA"/>
              </w:rPr>
            </w:pPr>
            <w:r>
              <w:rPr>
                <w:rFonts w:ascii="Arial" w:hAnsi="Arial"/>
                <w:sz w:val="18"/>
                <w:szCs w:val="18"/>
                <w:lang w:val="en-CA"/>
              </w:rPr>
              <w:t>Member 1</w:t>
            </w:r>
          </w:p>
        </w:tc>
        <w:tc>
          <w:tcPr>
            <w:tcW w:w="1376" w:type="dxa"/>
          </w:tcPr>
          <w:p w14:paraId="7FD01405" w14:textId="77777777" w:rsidR="00A079F1" w:rsidRDefault="00B73233">
            <w:pPr>
              <w:pStyle w:val="BodyText"/>
              <w:spacing w:before="0" w:line="280" w:lineRule="exact"/>
              <w:jc w:val="center"/>
              <w:rPr>
                <w:rFonts w:ascii="Arial" w:hAnsi="Arial"/>
                <w:sz w:val="18"/>
                <w:szCs w:val="18"/>
                <w:lang w:val="en-CA"/>
              </w:rPr>
            </w:pPr>
            <w:r>
              <w:rPr>
                <w:rFonts w:ascii="Arial" w:hAnsi="Arial"/>
                <w:sz w:val="18"/>
                <w:szCs w:val="18"/>
                <w:lang w:val="en-CA"/>
              </w:rPr>
              <w:t>389,556</w:t>
            </w:r>
          </w:p>
          <w:p w14:paraId="7FD01406" w14:textId="77777777" w:rsidR="00A079F1" w:rsidRDefault="00B73233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/>
                <w:sz w:val="18"/>
                <w:szCs w:val="18"/>
                <w:lang w:val="en-CA"/>
              </w:rPr>
              <w:t>Subordinate Voting Shares</w:t>
            </w:r>
          </w:p>
        </w:tc>
        <w:tc>
          <w:tcPr>
            <w:tcW w:w="1355" w:type="dxa"/>
          </w:tcPr>
          <w:p w14:paraId="7FD01407" w14:textId="77777777" w:rsidR="00A079F1" w:rsidRDefault="00B73233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/>
                <w:bCs/>
                <w:sz w:val="18"/>
                <w:szCs w:val="18"/>
                <w:lang w:val="en-CA"/>
              </w:rPr>
              <w:t>C$</w:t>
            </w:r>
            <w:r>
              <w:rPr>
                <w:rFonts w:ascii="Arial" w:hAnsi="Arial"/>
                <w:sz w:val="18"/>
                <w:szCs w:val="18"/>
                <w:lang w:val="en-CA"/>
              </w:rPr>
              <w:t xml:space="preserve">7.40 per </w:t>
            </w:r>
            <w:r>
              <w:rPr>
                <w:rFonts w:ascii="Arial" w:hAnsi="Arial"/>
                <w:sz w:val="18"/>
                <w:szCs w:val="18"/>
                <w:lang w:val="en-CA"/>
              </w:rPr>
              <w:t>Subordinate Voting Share</w:t>
            </w:r>
          </w:p>
        </w:tc>
        <w:tc>
          <w:tcPr>
            <w:tcW w:w="1213" w:type="dxa"/>
          </w:tcPr>
          <w:p w14:paraId="7FD01408" w14:textId="77777777" w:rsidR="00A079F1" w:rsidRDefault="00B73233">
            <w:pPr>
              <w:pStyle w:val="BodyText"/>
              <w:spacing w:before="0" w:line="280" w:lineRule="exact"/>
              <w:jc w:val="center"/>
              <w:rPr>
                <w:rFonts w:ascii="Arial" w:hAnsi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/>
                <w:bCs/>
                <w:sz w:val="18"/>
                <w:szCs w:val="18"/>
                <w:lang w:val="en-CA"/>
              </w:rPr>
              <w:t>N/A</w:t>
            </w:r>
          </w:p>
        </w:tc>
        <w:tc>
          <w:tcPr>
            <w:tcW w:w="1376" w:type="dxa"/>
          </w:tcPr>
          <w:p w14:paraId="7FD01409" w14:textId="45409E10" w:rsidR="00A079F1" w:rsidRDefault="00B73233">
            <w:pPr>
              <w:pStyle w:val="BodyText"/>
              <w:spacing w:before="0" w:line="280" w:lineRule="exact"/>
              <w:jc w:val="center"/>
              <w:rPr>
                <w:rFonts w:ascii="Arial" w:hAnsi="Arial"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i/>
                <w:iCs/>
                <w:sz w:val="18"/>
                <w:szCs w:val="18"/>
                <w:lang w:val="en-US"/>
              </w:rPr>
              <w:t>Section 2.24 of National Instrument 45-106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  <w:lang w:val="en-US"/>
              </w:rPr>
              <w:t xml:space="preserve"> – Prospectus Exemptions</w:t>
            </w:r>
          </w:p>
        </w:tc>
        <w:tc>
          <w:tcPr>
            <w:tcW w:w="1742" w:type="dxa"/>
          </w:tcPr>
          <w:p w14:paraId="7FD0140A" w14:textId="77777777" w:rsidR="00A079F1" w:rsidRDefault="00B73233">
            <w:pPr>
              <w:pStyle w:val="BodyText"/>
              <w:spacing w:before="0" w:line="280" w:lineRule="exact"/>
              <w:jc w:val="center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3,328,223 Subordinate Voting Shares and </w:t>
            </w:r>
            <w:r>
              <w:rPr>
                <w:rFonts w:ascii="Arial" w:hAnsi="Arial"/>
                <w:sz w:val="18"/>
                <w:szCs w:val="18"/>
                <w:lang w:val="en-CA"/>
              </w:rPr>
              <w:t>0</w:t>
            </w: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 Proportionate Voting Shares</w:t>
            </w:r>
          </w:p>
          <w:p w14:paraId="7FD0140B" w14:textId="77777777" w:rsidR="00A079F1" w:rsidRDefault="00A079F1">
            <w:pPr>
              <w:pStyle w:val="BodyText"/>
              <w:spacing w:before="0" w:line="280" w:lineRule="exac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00" w:type="dxa"/>
          </w:tcPr>
          <w:p w14:paraId="7FD0140C" w14:textId="5AFCA20E" w:rsidR="00A079F1" w:rsidRDefault="00B73233">
            <w:pPr>
              <w:pStyle w:val="BodyText"/>
              <w:spacing w:before="0" w:line="280" w:lineRule="exact"/>
              <w:jc w:val="center"/>
              <w:rPr>
                <w:rFonts w:ascii="Arial" w:hAnsi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/>
                <w:bCs/>
                <w:sz w:val="18"/>
                <w:szCs w:val="18"/>
                <w:lang w:val="en-CA"/>
              </w:rPr>
              <w:t xml:space="preserve">Issue date: </w:t>
            </w:r>
            <w:r>
              <w:rPr>
                <w:rFonts w:ascii="Arial" w:hAnsi="Arial"/>
                <w:sz w:val="18"/>
                <w:szCs w:val="18"/>
                <w:lang w:val="en-CA"/>
              </w:rPr>
              <w:t xml:space="preserve">November </w:t>
            </w:r>
            <w:r>
              <w:rPr>
                <w:rFonts w:ascii="Arial" w:hAnsi="Arial"/>
                <w:sz w:val="18"/>
                <w:szCs w:val="18"/>
                <w:lang w:val="en-CA"/>
              </w:rPr>
              <w:t>15</w:t>
            </w:r>
            <w:r>
              <w:rPr>
                <w:rFonts w:ascii="Arial" w:hAnsi="Arial"/>
                <w:sz w:val="18"/>
                <w:szCs w:val="18"/>
                <w:lang w:val="en-CA"/>
              </w:rPr>
              <w:t>, 2022</w:t>
            </w:r>
          </w:p>
        </w:tc>
        <w:tc>
          <w:tcPr>
            <w:tcW w:w="1100" w:type="dxa"/>
          </w:tcPr>
          <w:p w14:paraId="7FD0140D" w14:textId="77777777" w:rsidR="00A079F1" w:rsidRDefault="00B73233">
            <w:pPr>
              <w:pStyle w:val="BodyText"/>
              <w:spacing w:before="0" w:line="280" w:lineRule="exact"/>
              <w:jc w:val="center"/>
              <w:rPr>
                <w:rFonts w:ascii="Arial" w:hAnsi="Arial"/>
                <w:bCs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hAnsi="Arial"/>
                <w:bCs/>
                <w:color w:val="000000"/>
                <w:sz w:val="18"/>
                <w:szCs w:val="18"/>
                <w:lang w:val="en-CA"/>
              </w:rPr>
              <w:t>Officer</w:t>
            </w:r>
          </w:p>
        </w:tc>
      </w:tr>
      <w:tr w:rsidR="00A079F1" w14:paraId="7FD01419" w14:textId="77777777">
        <w:trPr>
          <w:trHeight w:val="864"/>
          <w:jc w:val="center"/>
        </w:trPr>
        <w:tc>
          <w:tcPr>
            <w:tcW w:w="1394" w:type="dxa"/>
          </w:tcPr>
          <w:p w14:paraId="7FD0140F" w14:textId="77777777" w:rsidR="00A079F1" w:rsidRDefault="00B73233">
            <w:pPr>
              <w:pStyle w:val="BodyText"/>
              <w:spacing w:before="0" w:line="280" w:lineRule="exact"/>
              <w:jc w:val="center"/>
              <w:rPr>
                <w:rFonts w:ascii="Arial" w:hAnsi="Arial"/>
                <w:sz w:val="18"/>
                <w:szCs w:val="18"/>
                <w:lang w:val="en-CA"/>
              </w:rPr>
            </w:pPr>
            <w:r>
              <w:rPr>
                <w:rFonts w:ascii="Arial" w:hAnsi="Arial"/>
                <w:sz w:val="18"/>
                <w:szCs w:val="18"/>
                <w:lang w:val="en-CA"/>
              </w:rPr>
              <w:t>Member 2</w:t>
            </w:r>
          </w:p>
          <w:p w14:paraId="7FD01410" w14:textId="77777777" w:rsidR="00A079F1" w:rsidRDefault="00A079F1">
            <w:pPr>
              <w:pStyle w:val="BodyText"/>
              <w:rPr>
                <w:rFonts w:ascii="Arial" w:hAnsi="Arial"/>
                <w:sz w:val="18"/>
                <w:szCs w:val="18"/>
                <w:lang w:val="en-CA"/>
              </w:rPr>
            </w:pPr>
          </w:p>
        </w:tc>
        <w:tc>
          <w:tcPr>
            <w:tcW w:w="1376" w:type="dxa"/>
          </w:tcPr>
          <w:p w14:paraId="7FD01411" w14:textId="77777777" w:rsidR="00A079F1" w:rsidRDefault="00B73233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/>
                <w:sz w:val="18"/>
                <w:szCs w:val="18"/>
                <w:lang w:val="en-CA"/>
              </w:rPr>
              <w:t>240,608 Subordinate Voting Shares</w:t>
            </w:r>
          </w:p>
        </w:tc>
        <w:tc>
          <w:tcPr>
            <w:tcW w:w="1355" w:type="dxa"/>
          </w:tcPr>
          <w:p w14:paraId="7FD01412" w14:textId="77777777" w:rsidR="00A079F1" w:rsidRDefault="00B73233">
            <w:pPr>
              <w:pStyle w:val="BodyText"/>
              <w:spacing w:before="0" w:line="280" w:lineRule="exact"/>
              <w:jc w:val="center"/>
              <w:rPr>
                <w:rFonts w:ascii="Arial" w:hAnsi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/>
                <w:bCs/>
                <w:sz w:val="18"/>
                <w:szCs w:val="18"/>
                <w:lang w:val="en-CA"/>
              </w:rPr>
              <w:t>C$</w:t>
            </w:r>
            <w:r>
              <w:rPr>
                <w:rFonts w:ascii="Arial" w:hAnsi="Arial"/>
                <w:sz w:val="18"/>
                <w:szCs w:val="18"/>
                <w:lang w:val="en-CA"/>
              </w:rPr>
              <w:t>7.40 per Subordinate Voting Share</w:t>
            </w:r>
          </w:p>
        </w:tc>
        <w:tc>
          <w:tcPr>
            <w:tcW w:w="1213" w:type="dxa"/>
          </w:tcPr>
          <w:p w14:paraId="7FD01413" w14:textId="77777777" w:rsidR="00A079F1" w:rsidRDefault="00B73233">
            <w:pPr>
              <w:pStyle w:val="BodyText"/>
              <w:spacing w:before="0" w:line="280" w:lineRule="exact"/>
              <w:jc w:val="center"/>
              <w:rPr>
                <w:rFonts w:ascii="Arial" w:hAnsi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/>
                <w:bCs/>
                <w:sz w:val="18"/>
                <w:szCs w:val="18"/>
                <w:lang w:val="en-CA"/>
              </w:rPr>
              <w:t>N/A</w:t>
            </w:r>
          </w:p>
        </w:tc>
        <w:tc>
          <w:tcPr>
            <w:tcW w:w="1376" w:type="dxa"/>
          </w:tcPr>
          <w:p w14:paraId="7FD01414" w14:textId="3CDCE621" w:rsidR="00A079F1" w:rsidRDefault="00B73233">
            <w:pPr>
              <w:pStyle w:val="BodyText"/>
              <w:spacing w:before="0" w:line="280" w:lineRule="exact"/>
              <w:jc w:val="center"/>
              <w:rPr>
                <w:rFonts w:ascii="Arial" w:hAnsi="Arial"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Cs/>
                <w:i/>
                <w:iCs/>
                <w:sz w:val="18"/>
                <w:szCs w:val="18"/>
                <w:lang w:val="en-US"/>
              </w:rPr>
              <w:t>Section 2.24 of National Instrument 45-106 – Prospectus Exemptions</w:t>
            </w:r>
          </w:p>
        </w:tc>
        <w:tc>
          <w:tcPr>
            <w:tcW w:w="1742" w:type="dxa"/>
          </w:tcPr>
          <w:p w14:paraId="7FD01415" w14:textId="77777777" w:rsidR="00A079F1" w:rsidRDefault="00B73233">
            <w:pPr>
              <w:pStyle w:val="BodyText"/>
              <w:spacing w:before="0" w:line="280" w:lineRule="exact"/>
              <w:jc w:val="center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2,524,535</w:t>
            </w: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 Subordinate Voting Shares and </w:t>
            </w:r>
            <w:r>
              <w:rPr>
                <w:rFonts w:ascii="Arial" w:hAnsi="Arial"/>
                <w:sz w:val="18"/>
                <w:szCs w:val="18"/>
                <w:lang w:val="en-CA"/>
              </w:rPr>
              <w:t>0</w:t>
            </w:r>
            <w:r>
              <w:rPr>
                <w:rFonts w:ascii="Arial" w:hAnsi="Arial"/>
                <w:bCs/>
                <w:sz w:val="18"/>
                <w:szCs w:val="18"/>
                <w:lang w:val="en-US"/>
              </w:rPr>
              <w:t xml:space="preserve"> Proportionate Voting Shares</w:t>
            </w:r>
          </w:p>
          <w:p w14:paraId="7FD01416" w14:textId="77777777" w:rsidR="00A079F1" w:rsidRDefault="00A079F1">
            <w:pPr>
              <w:pStyle w:val="BodyText"/>
              <w:jc w:val="center"/>
              <w:rPr>
                <w:rFonts w:ascii="Arial" w:hAnsi="Arial"/>
                <w:sz w:val="18"/>
                <w:szCs w:val="18"/>
                <w:lang w:val="en-CA"/>
              </w:rPr>
            </w:pPr>
          </w:p>
        </w:tc>
        <w:tc>
          <w:tcPr>
            <w:tcW w:w="1100" w:type="dxa"/>
          </w:tcPr>
          <w:p w14:paraId="7FD01417" w14:textId="01755B54" w:rsidR="00A079F1" w:rsidRDefault="00B73233">
            <w:pPr>
              <w:pStyle w:val="BodyText"/>
              <w:jc w:val="center"/>
              <w:rPr>
                <w:rFonts w:ascii="Arial" w:hAnsi="Arial"/>
                <w:sz w:val="18"/>
                <w:szCs w:val="18"/>
                <w:lang w:val="en-CA"/>
              </w:rPr>
            </w:pPr>
            <w:r>
              <w:rPr>
                <w:rFonts w:ascii="Arial" w:hAnsi="Arial"/>
                <w:bCs/>
                <w:sz w:val="18"/>
                <w:szCs w:val="18"/>
                <w:lang w:val="en-CA"/>
              </w:rPr>
              <w:t xml:space="preserve">Issue date: </w:t>
            </w:r>
            <w:r>
              <w:rPr>
                <w:rFonts w:ascii="Arial" w:hAnsi="Arial"/>
                <w:sz w:val="18"/>
                <w:szCs w:val="18"/>
                <w:lang w:val="en-CA"/>
              </w:rPr>
              <w:t xml:space="preserve">November </w:t>
            </w:r>
            <w:r>
              <w:rPr>
                <w:rFonts w:ascii="Arial" w:hAnsi="Arial"/>
                <w:sz w:val="18"/>
                <w:szCs w:val="18"/>
                <w:lang w:val="en-CA"/>
              </w:rPr>
              <w:t>15</w:t>
            </w:r>
            <w:r>
              <w:rPr>
                <w:rFonts w:ascii="Arial" w:hAnsi="Arial"/>
                <w:sz w:val="18"/>
                <w:szCs w:val="18"/>
                <w:lang w:val="en-CA"/>
              </w:rPr>
              <w:t>, 2022</w:t>
            </w:r>
          </w:p>
        </w:tc>
        <w:tc>
          <w:tcPr>
            <w:tcW w:w="1100" w:type="dxa"/>
          </w:tcPr>
          <w:p w14:paraId="7FD01418" w14:textId="77777777" w:rsidR="00A079F1" w:rsidRDefault="00B73233">
            <w:pPr>
              <w:pStyle w:val="BodyText"/>
              <w:jc w:val="center"/>
              <w:rPr>
                <w:rFonts w:ascii="Arial" w:hAnsi="Arial"/>
                <w:sz w:val="18"/>
                <w:szCs w:val="18"/>
                <w:lang w:val="en-CA"/>
              </w:rPr>
            </w:pPr>
            <w:r>
              <w:rPr>
                <w:rFonts w:ascii="Arial" w:hAnsi="Arial"/>
                <w:sz w:val="18"/>
                <w:szCs w:val="18"/>
                <w:lang w:val="en-CA"/>
              </w:rPr>
              <w:t>Director</w:t>
            </w:r>
          </w:p>
        </w:tc>
      </w:tr>
    </w:tbl>
    <w:p w14:paraId="7FD0141A" w14:textId="77777777" w:rsidR="00A079F1" w:rsidRDefault="00A079F1">
      <w:pPr>
        <w:pStyle w:val="BodyText"/>
        <w:rPr>
          <w:rFonts w:ascii="Arial" w:hAnsi="Arial" w:cs="Arial"/>
          <w:sz w:val="20"/>
        </w:rPr>
      </w:pPr>
    </w:p>
    <w:p w14:paraId="7FD0141B" w14:textId="77777777" w:rsidR="00A079F1" w:rsidRDefault="00B73233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vertAlign w:val="superscript"/>
        </w:rPr>
        <w:lastRenderedPageBreak/>
        <w:t>1</w:t>
      </w:r>
      <w:r>
        <w:rPr>
          <w:rFonts w:ascii="Arial" w:hAnsi="Arial" w:cs="Arial"/>
        </w:rPr>
        <w:t xml:space="preserve">An issuance of </w:t>
      </w:r>
      <w:r>
        <w:rPr>
          <w:rFonts w:ascii="Arial" w:hAnsi="Arial" w:cs="Arial"/>
        </w:rPr>
        <w:t>non-convertible debt does not have to be reported unless it is a significant transaction as defined in Policy 7, in which case it is to be reported on Form 10</w:t>
      </w:r>
      <w:r>
        <w:rPr>
          <w:rFonts w:ascii="Arial" w:hAnsi="Arial" w:cs="Arial"/>
          <w:sz w:val="24"/>
          <w:szCs w:val="24"/>
        </w:rPr>
        <w:t>.</w:t>
      </w:r>
    </w:p>
    <w:p w14:paraId="7FD0141C" w14:textId="77777777" w:rsidR="00A079F1" w:rsidRDefault="00B73233">
      <w:pPr>
        <w:pStyle w:val="List"/>
        <w:numPr>
          <w:ilvl w:val="0"/>
          <w:numId w:val="20"/>
        </w:numPr>
        <w:tabs>
          <w:tab w:val="left" w:pos="9162"/>
        </w:tabs>
        <w:rPr>
          <w:rFonts w:ascii="Arial" w:hAnsi="Arial"/>
          <w:b/>
        </w:rPr>
      </w:pPr>
      <w:r>
        <w:rPr>
          <w:rFonts w:ascii="Arial" w:hAnsi="Arial"/>
        </w:rPr>
        <w:t xml:space="preserve">Total amount of funds to be raised: </w:t>
      </w:r>
    </w:p>
    <w:p w14:paraId="7FD0141D" w14:textId="77777777" w:rsidR="00A079F1" w:rsidRDefault="00B73233">
      <w:pPr>
        <w:pStyle w:val="List"/>
        <w:tabs>
          <w:tab w:val="left" w:pos="9162"/>
        </w:tabs>
        <w:ind w:firstLine="0"/>
        <w:rPr>
          <w:rFonts w:ascii="Arial" w:hAnsi="Arial"/>
          <w:bCs/>
          <w:i/>
          <w:iCs/>
        </w:rPr>
      </w:pPr>
      <w:r>
        <w:rPr>
          <w:rFonts w:ascii="Arial" w:hAnsi="Arial"/>
          <w:bCs/>
          <w:i/>
          <w:iCs/>
          <w:lang w:val="en-US"/>
        </w:rPr>
        <w:t>None. The Subordinate Voting Shares issued were in consider</w:t>
      </w:r>
      <w:r>
        <w:rPr>
          <w:rFonts w:ascii="Arial" w:hAnsi="Arial"/>
          <w:bCs/>
          <w:i/>
          <w:iCs/>
          <w:lang w:val="en-US"/>
        </w:rPr>
        <w:t>ation for services provided and, as such, no proceeds were realized by the Issuer.</w:t>
      </w:r>
    </w:p>
    <w:p w14:paraId="7FD0141E" w14:textId="77777777" w:rsidR="00A079F1" w:rsidRDefault="00B73233">
      <w:pPr>
        <w:pStyle w:val="BodyText"/>
        <w:numPr>
          <w:ilvl w:val="0"/>
          <w:numId w:val="20"/>
        </w:numPr>
        <w:tabs>
          <w:tab w:val="left" w:pos="9180"/>
        </w:tabs>
        <w:rPr>
          <w:rFonts w:ascii="Arial" w:hAnsi="Arial"/>
        </w:rPr>
      </w:pPr>
      <w:r>
        <w:rPr>
          <w:rFonts w:ascii="Arial" w:hAnsi="Arial"/>
        </w:rPr>
        <w:t>Provide full details of the use of the proceeds.  The disclosure should be sufficiently complete to enable a reader to appreciate the significance of the transaction without</w:t>
      </w:r>
      <w:r>
        <w:rPr>
          <w:rFonts w:ascii="Arial" w:hAnsi="Arial"/>
        </w:rPr>
        <w:t xml:space="preserve"> reference to any other material.   </w:t>
      </w:r>
    </w:p>
    <w:p w14:paraId="7FD0141F" w14:textId="77777777" w:rsidR="00A079F1" w:rsidRDefault="00A079F1">
      <w:pPr>
        <w:pStyle w:val="ListParagraph"/>
        <w:rPr>
          <w:rFonts w:ascii="Arial" w:hAnsi="Arial"/>
        </w:rPr>
      </w:pPr>
    </w:p>
    <w:p w14:paraId="7FD01420" w14:textId="77777777" w:rsidR="00A079F1" w:rsidRDefault="00B73233">
      <w:pPr>
        <w:pStyle w:val="arial"/>
        <w:ind w:left="1080" w:firstLine="0"/>
        <w:rPr>
          <w:rFonts w:ascii="Arial" w:hAnsi="Arial"/>
          <w:bCs/>
          <w:i/>
          <w:iCs/>
        </w:rPr>
      </w:pPr>
      <w:r>
        <w:rPr>
          <w:rFonts w:ascii="Arial" w:hAnsi="Arial"/>
          <w:i/>
          <w:iCs/>
        </w:rPr>
        <w:t xml:space="preserve">630,164 </w:t>
      </w:r>
      <w:r>
        <w:rPr>
          <w:rFonts w:ascii="Arial" w:hAnsi="Arial" w:cs="Arial"/>
          <w:bCs/>
          <w:i/>
          <w:iCs/>
          <w:sz w:val="24"/>
          <w:szCs w:val="24"/>
          <w:lang w:val="en-US"/>
        </w:rPr>
        <w:t>Subordinate Voting Shares are being issued as compensation for services rendered (the “</w:t>
      </w:r>
      <w:r>
        <w:rPr>
          <w:rFonts w:ascii="Arial" w:hAnsi="Arial" w:cs="Arial"/>
          <w:b/>
          <w:i/>
          <w:iCs/>
          <w:sz w:val="24"/>
          <w:szCs w:val="24"/>
          <w:lang w:val="en-US"/>
        </w:rPr>
        <w:t>Performance Bonus Shares</w:t>
      </w:r>
      <w:r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”) pursuant to the Employment Agreements dated March 31, 2021, entered into between the Issuer and </w:t>
      </w:r>
      <w:r>
        <w:rPr>
          <w:rFonts w:ascii="Arial" w:hAnsi="Arial" w:cs="Arial"/>
          <w:bCs/>
          <w:i/>
          <w:iCs/>
          <w:sz w:val="24"/>
          <w:szCs w:val="24"/>
          <w:lang w:val="en-US"/>
        </w:rPr>
        <w:t>each of Member 1 and Member 2, respectively (collectively the “</w:t>
      </w:r>
      <w:r>
        <w:rPr>
          <w:rFonts w:ascii="Arial" w:hAnsi="Arial" w:cs="Arial"/>
          <w:b/>
          <w:i/>
          <w:iCs/>
          <w:sz w:val="24"/>
          <w:szCs w:val="24"/>
          <w:lang w:val="en-US"/>
        </w:rPr>
        <w:t>Employment Agreements</w:t>
      </w:r>
      <w:r>
        <w:rPr>
          <w:rFonts w:ascii="Arial" w:hAnsi="Arial" w:cs="Arial"/>
          <w:bCs/>
          <w:i/>
          <w:iCs/>
          <w:sz w:val="24"/>
          <w:szCs w:val="24"/>
          <w:lang w:val="en-US"/>
        </w:rPr>
        <w:t>”)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.  </w:t>
      </w:r>
    </w:p>
    <w:p w14:paraId="7FD01421" w14:textId="77777777" w:rsidR="00A079F1" w:rsidRDefault="00B73233">
      <w:pPr>
        <w:pStyle w:val="BodyText"/>
        <w:numPr>
          <w:ilvl w:val="0"/>
          <w:numId w:val="10"/>
        </w:numPr>
        <w:tabs>
          <w:tab w:val="left" w:pos="9180"/>
        </w:tabs>
        <w:rPr>
          <w:rFonts w:ascii="Arial" w:hAnsi="Arial"/>
        </w:rPr>
      </w:pPr>
      <w:r>
        <w:rPr>
          <w:rFonts w:ascii="Arial" w:hAnsi="Arial"/>
        </w:rPr>
        <w:t xml:space="preserve">Provide particulars of any proceeds which are to be paid to Related Persons of the Issuer:  </w:t>
      </w:r>
    </w:p>
    <w:p w14:paraId="7FD01422" w14:textId="77777777" w:rsidR="00A079F1" w:rsidRDefault="00B73233">
      <w:pPr>
        <w:pStyle w:val="BodyText"/>
        <w:tabs>
          <w:tab w:val="left" w:pos="9180"/>
        </w:tabs>
        <w:ind w:left="1080"/>
        <w:rPr>
          <w:rFonts w:ascii="Arial" w:hAnsi="Arial"/>
        </w:rPr>
      </w:pPr>
      <w:r>
        <w:rPr>
          <w:rFonts w:ascii="Arial" w:hAnsi="Arial"/>
          <w:bCs/>
          <w:i/>
          <w:iCs/>
        </w:rPr>
        <w:t>N/A.</w:t>
      </w:r>
      <w:r>
        <w:rPr>
          <w:rFonts w:ascii="Arial" w:hAnsi="Arial"/>
        </w:rPr>
        <w:t xml:space="preserve"> </w:t>
      </w:r>
    </w:p>
    <w:p w14:paraId="7FD01423" w14:textId="77777777" w:rsidR="00A079F1" w:rsidRDefault="00B73233">
      <w:pPr>
        <w:pStyle w:val="BodyText"/>
        <w:numPr>
          <w:ilvl w:val="0"/>
          <w:numId w:val="10"/>
        </w:numPr>
        <w:tabs>
          <w:tab w:val="left" w:pos="9180"/>
        </w:tabs>
        <w:rPr>
          <w:rFonts w:ascii="Arial" w:hAnsi="Arial"/>
        </w:rPr>
      </w:pPr>
      <w:r>
        <w:rPr>
          <w:rFonts w:ascii="Arial" w:hAnsi="Arial"/>
        </w:rPr>
        <w:t>If securities are issued in forgiveness of indebtedness, provide de</w:t>
      </w:r>
      <w:r>
        <w:rPr>
          <w:rFonts w:ascii="Arial" w:hAnsi="Arial"/>
        </w:rPr>
        <w:t>tails of the debt agreement(s) or and the agreement to exchange the debt for securities.</w:t>
      </w:r>
    </w:p>
    <w:p w14:paraId="7FD01424" w14:textId="77777777" w:rsidR="00A079F1" w:rsidRDefault="00B73233">
      <w:pPr>
        <w:pStyle w:val="BodyText"/>
        <w:tabs>
          <w:tab w:val="left" w:pos="9180"/>
        </w:tabs>
        <w:ind w:left="1080"/>
        <w:rPr>
          <w:rFonts w:ascii="Arial" w:hAnsi="Arial"/>
          <w:bCs/>
          <w:i/>
          <w:iCs/>
        </w:rPr>
      </w:pPr>
      <w:r>
        <w:rPr>
          <w:rFonts w:ascii="Arial" w:hAnsi="Arial"/>
          <w:bCs/>
          <w:i/>
          <w:iCs/>
        </w:rPr>
        <w:t>N/A.</w:t>
      </w:r>
    </w:p>
    <w:p w14:paraId="7FD01425" w14:textId="77777777" w:rsidR="00A079F1" w:rsidRDefault="00B73233">
      <w:pPr>
        <w:pStyle w:val="BodyText"/>
        <w:numPr>
          <w:ilvl w:val="0"/>
          <w:numId w:val="10"/>
        </w:numPr>
        <w:tabs>
          <w:tab w:val="left" w:pos="9180"/>
        </w:tabs>
        <w:rPr>
          <w:rFonts w:ascii="Arial" w:hAnsi="Arial"/>
        </w:rPr>
      </w:pPr>
      <w:r>
        <w:rPr>
          <w:rFonts w:ascii="Arial" w:hAnsi="Arial"/>
        </w:rPr>
        <w:t>Description of securities to be issued:</w:t>
      </w:r>
    </w:p>
    <w:p w14:paraId="7FD01426" w14:textId="77777777" w:rsidR="00A079F1" w:rsidRDefault="00B73233">
      <w:pPr>
        <w:pStyle w:val="BodyText"/>
        <w:keepNext/>
        <w:keepLines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>(a)</w:t>
      </w:r>
      <w:r>
        <w:rPr>
          <w:rFonts w:ascii="Arial" w:hAnsi="Arial"/>
        </w:rPr>
        <w:tab/>
      </w:r>
      <w:r>
        <w:rPr>
          <w:rFonts w:ascii="Arial" w:hAnsi="Arial"/>
        </w:rPr>
        <w:tab/>
        <w:t>Class:</w:t>
      </w:r>
    </w:p>
    <w:p w14:paraId="7FD01427" w14:textId="77777777" w:rsidR="00A079F1" w:rsidRDefault="00B73233">
      <w:pPr>
        <w:pStyle w:val="BodyText"/>
        <w:keepNext/>
        <w:keepLines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i/>
          <w:iCs/>
        </w:rPr>
        <w:t>Subordinate Voting Shares</w:t>
      </w:r>
      <w:r>
        <w:rPr>
          <w:rFonts w:ascii="Arial" w:hAnsi="Arial"/>
        </w:rPr>
        <w:t>.</w:t>
      </w:r>
    </w:p>
    <w:p w14:paraId="7FD01428" w14:textId="77777777" w:rsidR="00A079F1" w:rsidRDefault="00B73233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 w:cs="Arial"/>
        </w:rPr>
      </w:pPr>
      <w:r>
        <w:rPr>
          <w:rFonts w:ascii="Arial" w:hAnsi="Arial"/>
        </w:rPr>
        <w:tab/>
        <w:t>(b)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Number:  </w:t>
      </w:r>
    </w:p>
    <w:p w14:paraId="7FD01429" w14:textId="77777777" w:rsidR="00A079F1" w:rsidRDefault="00B73233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ind w:left="2160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 total of 630,164 Subordinate Voting Shares are being </w:t>
      </w:r>
      <w:r>
        <w:rPr>
          <w:rFonts w:ascii="Arial" w:hAnsi="Arial" w:cs="Arial"/>
          <w:i/>
          <w:iCs/>
          <w:lang w:val="en-US"/>
        </w:rPr>
        <w:t>issued pursuant to the terms of the Employment Agreements, as further described below.</w:t>
      </w:r>
    </w:p>
    <w:p w14:paraId="7FD0142A" w14:textId="4757EC4C" w:rsidR="00A079F1" w:rsidRDefault="00B73233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ind w:left="2160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With respect to Member 1, the Performance Bonus Shares are 58.621% of 25% of US$14,500,000 (approximately C$</w:t>
      </w:r>
      <w:r w:rsidR="00E5311E">
        <w:rPr>
          <w:rFonts w:ascii="Arial" w:hAnsi="Arial" w:cs="Arial"/>
          <w:i/>
          <w:iCs/>
          <w:lang w:val="en-US"/>
        </w:rPr>
        <w:t>19,267,600</w:t>
      </w:r>
      <w:r>
        <w:rPr>
          <w:rFonts w:ascii="Arial" w:hAnsi="Arial" w:cs="Arial"/>
          <w:i/>
          <w:iCs/>
          <w:lang w:val="en-US"/>
        </w:rPr>
        <w:t>), scheduled to be issued upon the Issuer achieving cer</w:t>
      </w:r>
      <w:r>
        <w:rPr>
          <w:rFonts w:ascii="Arial" w:hAnsi="Arial" w:cs="Arial"/>
          <w:i/>
          <w:iCs/>
          <w:lang w:val="en-US"/>
        </w:rPr>
        <w:t>tain predetermined milestones on the following: (i) the first fiscal quarter of 2021; (ii) the year-to-date from the first day of fiscal year 2021 through the last day of the third fiscal quarter of 2021; (iii) the first fiscal quarter of 2022; (iv) the ye</w:t>
      </w:r>
      <w:r>
        <w:rPr>
          <w:rFonts w:ascii="Arial" w:hAnsi="Arial" w:cs="Arial"/>
          <w:i/>
          <w:iCs/>
          <w:lang w:val="en-US"/>
        </w:rPr>
        <w:t xml:space="preserve">ar-to-date from the first day of </w:t>
      </w:r>
      <w:r>
        <w:rPr>
          <w:rFonts w:ascii="Arial" w:hAnsi="Arial" w:cs="Arial"/>
          <w:i/>
          <w:iCs/>
          <w:lang w:val="en-US"/>
        </w:rPr>
        <w:lastRenderedPageBreak/>
        <w:t xml:space="preserve">fiscal year 2022 through the last day of the third fiscal quarter of 2022. </w:t>
      </w:r>
    </w:p>
    <w:p w14:paraId="7FD0142B" w14:textId="6526F337" w:rsidR="00A079F1" w:rsidRDefault="00B73233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ind w:left="2160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With respect to Member 2, the Performance Bonus Shares are 38.889% of 25% of US$13,500,000 (approximately C$</w:t>
      </w:r>
      <w:r w:rsidR="00D71EB6">
        <w:rPr>
          <w:rFonts w:ascii="Arial" w:hAnsi="Arial" w:cs="Arial"/>
          <w:i/>
          <w:iCs/>
          <w:lang w:val="en-US"/>
        </w:rPr>
        <w:t>17,938,800</w:t>
      </w:r>
      <w:r>
        <w:rPr>
          <w:rFonts w:ascii="Arial" w:hAnsi="Arial" w:cs="Arial"/>
          <w:i/>
          <w:iCs/>
          <w:lang w:val="en-US"/>
        </w:rPr>
        <w:t>), scheduled to be issued upon th</w:t>
      </w:r>
      <w:r>
        <w:rPr>
          <w:rFonts w:ascii="Arial" w:hAnsi="Arial" w:cs="Arial"/>
          <w:i/>
          <w:iCs/>
          <w:lang w:val="en-US"/>
        </w:rPr>
        <w:t>e Issuer achieving certain predetermined milestones on the following: (i) the first fiscal quarter of 2021; (ii) the year-to-date from the first day of fiscal year 2021 through the last day of the third fiscal quarter of 2021; (iii) the first fiscal quarte</w:t>
      </w:r>
      <w:r>
        <w:rPr>
          <w:rFonts w:ascii="Arial" w:hAnsi="Arial" w:cs="Arial"/>
          <w:i/>
          <w:iCs/>
          <w:lang w:val="en-US"/>
        </w:rPr>
        <w:t xml:space="preserve">r of 2022; (iv) the year-to-date from the first day of fiscal year 2022 through the last day of the third fiscal quarter of 2022. </w:t>
      </w:r>
    </w:p>
    <w:p w14:paraId="7FD0142C" w14:textId="77777777" w:rsidR="00A079F1" w:rsidRDefault="00B73233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ind w:left="2160"/>
        <w:rPr>
          <w:rFonts w:ascii="Arial" w:hAnsi="Arial"/>
          <w:i/>
          <w:iCs/>
        </w:rPr>
      </w:pPr>
      <w:r>
        <w:rPr>
          <w:rFonts w:ascii="Arial" w:hAnsi="Arial" w:cs="Arial"/>
          <w:i/>
          <w:iCs/>
          <w:lang w:val="en-US"/>
        </w:rPr>
        <w:t xml:space="preserve">The issuance is for the period of the year-to-date from the first day of fiscal year 2022 through the last day of the </w:t>
      </w:r>
      <w:r>
        <w:rPr>
          <w:rFonts w:ascii="Arial" w:hAnsi="Arial" w:cs="Arial"/>
          <w:i/>
          <w:iCs/>
          <w:lang w:val="en-US"/>
        </w:rPr>
        <w:t>third fiscal quarter of 2022. The previous issuances: (i) for the first fiscal quarter of 2021 was completed pursuant to a Form 9 filed on May 21, 2021; (ii) from the first day of fiscal year 2021 through the last day of the third fiscal quarter of 2021 wa</w:t>
      </w:r>
      <w:r>
        <w:rPr>
          <w:rFonts w:ascii="Arial" w:hAnsi="Arial" w:cs="Arial"/>
          <w:i/>
          <w:iCs/>
          <w:lang w:val="en-US"/>
        </w:rPr>
        <w:t xml:space="preserve">s completed pursuant to a Form 9 filed on October 31, 2021; and (iii) the first fiscal quarter of 2022, which was completed July 4, 2022. </w:t>
      </w:r>
    </w:p>
    <w:p w14:paraId="7FD0142D" w14:textId="77777777" w:rsidR="00A079F1" w:rsidRDefault="00B73233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>(c)</w:t>
      </w:r>
      <w:r>
        <w:rPr>
          <w:rFonts w:ascii="Arial" w:hAnsi="Arial"/>
        </w:rPr>
        <w:tab/>
      </w:r>
      <w:r>
        <w:rPr>
          <w:rFonts w:ascii="Arial" w:hAnsi="Arial"/>
        </w:rPr>
        <w:tab/>
        <w:t>Price per security:</w:t>
      </w:r>
    </w:p>
    <w:p w14:paraId="7FD0142E" w14:textId="77777777" w:rsidR="00A079F1" w:rsidRDefault="00B73233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ind w:left="2160"/>
        <w:rPr>
          <w:rFonts w:ascii="Arial" w:hAnsi="Arial"/>
          <w:b/>
          <w:bCs/>
          <w:i/>
          <w:iCs/>
        </w:rPr>
      </w:pPr>
      <w:r>
        <w:rPr>
          <w:rFonts w:ascii="Arial" w:hAnsi="Arial"/>
          <w:i/>
          <w:iCs/>
          <w:lang w:val="en-US"/>
        </w:rPr>
        <w:t>C$7.40 (the Subordinate Voting Shares were issued in consideration for services provided, a</w:t>
      </w:r>
      <w:r>
        <w:rPr>
          <w:rFonts w:ascii="Arial" w:hAnsi="Arial"/>
          <w:i/>
          <w:iCs/>
          <w:lang w:val="en-US"/>
        </w:rPr>
        <w:t>s such no proceeds were realized by the Issuer).</w:t>
      </w:r>
    </w:p>
    <w:p w14:paraId="7FD0142F" w14:textId="77777777" w:rsidR="00A079F1" w:rsidRDefault="00B73233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>(d)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Voting rights: </w:t>
      </w:r>
    </w:p>
    <w:p w14:paraId="7FD01430" w14:textId="77777777" w:rsidR="00A079F1" w:rsidRDefault="00B73233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i/>
          <w:iCs/>
        </w:rPr>
        <w:t>One vote per Subordinate Voting Share</w:t>
      </w:r>
      <w:r>
        <w:rPr>
          <w:rFonts w:ascii="Arial" w:hAnsi="Arial"/>
        </w:rPr>
        <w:t xml:space="preserve">. </w:t>
      </w:r>
    </w:p>
    <w:p w14:paraId="7FD01431" w14:textId="77777777" w:rsidR="00A079F1" w:rsidRDefault="00B73233">
      <w:pPr>
        <w:pStyle w:val="BodyText"/>
        <w:numPr>
          <w:ilvl w:val="0"/>
          <w:numId w:val="10"/>
        </w:numPr>
        <w:tabs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>Provide the following information if warrants, (options) or other convertible securities are to be issued:</w:t>
      </w:r>
    </w:p>
    <w:p w14:paraId="7FD01432" w14:textId="77777777" w:rsidR="00A079F1" w:rsidRDefault="00B73233">
      <w:pPr>
        <w:pStyle w:val="List"/>
        <w:numPr>
          <w:ilvl w:val="0"/>
          <w:numId w:val="11"/>
        </w:numPr>
        <w:tabs>
          <w:tab w:val="clear" w:pos="2430"/>
          <w:tab w:val="left" w:pos="1440"/>
          <w:tab w:val="left" w:pos="2160"/>
          <w:tab w:val="num" w:pos="2790"/>
          <w:tab w:val="left" w:pos="9180"/>
        </w:tabs>
        <w:ind w:left="2790" w:hanging="1350"/>
        <w:rPr>
          <w:rFonts w:ascii="Arial" w:hAnsi="Arial"/>
        </w:rPr>
      </w:pPr>
      <w:r>
        <w:rPr>
          <w:rFonts w:ascii="Arial" w:hAnsi="Arial"/>
        </w:rPr>
        <w:t xml:space="preserve">Number:  </w:t>
      </w:r>
      <w:r>
        <w:rPr>
          <w:rFonts w:ascii="Arial" w:hAnsi="Arial" w:cs="Arial"/>
          <w:i/>
          <w:iCs/>
        </w:rPr>
        <w:t>N/A</w:t>
      </w:r>
    </w:p>
    <w:p w14:paraId="7FD01433" w14:textId="77777777" w:rsidR="00A079F1" w:rsidRDefault="00B73233">
      <w:pPr>
        <w:pStyle w:val="List"/>
        <w:numPr>
          <w:ilvl w:val="0"/>
          <w:numId w:val="11"/>
        </w:numPr>
        <w:tabs>
          <w:tab w:val="clear" w:pos="2430"/>
          <w:tab w:val="left" w:pos="2160"/>
          <w:tab w:val="num" w:pos="2790"/>
          <w:tab w:val="left" w:pos="9180"/>
        </w:tabs>
        <w:ind w:left="2790" w:hanging="1350"/>
        <w:rPr>
          <w:rFonts w:ascii="Arial" w:hAnsi="Arial"/>
        </w:rPr>
      </w:pPr>
      <w:r>
        <w:rPr>
          <w:rFonts w:ascii="Arial" w:hAnsi="Arial"/>
        </w:rPr>
        <w:t>Number of securities e</w:t>
      </w:r>
      <w:r>
        <w:rPr>
          <w:rFonts w:ascii="Arial" w:hAnsi="Arial"/>
        </w:rPr>
        <w:t xml:space="preserve">ligible to be purchased on exercise of warrants (or options):  </w:t>
      </w:r>
      <w:r>
        <w:rPr>
          <w:rFonts w:ascii="Arial" w:hAnsi="Arial" w:cs="Arial"/>
          <w:i/>
          <w:iCs/>
        </w:rPr>
        <w:t>N/A</w:t>
      </w:r>
    </w:p>
    <w:p w14:paraId="7FD01434" w14:textId="77777777" w:rsidR="00A079F1" w:rsidRDefault="00B73233">
      <w:pPr>
        <w:pStyle w:val="List"/>
        <w:tabs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(c)</w:t>
      </w:r>
      <w:r>
        <w:rPr>
          <w:rFonts w:ascii="Arial" w:hAnsi="Arial"/>
        </w:rPr>
        <w:tab/>
        <w:t xml:space="preserve">Exercise price: </w:t>
      </w:r>
      <w:r>
        <w:rPr>
          <w:rFonts w:ascii="Arial" w:hAnsi="Arial"/>
          <w:i/>
          <w:iCs/>
        </w:rPr>
        <w:t>N/A</w:t>
      </w:r>
    </w:p>
    <w:p w14:paraId="7FD01435" w14:textId="77777777" w:rsidR="00A079F1" w:rsidRDefault="00B73233">
      <w:pPr>
        <w:pStyle w:val="List"/>
        <w:tabs>
          <w:tab w:val="left" w:pos="1440"/>
          <w:tab w:val="left" w:pos="2160"/>
          <w:tab w:val="left" w:pos="3600"/>
          <w:tab w:val="left" w:pos="5040"/>
          <w:tab w:val="left" w:pos="75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(d) </w:t>
      </w:r>
      <w:r>
        <w:rPr>
          <w:rFonts w:ascii="Arial" w:hAnsi="Arial"/>
        </w:rPr>
        <w:tab/>
        <w:t xml:space="preserve">Expiry date: </w:t>
      </w:r>
      <w:r>
        <w:rPr>
          <w:rFonts w:ascii="Arial" w:hAnsi="Arial"/>
          <w:i/>
          <w:iCs/>
        </w:rPr>
        <w:t>N/A</w:t>
      </w:r>
    </w:p>
    <w:p w14:paraId="7FD01436" w14:textId="77777777" w:rsidR="00A079F1" w:rsidRDefault="00B73233">
      <w:pPr>
        <w:pStyle w:val="Heading2"/>
        <w:numPr>
          <w:ilvl w:val="0"/>
          <w:numId w:val="10"/>
        </w:numPr>
        <w:tabs>
          <w:tab w:val="left" w:pos="1440"/>
          <w:tab w:val="left" w:pos="2160"/>
        </w:tabs>
        <w:rPr>
          <w:b w:val="0"/>
          <w:sz w:val="24"/>
        </w:rPr>
      </w:pPr>
      <w:bookmarkStart w:id="0" w:name="_Toc370788682"/>
      <w:bookmarkStart w:id="1" w:name="_Toc398005538"/>
      <w:bookmarkStart w:id="2" w:name="_Toc412279955"/>
      <w:bookmarkStart w:id="3" w:name="_Toc419096451"/>
      <w:r>
        <w:rPr>
          <w:b w:val="0"/>
          <w:sz w:val="24"/>
        </w:rPr>
        <w:t>Provide the following information if debt securities are to be issued:</w:t>
      </w:r>
      <w:bookmarkEnd w:id="0"/>
      <w:bookmarkEnd w:id="1"/>
      <w:bookmarkEnd w:id="2"/>
      <w:bookmarkEnd w:id="3"/>
      <w:r>
        <w:rPr>
          <w:b w:val="0"/>
          <w:sz w:val="24"/>
        </w:rPr>
        <w:t xml:space="preserve">  </w:t>
      </w:r>
    </w:p>
    <w:p w14:paraId="7FD01437" w14:textId="77777777" w:rsidR="00A079F1" w:rsidRDefault="00B73233">
      <w:pPr>
        <w:pStyle w:val="List"/>
        <w:tabs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>(a)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Aggregate principal amount: </w:t>
      </w:r>
      <w:r>
        <w:rPr>
          <w:rFonts w:ascii="Arial" w:hAnsi="Arial"/>
          <w:i/>
          <w:iCs/>
        </w:rPr>
        <w:t>N/A</w:t>
      </w:r>
    </w:p>
    <w:p w14:paraId="7FD01438" w14:textId="77777777" w:rsidR="00A079F1" w:rsidRDefault="00B73233">
      <w:pPr>
        <w:pStyle w:val="List"/>
        <w:tabs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lastRenderedPageBreak/>
        <w:tab/>
        <w:t xml:space="preserve">(b) </w:t>
      </w:r>
      <w:r>
        <w:rPr>
          <w:rFonts w:ascii="Arial" w:hAnsi="Arial"/>
        </w:rPr>
        <w:tab/>
        <w:t xml:space="preserve">Maturity date: </w:t>
      </w:r>
      <w:r>
        <w:rPr>
          <w:rFonts w:ascii="Arial" w:hAnsi="Arial"/>
          <w:i/>
          <w:iCs/>
        </w:rPr>
        <w:t>N/A</w:t>
      </w:r>
    </w:p>
    <w:p w14:paraId="7FD01439" w14:textId="77777777" w:rsidR="00A079F1" w:rsidRDefault="00B73233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 xml:space="preserve">(c)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Interest rate: </w:t>
      </w:r>
      <w:r>
        <w:rPr>
          <w:rFonts w:ascii="Arial" w:hAnsi="Arial"/>
          <w:i/>
          <w:iCs/>
        </w:rPr>
        <w:t>N/A</w:t>
      </w:r>
    </w:p>
    <w:p w14:paraId="7FD0143A" w14:textId="77777777" w:rsidR="00A079F1" w:rsidRDefault="00B73233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 xml:space="preserve">(d) </w:t>
      </w:r>
      <w:r>
        <w:rPr>
          <w:rFonts w:ascii="Arial" w:hAnsi="Arial"/>
        </w:rPr>
        <w:tab/>
        <w:t xml:space="preserve">Conversion terms: </w:t>
      </w:r>
      <w:r>
        <w:rPr>
          <w:rFonts w:ascii="Arial" w:hAnsi="Arial"/>
          <w:i/>
          <w:iCs/>
        </w:rPr>
        <w:t>N/A</w:t>
      </w:r>
    </w:p>
    <w:p w14:paraId="7FD0143B" w14:textId="77777777" w:rsidR="00A079F1" w:rsidRDefault="00B73233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 xml:space="preserve">(e) </w:t>
      </w:r>
      <w:r>
        <w:rPr>
          <w:rFonts w:ascii="Arial" w:hAnsi="Arial"/>
        </w:rPr>
        <w:tab/>
        <w:t xml:space="preserve">Default provisions: </w:t>
      </w:r>
      <w:r>
        <w:rPr>
          <w:rFonts w:ascii="Arial" w:hAnsi="Arial"/>
          <w:i/>
          <w:iCs/>
        </w:rPr>
        <w:t xml:space="preserve">N/A </w:t>
      </w:r>
    </w:p>
    <w:p w14:paraId="7FD0143C" w14:textId="77777777" w:rsidR="00A079F1" w:rsidRDefault="00B73233">
      <w:pPr>
        <w:pStyle w:val="List"/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Provide the following information for any agent’s fee, commission, bonus or finder’s fee, or other compensation paid or to be paid in connection with the placement (including warrants, options, etc.):  </w:t>
      </w:r>
      <w:r>
        <w:rPr>
          <w:rFonts w:ascii="Arial" w:hAnsi="Arial"/>
          <w:b/>
        </w:rPr>
        <w:t xml:space="preserve"> </w:t>
      </w:r>
    </w:p>
    <w:p w14:paraId="7FD0143D" w14:textId="77777777" w:rsidR="00A079F1" w:rsidRDefault="00B73233">
      <w:pPr>
        <w:pStyle w:val="List"/>
        <w:numPr>
          <w:ilvl w:val="0"/>
          <w:numId w:val="21"/>
        </w:numPr>
        <w:tabs>
          <w:tab w:val="left" w:pos="2160"/>
          <w:tab w:val="left" w:pos="918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Details of any dealer, agent, </w:t>
      </w:r>
      <w:proofErr w:type="gramStart"/>
      <w:r>
        <w:rPr>
          <w:rFonts w:ascii="Arial" w:hAnsi="Arial"/>
        </w:rPr>
        <w:t>broker</w:t>
      </w:r>
      <w:proofErr w:type="gramEnd"/>
      <w:r>
        <w:rPr>
          <w:rFonts w:ascii="Arial" w:hAnsi="Arial"/>
        </w:rPr>
        <w:t xml:space="preserve"> or other person</w:t>
      </w:r>
      <w:r>
        <w:rPr>
          <w:rFonts w:ascii="Arial" w:hAnsi="Arial"/>
        </w:rPr>
        <w:t xml:space="preserve"> receiving compensation in connection with the placement (name, and if a corporation, identify persons owning or exercising voting control over 20% or more of the voting shares if known to the Issuer): </w:t>
      </w:r>
      <w:r>
        <w:rPr>
          <w:rFonts w:ascii="Arial" w:hAnsi="Arial"/>
          <w:i/>
          <w:iCs/>
        </w:rPr>
        <w:t>N/A</w:t>
      </w:r>
    </w:p>
    <w:p w14:paraId="7FD0143E" w14:textId="77777777" w:rsidR="00A079F1" w:rsidRDefault="00B73233">
      <w:pPr>
        <w:pStyle w:val="List"/>
        <w:tabs>
          <w:tab w:val="left" w:pos="2160"/>
          <w:tab w:val="left" w:pos="9180"/>
        </w:tabs>
        <w:ind w:left="2160"/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  <w:t xml:space="preserve">Cash:  </w:t>
      </w:r>
      <w:r>
        <w:rPr>
          <w:rFonts w:ascii="Arial" w:hAnsi="Arial"/>
          <w:i/>
          <w:iCs/>
        </w:rPr>
        <w:t>N/A</w:t>
      </w:r>
    </w:p>
    <w:p w14:paraId="7FD0143F" w14:textId="77777777" w:rsidR="00A079F1" w:rsidRDefault="00B73233">
      <w:pPr>
        <w:pStyle w:val="List"/>
        <w:tabs>
          <w:tab w:val="left" w:pos="2160"/>
          <w:tab w:val="left" w:pos="9180"/>
        </w:tabs>
        <w:ind w:left="2160"/>
        <w:rPr>
          <w:rFonts w:ascii="Arial" w:hAnsi="Arial"/>
        </w:rPr>
      </w:pPr>
      <w:r>
        <w:rPr>
          <w:rFonts w:ascii="Arial" w:hAnsi="Arial"/>
        </w:rPr>
        <w:t>(c)</w:t>
      </w:r>
      <w:r>
        <w:rPr>
          <w:rFonts w:ascii="Arial" w:hAnsi="Arial"/>
        </w:rPr>
        <w:tab/>
        <w:t xml:space="preserve">Securities: </w:t>
      </w:r>
      <w:r>
        <w:rPr>
          <w:rFonts w:ascii="Arial" w:hAnsi="Arial"/>
          <w:i/>
          <w:iCs/>
        </w:rPr>
        <w:t>N/A</w:t>
      </w:r>
    </w:p>
    <w:p w14:paraId="7FD01440" w14:textId="77777777" w:rsidR="00A079F1" w:rsidRDefault="00B73233">
      <w:pPr>
        <w:pStyle w:val="List"/>
        <w:tabs>
          <w:tab w:val="left" w:pos="2160"/>
          <w:tab w:val="left" w:pos="9180"/>
        </w:tabs>
        <w:ind w:left="2160"/>
        <w:rPr>
          <w:rFonts w:ascii="Arial" w:hAnsi="Arial"/>
        </w:rPr>
      </w:pPr>
      <w:r>
        <w:rPr>
          <w:rFonts w:ascii="Arial" w:hAnsi="Arial"/>
        </w:rPr>
        <w:t>(d)</w:t>
      </w:r>
      <w:r>
        <w:rPr>
          <w:rFonts w:ascii="Arial" w:hAnsi="Arial"/>
        </w:rPr>
        <w:tab/>
        <w:t>Other:</w:t>
      </w:r>
      <w:r>
        <w:rPr>
          <w:rFonts w:ascii="Arial" w:hAnsi="Arial"/>
          <w:i/>
          <w:iCs/>
        </w:rPr>
        <w:t xml:space="preserve"> N/A</w:t>
      </w:r>
    </w:p>
    <w:p w14:paraId="7FD01441" w14:textId="77777777" w:rsidR="00A079F1" w:rsidRDefault="00B73233">
      <w:pPr>
        <w:pStyle w:val="List"/>
        <w:tabs>
          <w:tab w:val="left" w:pos="2160"/>
          <w:tab w:val="left" w:pos="9180"/>
        </w:tabs>
        <w:ind w:left="2160"/>
        <w:rPr>
          <w:rFonts w:ascii="Arial" w:hAnsi="Arial"/>
        </w:rPr>
      </w:pPr>
      <w:r>
        <w:rPr>
          <w:rFonts w:ascii="Arial" w:hAnsi="Arial"/>
        </w:rPr>
        <w:t>(e)</w:t>
      </w:r>
      <w:r>
        <w:rPr>
          <w:rFonts w:ascii="Arial" w:hAnsi="Arial"/>
        </w:rPr>
        <w:tab/>
        <w:t xml:space="preserve">Expiry date of any options, warrants etc.: </w:t>
      </w:r>
      <w:r>
        <w:rPr>
          <w:rFonts w:ascii="Arial" w:hAnsi="Arial"/>
          <w:i/>
          <w:iCs/>
        </w:rPr>
        <w:t>N/A</w:t>
      </w:r>
    </w:p>
    <w:p w14:paraId="7FD01442" w14:textId="77777777" w:rsidR="00A079F1" w:rsidRDefault="00B73233">
      <w:pPr>
        <w:pStyle w:val="List"/>
        <w:tabs>
          <w:tab w:val="num" w:pos="1080"/>
          <w:tab w:val="left" w:pos="2160"/>
          <w:tab w:val="left" w:pos="9180"/>
        </w:tabs>
        <w:ind w:left="2160"/>
        <w:rPr>
          <w:rFonts w:ascii="Arial" w:hAnsi="Arial"/>
        </w:rPr>
      </w:pPr>
      <w:r>
        <w:rPr>
          <w:rFonts w:ascii="Arial" w:hAnsi="Arial"/>
        </w:rPr>
        <w:t>(f)</w:t>
      </w:r>
      <w:r>
        <w:rPr>
          <w:rFonts w:ascii="Arial" w:hAnsi="Arial"/>
        </w:rPr>
        <w:tab/>
        <w:t xml:space="preserve">Exercise price of any options, warrants etc.: </w:t>
      </w:r>
      <w:r>
        <w:rPr>
          <w:rFonts w:ascii="Arial" w:hAnsi="Arial"/>
          <w:i/>
          <w:iCs/>
        </w:rPr>
        <w:t>N/A</w:t>
      </w:r>
    </w:p>
    <w:p w14:paraId="7FD01443" w14:textId="77777777" w:rsidR="00A079F1" w:rsidRDefault="00B73233">
      <w:pPr>
        <w:pStyle w:val="List"/>
        <w:numPr>
          <w:ilvl w:val="0"/>
          <w:numId w:val="10"/>
        </w:numPr>
        <w:tabs>
          <w:tab w:val="left" w:pos="1080"/>
          <w:tab w:val="left" w:pos="9180"/>
        </w:tabs>
        <w:ind w:left="990"/>
        <w:jc w:val="both"/>
        <w:rPr>
          <w:rFonts w:ascii="Arial" w:hAnsi="Arial"/>
        </w:rPr>
      </w:pPr>
      <w:r>
        <w:rPr>
          <w:rFonts w:ascii="Arial" w:hAnsi="Arial"/>
        </w:rPr>
        <w:t xml:space="preserve">State whether the sales agent, broker, </w:t>
      </w:r>
      <w:proofErr w:type="gramStart"/>
      <w:r>
        <w:rPr>
          <w:rFonts w:ascii="Arial" w:hAnsi="Arial"/>
        </w:rPr>
        <w:t>dealer</w:t>
      </w:r>
      <w:proofErr w:type="gramEnd"/>
      <w:r>
        <w:rPr>
          <w:rFonts w:ascii="Arial" w:hAnsi="Arial"/>
        </w:rPr>
        <w:t xml:space="preserve"> or other person receiving compensation in connection with the placement is Related Person or has any othe</w:t>
      </w:r>
      <w:r>
        <w:rPr>
          <w:rFonts w:ascii="Arial" w:hAnsi="Arial"/>
        </w:rPr>
        <w:t xml:space="preserve">r relationship with the Issuer and provide details of the relationship  </w:t>
      </w:r>
    </w:p>
    <w:p w14:paraId="7FD01444" w14:textId="77777777" w:rsidR="00A079F1" w:rsidRDefault="00B73233">
      <w:pPr>
        <w:pStyle w:val="List"/>
        <w:tabs>
          <w:tab w:val="left" w:pos="9180"/>
        </w:tabs>
        <w:ind w:left="990" w:firstLine="0"/>
        <w:jc w:val="both"/>
        <w:rPr>
          <w:rFonts w:ascii="Arial" w:hAnsi="Arial"/>
        </w:rPr>
      </w:pPr>
      <w:r>
        <w:rPr>
          <w:rFonts w:ascii="Arial" w:hAnsi="Arial"/>
          <w:i/>
          <w:iCs/>
        </w:rPr>
        <w:t>N/A</w:t>
      </w:r>
      <w:r>
        <w:rPr>
          <w:rFonts w:ascii="Arial" w:hAnsi="Arial"/>
          <w:b/>
        </w:rPr>
        <w:t xml:space="preserve"> </w:t>
      </w:r>
    </w:p>
    <w:p w14:paraId="7FD01445" w14:textId="77777777" w:rsidR="00A079F1" w:rsidRDefault="00B73233">
      <w:pPr>
        <w:pStyle w:val="List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Describe any unusual particulars of the transaction (</w:t>
      </w:r>
      <w:proofErr w:type="gramStart"/>
      <w:r>
        <w:rPr>
          <w:rFonts w:ascii="Arial" w:hAnsi="Arial"/>
        </w:rPr>
        <w:t>i.e.</w:t>
      </w:r>
      <w:proofErr w:type="gramEnd"/>
      <w:r>
        <w:rPr>
          <w:rFonts w:ascii="Arial" w:hAnsi="Arial"/>
        </w:rPr>
        <w:t xml:space="preserve"> tax “flow through” shares, etc.).</w:t>
      </w:r>
    </w:p>
    <w:p w14:paraId="7FD01446" w14:textId="77777777" w:rsidR="00A079F1" w:rsidRDefault="00B73233">
      <w:pPr>
        <w:pStyle w:val="List"/>
        <w:tabs>
          <w:tab w:val="left" w:pos="1080"/>
          <w:tab w:val="left" w:pos="9180"/>
        </w:tabs>
        <w:ind w:firstLine="0"/>
        <w:jc w:val="both"/>
        <w:rPr>
          <w:rFonts w:ascii="Arial" w:hAnsi="Arial"/>
        </w:rPr>
      </w:pPr>
      <w:r>
        <w:rPr>
          <w:rFonts w:ascii="Arial" w:hAnsi="Arial"/>
          <w:i/>
          <w:iCs/>
        </w:rPr>
        <w:t>N/A</w:t>
      </w:r>
      <w:r>
        <w:rPr>
          <w:rFonts w:ascii="Arial" w:hAnsi="Arial"/>
        </w:rPr>
        <w:t xml:space="preserve"> </w:t>
      </w:r>
    </w:p>
    <w:p w14:paraId="7FD01447" w14:textId="77777777" w:rsidR="00A079F1" w:rsidRDefault="00B73233">
      <w:pPr>
        <w:pStyle w:val="List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State whether the private placement will result in a change of control.</w:t>
      </w:r>
    </w:p>
    <w:p w14:paraId="7FD01448" w14:textId="77777777" w:rsidR="00A079F1" w:rsidRDefault="00B73233">
      <w:pPr>
        <w:pStyle w:val="List"/>
        <w:tabs>
          <w:tab w:val="left" w:pos="1080"/>
          <w:tab w:val="left" w:pos="9180"/>
        </w:tabs>
        <w:ind w:firstLine="0"/>
        <w:jc w:val="both"/>
        <w:rPr>
          <w:rFonts w:ascii="Arial" w:hAnsi="Arial"/>
        </w:rPr>
      </w:pPr>
      <w:r>
        <w:rPr>
          <w:rFonts w:ascii="Arial" w:hAnsi="Arial"/>
          <w:i/>
          <w:iCs/>
        </w:rPr>
        <w:t>N/A</w:t>
      </w:r>
    </w:p>
    <w:p w14:paraId="7FD01449" w14:textId="77777777" w:rsidR="00A079F1" w:rsidRDefault="00A079F1">
      <w:pPr>
        <w:pStyle w:val="List"/>
        <w:tabs>
          <w:tab w:val="left" w:pos="9180"/>
        </w:tabs>
        <w:spacing w:before="0"/>
        <w:jc w:val="both"/>
        <w:rPr>
          <w:rFonts w:ascii="Arial" w:hAnsi="Arial"/>
        </w:rPr>
      </w:pPr>
    </w:p>
    <w:p w14:paraId="7FD0144A" w14:textId="77777777" w:rsidR="00A079F1" w:rsidRDefault="00B73233">
      <w:pPr>
        <w:pStyle w:val="List"/>
        <w:numPr>
          <w:ilvl w:val="0"/>
          <w:numId w:val="10"/>
        </w:numPr>
        <w:tabs>
          <w:tab w:val="left" w:pos="9180"/>
        </w:tabs>
        <w:spacing w:before="0"/>
        <w:jc w:val="both"/>
        <w:rPr>
          <w:rFonts w:ascii="Arial" w:hAnsi="Arial"/>
          <w:u w:val="single"/>
        </w:rPr>
      </w:pPr>
      <w:r>
        <w:rPr>
          <w:rFonts w:ascii="Arial" w:hAnsi="Arial"/>
        </w:rPr>
        <w:t>Wher</w:t>
      </w:r>
      <w:r>
        <w:rPr>
          <w:rFonts w:ascii="Arial" w:hAnsi="Arial"/>
        </w:rPr>
        <w:t xml:space="preserve">e there is a change in the control of the Issuer resulting from the issuance of the private placement shares, indicate the names of the new controlling shareholders.  </w:t>
      </w:r>
      <w:r>
        <w:rPr>
          <w:rFonts w:ascii="Arial" w:hAnsi="Arial"/>
          <w:i/>
          <w:iCs/>
        </w:rPr>
        <w:t>N/A</w:t>
      </w:r>
    </w:p>
    <w:p w14:paraId="7FD0144B" w14:textId="77777777" w:rsidR="00A079F1" w:rsidRDefault="00A079F1">
      <w:pPr>
        <w:pStyle w:val="List"/>
        <w:tabs>
          <w:tab w:val="left" w:pos="1080"/>
          <w:tab w:val="left" w:pos="9180"/>
        </w:tabs>
        <w:spacing w:before="0"/>
        <w:ind w:left="0" w:firstLine="0"/>
        <w:jc w:val="both"/>
        <w:rPr>
          <w:rFonts w:ascii="Arial" w:hAnsi="Arial"/>
        </w:rPr>
      </w:pPr>
    </w:p>
    <w:p w14:paraId="7FD0144C" w14:textId="77777777" w:rsidR="00A079F1" w:rsidRDefault="00B73233">
      <w:pPr>
        <w:pStyle w:val="List"/>
        <w:numPr>
          <w:ilvl w:val="0"/>
          <w:numId w:val="10"/>
        </w:numPr>
        <w:jc w:val="both"/>
        <w:rPr>
          <w:rFonts w:ascii="Arial" w:hAnsi="Arial"/>
          <w:color w:val="000000"/>
        </w:rPr>
      </w:pPr>
      <w:r>
        <w:rPr>
          <w:rFonts w:ascii="Arial" w:hAnsi="Arial"/>
        </w:rPr>
        <w:lastRenderedPageBreak/>
        <w:t>Each purchaser has been advised of the applicable securities legislation restricted or seasoning period.  All certificates for securities issued which are subject to a hold period bear the appropriate legend restricting their transfer until the expiry of t</w:t>
      </w:r>
      <w:r>
        <w:rPr>
          <w:rFonts w:ascii="Arial" w:hAnsi="Arial"/>
        </w:rPr>
        <w:t xml:space="preserve">he applicable hold period required by National Instrument 45-102 Resale of Securities. </w:t>
      </w:r>
      <w:r>
        <w:rPr>
          <w:rFonts w:ascii="Arial" w:hAnsi="Arial"/>
          <w:i/>
          <w:iCs/>
        </w:rPr>
        <w:t>Yes.</w:t>
      </w:r>
    </w:p>
    <w:p w14:paraId="7FD0144D" w14:textId="77777777" w:rsidR="00A079F1" w:rsidRDefault="00A079F1">
      <w:pPr>
        <w:pStyle w:val="ListParagraph"/>
        <w:rPr>
          <w:rFonts w:ascii="Arial" w:hAnsi="Arial"/>
          <w:b/>
          <w:color w:val="000000"/>
        </w:rPr>
      </w:pPr>
    </w:p>
    <w:p w14:paraId="7FD0144E" w14:textId="77777777" w:rsidR="00A079F1" w:rsidRDefault="00A079F1">
      <w:pPr>
        <w:pStyle w:val="List"/>
        <w:tabs>
          <w:tab w:val="left" w:pos="9180"/>
        </w:tabs>
        <w:spacing w:before="0"/>
        <w:jc w:val="both"/>
        <w:rPr>
          <w:rFonts w:ascii="Arial" w:hAnsi="Arial"/>
          <w:color w:val="000000"/>
        </w:rPr>
      </w:pPr>
    </w:p>
    <w:p w14:paraId="7FD0144F" w14:textId="77777777" w:rsidR="00A079F1" w:rsidRDefault="00B73233">
      <w:pPr>
        <w:pStyle w:val="List"/>
        <w:tabs>
          <w:tab w:val="left" w:pos="1080"/>
        </w:tabs>
        <w:ind w:left="0" w:firstLine="0"/>
        <w:rPr>
          <w:rFonts w:ascii="Arial" w:hAnsi="Arial"/>
        </w:rPr>
      </w:pPr>
      <w:r>
        <w:rPr>
          <w:rFonts w:ascii="Arial" w:hAnsi="Arial"/>
          <w:b/>
        </w:rPr>
        <w:t>Certificate Of Compliance</w:t>
      </w:r>
    </w:p>
    <w:p w14:paraId="7FD01450" w14:textId="77777777" w:rsidR="00A079F1" w:rsidRDefault="00B73233">
      <w:pPr>
        <w:pStyle w:val="BodyText"/>
        <w:rPr>
          <w:rFonts w:ascii="Arial" w:hAnsi="Arial"/>
        </w:rPr>
      </w:pPr>
      <w:r>
        <w:rPr>
          <w:rFonts w:ascii="Arial" w:hAnsi="Arial"/>
        </w:rPr>
        <w:t>The undersigned hereby certifies that:</w:t>
      </w:r>
    </w:p>
    <w:p w14:paraId="7FD01451" w14:textId="77777777" w:rsidR="00A079F1" w:rsidRDefault="00B73233">
      <w:pPr>
        <w:pStyle w:val="List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The undersigned is a director and/or senior officer of the Issuer and has been duly authorized</w:t>
      </w:r>
      <w:r>
        <w:rPr>
          <w:rFonts w:ascii="Arial" w:hAnsi="Arial"/>
        </w:rPr>
        <w:t xml:space="preserve"> by a resolution of the board of directors of the Issuer to sign this Certificate of Compliance on behalf of the Issuer.</w:t>
      </w:r>
    </w:p>
    <w:p w14:paraId="7FD01452" w14:textId="77777777" w:rsidR="00A079F1" w:rsidRDefault="00B73233">
      <w:pPr>
        <w:pStyle w:val="List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As of the date hereof there is not material information concerning the Issuer which has not been publicly disclosed.</w:t>
      </w:r>
    </w:p>
    <w:p w14:paraId="7FD01453" w14:textId="77777777" w:rsidR="00A079F1" w:rsidRDefault="00A079F1">
      <w:pPr>
        <w:pStyle w:val="List"/>
        <w:ind w:firstLine="0"/>
        <w:jc w:val="both"/>
        <w:rPr>
          <w:rFonts w:ascii="Arial" w:hAnsi="Arial"/>
        </w:rPr>
      </w:pPr>
    </w:p>
    <w:p w14:paraId="7FD01454" w14:textId="77777777" w:rsidR="00A079F1" w:rsidRDefault="00B7323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Issuer has ob</w:t>
      </w:r>
      <w:r>
        <w:rPr>
          <w:rFonts w:ascii="Arial" w:hAnsi="Arial" w:cs="Arial"/>
          <w:sz w:val="24"/>
          <w:szCs w:val="24"/>
        </w:rPr>
        <w:t>tained the express written consent of each applicable individual to:</w:t>
      </w:r>
    </w:p>
    <w:p w14:paraId="7FD01455" w14:textId="77777777" w:rsidR="00A079F1" w:rsidRDefault="00A079F1">
      <w:pPr>
        <w:pStyle w:val="ListParagraph"/>
        <w:rPr>
          <w:rFonts w:ascii="Arial" w:hAnsi="Arial" w:cs="Arial"/>
          <w:sz w:val="24"/>
          <w:szCs w:val="24"/>
        </w:rPr>
      </w:pPr>
    </w:p>
    <w:p w14:paraId="7FD01456" w14:textId="77777777" w:rsidR="00A079F1" w:rsidRDefault="00B73233">
      <w:pPr>
        <w:pStyle w:val="ListParagraph"/>
        <w:ind w:left="144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  <w:t>the disclosure of their information to the Exchange pursuant to this Form or otherwise pursuant to this filing; and</w:t>
      </w:r>
    </w:p>
    <w:p w14:paraId="7FD01457" w14:textId="77777777" w:rsidR="00A079F1" w:rsidRDefault="00B73233">
      <w:pPr>
        <w:pStyle w:val="List"/>
        <w:ind w:left="1440" w:hanging="360"/>
        <w:jc w:val="both"/>
        <w:rPr>
          <w:rFonts w:ascii="Arial" w:hAnsi="Arial"/>
        </w:rPr>
      </w:pPr>
      <w:r>
        <w:rPr>
          <w:rFonts w:ascii="Arial" w:hAnsi="Arial" w:cs="Arial"/>
          <w:szCs w:val="24"/>
        </w:rPr>
        <w:t>(b)</w:t>
      </w:r>
      <w:r>
        <w:rPr>
          <w:rFonts w:ascii="Arial" w:hAnsi="Arial" w:cs="Arial"/>
          <w:szCs w:val="24"/>
        </w:rPr>
        <w:tab/>
        <w:t xml:space="preserve">the collection, use and disclosure of their </w:t>
      </w:r>
      <w:r>
        <w:rPr>
          <w:rFonts w:ascii="Arial" w:hAnsi="Arial" w:cs="Arial"/>
          <w:szCs w:val="24"/>
        </w:rPr>
        <w:t>information by the Exchange in the manner and for the purposes described in Appendix A or as otherwise identified by the Exchange, from time to time</w:t>
      </w:r>
    </w:p>
    <w:p w14:paraId="7FD01458" w14:textId="77777777" w:rsidR="00A079F1" w:rsidRDefault="00B73233">
      <w:pPr>
        <w:pStyle w:val="List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The undersigned hereby certifies to the Exchange that the Issuer </w:t>
      </w:r>
      <w:proofErr w:type="gramStart"/>
      <w:r>
        <w:rPr>
          <w:rFonts w:ascii="Arial" w:hAnsi="Arial"/>
        </w:rPr>
        <w:t>is in compliance with</w:t>
      </w:r>
      <w:proofErr w:type="gramEnd"/>
      <w:r>
        <w:rPr>
          <w:rFonts w:ascii="Arial" w:hAnsi="Arial"/>
        </w:rPr>
        <w:t xml:space="preserve"> the requirements of </w:t>
      </w:r>
      <w:r>
        <w:rPr>
          <w:rFonts w:ascii="Arial" w:hAnsi="Arial"/>
        </w:rPr>
        <w:t>applicable securities legislation (as such term is defined in National Instrument 14-101) and all Exchange Requirements (as defined in CSE Policy 1).</w:t>
      </w:r>
    </w:p>
    <w:p w14:paraId="7FD01459" w14:textId="77777777" w:rsidR="00A079F1" w:rsidRDefault="00B73233">
      <w:pPr>
        <w:pStyle w:val="List"/>
        <w:keepNext/>
        <w:numPr>
          <w:ilvl w:val="0"/>
          <w:numId w:val="7"/>
        </w:num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lastRenderedPageBreak/>
        <w:t>All of</w:t>
      </w:r>
      <w:proofErr w:type="gramEnd"/>
      <w:r>
        <w:rPr>
          <w:rFonts w:ascii="Arial" w:hAnsi="Arial"/>
        </w:rPr>
        <w:t xml:space="preserve"> the information in this Form 9 Notice of Issuance of Securities is true.</w:t>
      </w:r>
    </w:p>
    <w:p w14:paraId="7FD0145A" w14:textId="77777777" w:rsidR="00A079F1" w:rsidRDefault="00B73233">
      <w:pPr>
        <w:pStyle w:val="BodyText"/>
        <w:keepNext/>
        <w:tabs>
          <w:tab w:val="left" w:pos="4680"/>
          <w:tab w:val="left" w:pos="7200"/>
        </w:tabs>
        <w:spacing w:before="480"/>
        <w:jc w:val="both"/>
        <w:rPr>
          <w:rFonts w:ascii="Arial" w:hAnsi="Arial"/>
        </w:rPr>
      </w:pPr>
      <w:r>
        <w:rPr>
          <w:rFonts w:ascii="Arial" w:hAnsi="Arial"/>
        </w:rPr>
        <w:t xml:space="preserve">Dated November 15, </w:t>
      </w:r>
      <w:r>
        <w:rPr>
          <w:rFonts w:ascii="Arial" w:hAnsi="Arial"/>
        </w:rPr>
        <w:t>2022.</w:t>
      </w:r>
    </w:p>
    <w:p w14:paraId="7FD0145B" w14:textId="77777777" w:rsidR="00A079F1" w:rsidRDefault="00B73233">
      <w:pPr>
        <w:pStyle w:val="List"/>
        <w:keepNext/>
        <w:tabs>
          <w:tab w:val="left" w:pos="9180"/>
        </w:tabs>
        <w:ind w:left="5760" w:hanging="5760"/>
        <w:rPr>
          <w:rFonts w:ascii="Arial" w:hAnsi="Arial"/>
        </w:rPr>
      </w:pPr>
      <w:r>
        <w:rPr>
          <w:rFonts w:ascii="Arial" w:hAnsi="Arial"/>
        </w:rPr>
        <w:tab/>
        <w:t>Darren Weiss</w:t>
      </w:r>
      <w:r>
        <w:rPr>
          <w:rFonts w:ascii="Arial" w:hAnsi="Arial"/>
          <w:u w:val="single"/>
        </w:rPr>
        <w:br/>
      </w:r>
      <w:r>
        <w:rPr>
          <w:rFonts w:ascii="Arial" w:hAnsi="Arial"/>
        </w:rPr>
        <w:t>Name of Director or Senior Officer</w:t>
      </w:r>
    </w:p>
    <w:p w14:paraId="7FD0145C" w14:textId="77777777" w:rsidR="00A079F1" w:rsidRDefault="00B73233">
      <w:pPr>
        <w:pStyle w:val="List"/>
        <w:keepNext/>
        <w:tabs>
          <w:tab w:val="left" w:pos="9180"/>
          <w:tab w:val="left" w:pos="9360"/>
        </w:tabs>
        <w:ind w:left="5760" w:hanging="57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  <w:iCs/>
        </w:rPr>
        <w:t>“Darren Weiss”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br/>
        <w:t>Signature</w:t>
      </w:r>
    </w:p>
    <w:p w14:paraId="7FD0145D" w14:textId="77777777" w:rsidR="00A079F1" w:rsidRDefault="00B73233">
      <w:pPr>
        <w:pStyle w:val="List"/>
        <w:keepNext/>
        <w:tabs>
          <w:tab w:val="left" w:pos="9180"/>
          <w:tab w:val="left" w:pos="9360"/>
        </w:tabs>
        <w:ind w:left="5760" w:hanging="5760"/>
        <w:rPr>
          <w:rFonts w:ascii="Arial" w:hAnsi="Arial"/>
        </w:rPr>
      </w:pPr>
      <w:r>
        <w:rPr>
          <w:rFonts w:ascii="Arial" w:hAnsi="Arial"/>
        </w:rPr>
        <w:tab/>
        <w:t xml:space="preserve">Chief Operating Officer and General Counsel </w:t>
      </w:r>
      <w:r>
        <w:rPr>
          <w:rFonts w:ascii="Arial" w:hAnsi="Arial"/>
        </w:rPr>
        <w:br/>
        <w:t>Official Capacity</w:t>
      </w:r>
    </w:p>
    <w:p w14:paraId="7FD0145E" w14:textId="77777777" w:rsidR="00A079F1" w:rsidRDefault="00B73233">
      <w:pPr>
        <w:keepNext/>
        <w:rPr>
          <w:rFonts w:ascii="Arial" w:hAnsi="Arial"/>
          <w:sz w:val="24"/>
          <w:lang w:val="en-GB"/>
        </w:rPr>
      </w:pPr>
      <w:r>
        <w:rPr>
          <w:rFonts w:ascii="Arial" w:hAnsi="Arial"/>
        </w:rPr>
        <w:br w:type="page"/>
      </w:r>
    </w:p>
    <w:p w14:paraId="7FD0145F" w14:textId="77777777" w:rsidR="00A079F1" w:rsidRDefault="00A079F1">
      <w:pPr>
        <w:pStyle w:val="List"/>
        <w:tabs>
          <w:tab w:val="left" w:pos="9180"/>
          <w:tab w:val="left" w:pos="9360"/>
        </w:tabs>
        <w:ind w:left="5760" w:hanging="5760"/>
        <w:rPr>
          <w:rFonts w:ascii="Arial" w:hAnsi="Arial"/>
        </w:rPr>
      </w:pPr>
    </w:p>
    <w:p w14:paraId="7FD01460" w14:textId="77777777" w:rsidR="00A079F1" w:rsidRDefault="00B73233">
      <w:pPr>
        <w:spacing w:before="120"/>
        <w:ind w:left="72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Appendix A</w:t>
      </w:r>
    </w:p>
    <w:p w14:paraId="7FD01461" w14:textId="77777777" w:rsidR="00A079F1" w:rsidRDefault="00B73233">
      <w:pPr>
        <w:spacing w:before="120"/>
        <w:ind w:left="72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PERSONAL INFORMATION COLLECTION POLICY REGARDING FORM 9</w:t>
      </w:r>
    </w:p>
    <w:p w14:paraId="7FD01462" w14:textId="77777777" w:rsidR="00A079F1" w:rsidRDefault="00B73233">
      <w:pPr>
        <w:spacing w:before="120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Canadian Securities Exchange and its</w:t>
      </w:r>
      <w:r>
        <w:rPr>
          <w:rFonts w:ascii="Arial" w:eastAsia="Calibri" w:hAnsi="Arial" w:cs="Arial"/>
          <w:sz w:val="24"/>
          <w:szCs w:val="24"/>
        </w:rPr>
        <w:t xml:space="preserve"> subsidiaries, affiliates, </w:t>
      </w:r>
      <w:proofErr w:type="gramStart"/>
      <w:r>
        <w:rPr>
          <w:rFonts w:ascii="Arial" w:eastAsia="Calibri" w:hAnsi="Arial" w:cs="Arial"/>
          <w:sz w:val="24"/>
          <w:szCs w:val="24"/>
        </w:rPr>
        <w:t>regulators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and agents (collectively, “CSE or the “Exchange”) collect and use the information (which may include personal or other information) which has been provided in Form 9 for the following purposes:</w:t>
      </w:r>
    </w:p>
    <w:p w14:paraId="7FD01463" w14:textId="77777777" w:rsidR="00A079F1" w:rsidRDefault="00B73233">
      <w:pPr>
        <w:spacing w:before="120"/>
        <w:ind w:left="1854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•</w:t>
      </w:r>
      <w:r>
        <w:rPr>
          <w:rFonts w:ascii="Arial" w:eastAsia="Calibri" w:hAnsi="Arial" w:cs="Arial"/>
          <w:sz w:val="24"/>
          <w:szCs w:val="24"/>
        </w:rPr>
        <w:tab/>
        <w:t>To determine whether a</w:t>
      </w:r>
      <w:r>
        <w:rPr>
          <w:rFonts w:ascii="Arial" w:eastAsia="Calibri" w:hAnsi="Arial" w:cs="Arial"/>
          <w:sz w:val="24"/>
          <w:szCs w:val="24"/>
        </w:rPr>
        <w:t>n individual is suitable to be associated with a Listed Issuer;</w:t>
      </w:r>
    </w:p>
    <w:p w14:paraId="7FD01464" w14:textId="77777777" w:rsidR="00A079F1" w:rsidRDefault="00B73233">
      <w:pPr>
        <w:spacing w:before="120"/>
        <w:ind w:left="1854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•</w:t>
      </w:r>
      <w:r>
        <w:rPr>
          <w:rFonts w:ascii="Arial" w:eastAsia="Calibri" w:hAnsi="Arial" w:cs="Arial"/>
          <w:sz w:val="24"/>
          <w:szCs w:val="24"/>
        </w:rPr>
        <w:tab/>
        <w:t>To determine whether an issuer is suitable for listing;</w:t>
      </w:r>
    </w:p>
    <w:p w14:paraId="7FD01465" w14:textId="77777777" w:rsidR="00A079F1" w:rsidRDefault="00B73233">
      <w:pPr>
        <w:spacing w:before="120"/>
        <w:ind w:left="1854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•</w:t>
      </w:r>
      <w:r>
        <w:rPr>
          <w:rFonts w:ascii="Arial" w:eastAsia="Calibri" w:hAnsi="Arial" w:cs="Arial"/>
          <w:sz w:val="24"/>
          <w:szCs w:val="24"/>
        </w:rPr>
        <w:tab/>
        <w:t>To determine whether allowing an issuer to be listed or allowing an individual to be associated with a Listed Issuer could give rise</w:t>
      </w:r>
      <w:r>
        <w:rPr>
          <w:rFonts w:ascii="Arial" w:eastAsia="Calibri" w:hAnsi="Arial" w:cs="Arial"/>
          <w:sz w:val="24"/>
          <w:szCs w:val="24"/>
        </w:rPr>
        <w:t xml:space="preserve"> to investor protection concerns or could bring the Exchange into disrepute;</w:t>
      </w:r>
    </w:p>
    <w:p w14:paraId="7FD01466" w14:textId="77777777" w:rsidR="00A079F1" w:rsidRDefault="00B73233">
      <w:pPr>
        <w:spacing w:before="120"/>
        <w:ind w:left="1854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•</w:t>
      </w:r>
      <w:r>
        <w:rPr>
          <w:rFonts w:ascii="Arial" w:eastAsia="Calibri" w:hAnsi="Arial" w:cs="Arial"/>
          <w:sz w:val="24"/>
          <w:szCs w:val="24"/>
        </w:rPr>
        <w:tab/>
        <w:t xml:space="preserve">To conduct enforcement proceedings; </w:t>
      </w:r>
    </w:p>
    <w:p w14:paraId="7FD01467" w14:textId="77777777" w:rsidR="00A079F1" w:rsidRDefault="00B73233">
      <w:pPr>
        <w:spacing w:before="120"/>
        <w:ind w:left="1854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•</w:t>
      </w:r>
      <w:r>
        <w:rPr>
          <w:rFonts w:ascii="Arial" w:eastAsia="Calibri" w:hAnsi="Arial" w:cs="Arial"/>
          <w:sz w:val="24"/>
          <w:szCs w:val="24"/>
        </w:rPr>
        <w:tab/>
        <w:t>To ensure compliance with Exchange Requirements and applicable securities legislation; and</w:t>
      </w:r>
    </w:p>
    <w:p w14:paraId="7FD01468" w14:textId="77777777" w:rsidR="00A079F1" w:rsidRDefault="00B73233">
      <w:pPr>
        <w:spacing w:before="120"/>
        <w:ind w:left="1854" w:hanging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•</w:t>
      </w:r>
      <w:r>
        <w:rPr>
          <w:rFonts w:ascii="Arial" w:eastAsia="Calibri" w:hAnsi="Arial" w:cs="Arial"/>
          <w:sz w:val="24"/>
          <w:szCs w:val="24"/>
        </w:rPr>
        <w:tab/>
        <w:t>To fulfil the Exchange’s obligation to regula</w:t>
      </w:r>
      <w:r>
        <w:rPr>
          <w:rFonts w:ascii="Arial" w:eastAsia="Calibri" w:hAnsi="Arial" w:cs="Arial"/>
          <w:sz w:val="24"/>
          <w:szCs w:val="24"/>
        </w:rPr>
        <w:t>te its marketplace.</w:t>
      </w:r>
    </w:p>
    <w:p w14:paraId="7FD01469" w14:textId="77777777" w:rsidR="00A079F1" w:rsidRDefault="00B73233">
      <w:pPr>
        <w:spacing w:before="120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CSE also collects information, including personal information, from other sources, including but not limited to securities regulatory authorities, law enforcement and self-regulatory authorities, regulation service providers and the</w:t>
      </w:r>
      <w:r>
        <w:rPr>
          <w:rFonts w:ascii="Arial" w:eastAsia="Calibri" w:hAnsi="Arial" w:cs="Arial"/>
          <w:sz w:val="24"/>
          <w:szCs w:val="24"/>
        </w:rPr>
        <w:t xml:space="preserve">ir subsidiaries, affiliates, </w:t>
      </w:r>
      <w:proofErr w:type="gramStart"/>
      <w:r>
        <w:rPr>
          <w:rFonts w:ascii="Arial" w:eastAsia="Calibri" w:hAnsi="Arial" w:cs="Arial"/>
          <w:sz w:val="24"/>
          <w:szCs w:val="24"/>
        </w:rPr>
        <w:t>regulators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and agents. The Exchange may disclose personal information to these entities or otherwise as provided by law and they may use it for their own investigations.</w:t>
      </w:r>
    </w:p>
    <w:p w14:paraId="7FD0146A" w14:textId="77777777" w:rsidR="00A079F1" w:rsidRDefault="00B73233">
      <w:pPr>
        <w:spacing w:before="120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Exchange may use third parties to process information</w:t>
      </w:r>
      <w:r>
        <w:rPr>
          <w:rFonts w:ascii="Arial" w:eastAsia="Calibri" w:hAnsi="Arial" w:cs="Arial"/>
          <w:sz w:val="24"/>
          <w:szCs w:val="24"/>
        </w:rPr>
        <w:t xml:space="preserve"> or provide other administrative services. Any third party will be obliged to adhere to the security and confidentiality provisions set out in this policy.</w:t>
      </w:r>
    </w:p>
    <w:p w14:paraId="7FD0146B" w14:textId="77777777" w:rsidR="00A079F1" w:rsidRDefault="00B73233">
      <w:pPr>
        <w:spacing w:before="120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All personal information provided to or collected by or on behalf of The Exchange and that is </w:t>
      </w:r>
      <w:r>
        <w:rPr>
          <w:rFonts w:ascii="Arial" w:eastAsia="Calibri" w:hAnsi="Arial" w:cs="Arial"/>
          <w:sz w:val="24"/>
          <w:szCs w:val="24"/>
        </w:rPr>
        <w:t xml:space="preserve">retained by The Exchange is kept in a secure environment. Only those employees who need to know the information for the purposes listed above are permitted access to the information or any summary thereof. Employees are instructed to </w:t>
      </w:r>
      <w:proofErr w:type="gramStart"/>
      <w:r>
        <w:rPr>
          <w:rFonts w:ascii="Arial" w:eastAsia="Calibri" w:hAnsi="Arial" w:cs="Arial"/>
          <w:sz w:val="24"/>
          <w:szCs w:val="24"/>
        </w:rPr>
        <w:t>keep the information c</w:t>
      </w:r>
      <w:r>
        <w:rPr>
          <w:rFonts w:ascii="Arial" w:eastAsia="Calibri" w:hAnsi="Arial" w:cs="Arial"/>
          <w:sz w:val="24"/>
          <w:szCs w:val="24"/>
        </w:rPr>
        <w:t>onfidential at all times</w:t>
      </w:r>
      <w:proofErr w:type="gramEnd"/>
      <w:r>
        <w:rPr>
          <w:rFonts w:ascii="Arial" w:eastAsia="Calibri" w:hAnsi="Arial" w:cs="Arial"/>
          <w:sz w:val="24"/>
          <w:szCs w:val="24"/>
        </w:rPr>
        <w:t>.</w:t>
      </w:r>
    </w:p>
    <w:p w14:paraId="7FD0146C" w14:textId="77777777" w:rsidR="00A079F1" w:rsidRDefault="00B73233">
      <w:pPr>
        <w:spacing w:before="120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Information about you that is retained by the Exchange and that you have identified as inaccurate or obsolete will be corrected or removed.</w:t>
      </w:r>
    </w:p>
    <w:p w14:paraId="7FD0146D" w14:textId="77777777" w:rsidR="00A079F1" w:rsidRDefault="00B73233">
      <w:pPr>
        <w:spacing w:before="120"/>
        <w:ind w:left="720"/>
        <w:jc w:val="both"/>
        <w:rPr>
          <w:rFonts w:ascii="Arial" w:hAnsi="Arial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If you wish to consult your file or have any questions about this policy or our </w:t>
      </w:r>
      <w:r>
        <w:rPr>
          <w:rFonts w:ascii="Arial" w:eastAsia="Calibri" w:hAnsi="Arial" w:cs="Arial"/>
          <w:sz w:val="24"/>
          <w:szCs w:val="24"/>
        </w:rPr>
        <w:t>practices, please write the Chief Privacy Officer, Canadian Securities Exchange, 220 Bay Street – 9th Floor, Toronto, ON, M5J 2W4.</w:t>
      </w:r>
    </w:p>
    <w:sectPr w:rsidR="00A079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52" w:right="1440" w:bottom="1152" w:left="1440" w:header="720" w:footer="93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01470" w14:textId="77777777" w:rsidR="00A079F1" w:rsidRDefault="00B73233">
      <w:r>
        <w:separator/>
      </w:r>
    </w:p>
  </w:endnote>
  <w:endnote w:type="continuationSeparator" w:id="0">
    <w:p w14:paraId="7FD01471" w14:textId="77777777" w:rsidR="00A079F1" w:rsidRDefault="00B7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iDocIDField5eea85d7-8f4e-4ad9-a6b1-a26a"/>
  <w:p w14:paraId="7FD01474" w14:textId="77777777" w:rsidR="00A079F1" w:rsidRDefault="00B73233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NATDOCS\66811901\V-1</w:t>
    </w:r>
    <w:r>
      <w:fldChar w:fldCharType="end"/>
    </w:r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1475" w14:textId="77777777" w:rsidR="00A079F1" w:rsidRDefault="00B73233">
    <w:pPr>
      <w:tabs>
        <w:tab w:val="center" w:pos="4674"/>
        <w:tab w:val="left" w:pos="8460"/>
      </w:tabs>
      <w:jc w:val="center"/>
      <w:rPr>
        <w:rStyle w:val="PageNumber"/>
        <w:rFonts w:ascii="Arial" w:hAnsi="Arial" w:cs="Arial"/>
        <w:b/>
      </w:rPr>
    </w:pPr>
    <w:r>
      <w:rPr>
        <w:b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FD0147C" wp14:editId="7FD0147D">
              <wp:simplePos x="0" y="0"/>
              <wp:positionH relativeFrom="column">
                <wp:posOffset>51435</wp:posOffset>
              </wp:positionH>
              <wp:positionV relativeFrom="paragraph">
                <wp:posOffset>-20321</wp:posOffset>
              </wp:positionV>
              <wp:extent cx="586359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-1.6pt" to="465.7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QrOxgEAAHMDAAAOAAAAZHJzL2Uyb0RvYy54bWysU8tu2zAQvBfoPxC8x7IdOEgEyzk4SXtw&#10;WwNJPmDNh0SU4hIkbcl/3yXtOGl7K6oDweXuDHdnqOX92Ft2UCEadA2fTaacKSdQGtc2/PXl6eqW&#10;s5jASbDoVMOPKvL71edPy8HXao4dWqkCIxIX68E3vEvJ11UVRad6iBP0ylFSY+ghURjaSgYYiL23&#10;1Xw6vakGDNIHFCpGOn04Jfmq8GutRPqhdVSJ2YZTb6msoay7vFarJdRtAN8ZcW4D/qGLHoyjSy9U&#10;D5CA7YP5i6o3ImBEnSYC+wq1NkKVGWia2fSPaZ478KrMQuJEf5Ep/j9a8f2wDcxI8o4zBz1ZtDFO&#10;seuszOBjTQVrtw15NjG6Z79B8TMyh+sOXKtKhy9HT7BZRlS/QXIQPfHvhm8oqQb2CYtMow4909b4&#10;rxmYyUkKNhZfjhdf1JiYoMPF7c314o7sE2+5CupMkYE+xPRFYc/ypuGWui+EcNjElFt6L8nlDp+M&#10;tcV269jQ8LvFfFEAEa2ROZnLYmh3axvYAfLDKV+ZjzIfywLunSxknQL5eN4nMPa0p8utO8uSlThp&#10;ukN53IY3ucjZ0uX5Fean8zEu6Pd/ZfULAAD//wMAUEsDBBQABgAIAAAAIQDgaMLS2gAAAAcBAAAP&#10;AAAAZHJzL2Rvd25yZXYueG1sTI5LS8QwFIX3gv8hXMHdTPpAmalNh0HUjSA4Vtdpc22LyU1pMp36&#10;773iwlmeB+d85W5xVsw4hcGTgnSdgEBqvRmoU1C/Pa42IELUZLT1hAq+McCuurwodWH8iV5xPsRO&#10;8AiFQivoYxwLKUPbo9Nh7Uckzj795HRkOXXSTPrE487KLElupdMD8UOvR7zvsf06HJ2C/cfzQ/4y&#10;N85bs+3qd+Pq5ClT6vpq2d+BiLjE/zL84jM6VMzU+COZIKyCTcpFBas8A8HxNk9vQDR/hqxKec5f&#10;/QAAAP//AwBQSwECLQAUAAYACAAAACEAtoM4kv4AAADhAQAAEwAAAAAAAAAAAAAAAAAAAAAAW0Nv&#10;bnRlbnRfVHlwZXNdLnhtbFBLAQItABQABgAIAAAAIQA4/SH/1gAAAJQBAAALAAAAAAAAAAAAAAAA&#10;AC8BAABfcmVscy8ucmVsc1BLAQItABQABgAIAAAAIQA5lQrOxgEAAHMDAAAOAAAAAAAAAAAAAAAA&#10;AC4CAABkcnMvZTJvRG9jLnhtbFBLAQItABQABgAIAAAAIQDgaMLS2gAAAAcBAAAPAAAAAAAAAAAA&#10;AAAAACAEAABkcnMvZG93bnJldi54bWxQSwUGAAAAAAQABADzAAAAJwUAAAAA&#10;"/>
          </w:pict>
        </mc:Fallback>
      </mc:AlternateContent>
    </w:r>
    <w:r>
      <w:rPr>
        <w:rFonts w:ascii="Arial" w:hAnsi="Arial" w:cs="Arial"/>
        <w:b/>
      </w:rPr>
      <w:t>FORM 9 – NOTICE OF ISSUANCE OR PROPOSED ISSUANCE OF</w:t>
    </w:r>
  </w:p>
  <w:p w14:paraId="7FD01476" w14:textId="77777777" w:rsidR="00A079F1" w:rsidRDefault="00B73233">
    <w:pPr>
      <w:tabs>
        <w:tab w:val="center" w:pos="4674"/>
        <w:tab w:val="left" w:pos="8460"/>
      </w:tabs>
      <w:jc w:val="center"/>
      <w:rPr>
        <w:rStyle w:val="PageNumber"/>
        <w:rFonts w:ascii="Arial" w:hAnsi="Arial" w:cs="Arial"/>
        <w:b/>
      </w:rPr>
    </w:pPr>
    <w:r>
      <w:rPr>
        <w:rFonts w:ascii="Arial" w:hAnsi="Arial" w:cs="Arial"/>
        <w:b/>
      </w:rPr>
      <w:t>LISTED SEC</w:t>
    </w:r>
    <w:r>
      <w:rPr>
        <w:rFonts w:ascii="Arial" w:hAnsi="Arial" w:cs="Arial"/>
        <w:b/>
      </w:rPr>
      <w:t>URITIES</w:t>
    </w:r>
  </w:p>
  <w:p w14:paraId="7FD01477" w14:textId="77777777" w:rsidR="00A079F1" w:rsidRDefault="00B73233"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September 2018</w:t>
    </w:r>
  </w:p>
  <w:p w14:paraId="7FD01478" w14:textId="77777777" w:rsidR="00A079F1" w:rsidRDefault="00B73233">
    <w:pPr>
      <w:pStyle w:val="Footer"/>
      <w:jc w:val="center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Page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1</w:t>
    </w:r>
    <w:r>
      <w:rPr>
        <w:rStyle w:val="PageNumber"/>
        <w:rFonts w:ascii="Arial" w:hAnsi="Arial" w:cs="Arial"/>
        <w:sz w:val="16"/>
        <w:szCs w:val="16"/>
      </w:rPr>
      <w:fldChar w:fldCharType="end"/>
    </w:r>
  </w:p>
  <w:bookmarkStart w:id="5" w:name="_iDocIDField2f5c5390-9a08-40a2-adaa-5c32"/>
  <w:p w14:paraId="7FD01479" w14:textId="77777777" w:rsidR="00A079F1" w:rsidRDefault="00B73233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NATDOCS\66811901\V-1</w:t>
    </w:r>
    <w:r>
      <w:fldChar w:fldCharType="end"/>
    </w:r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iDocIDFieldfb21d692-66df-4538-9f8c-0bd4"/>
  <w:p w14:paraId="7FD0147B" w14:textId="77777777" w:rsidR="00A079F1" w:rsidRDefault="00B73233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NATDOCS\66811901\V-1</w:t>
    </w:r>
    <w:r>
      <w:fldChar w:fldCharType="end"/>
    </w:r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0146E" w14:textId="77777777" w:rsidR="00A079F1" w:rsidRDefault="00B73233">
      <w:r>
        <w:separator/>
      </w:r>
    </w:p>
  </w:footnote>
  <w:footnote w:type="continuationSeparator" w:id="0">
    <w:p w14:paraId="7FD0146F" w14:textId="77777777" w:rsidR="00A079F1" w:rsidRDefault="00B73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1472" w14:textId="77777777" w:rsidR="00A079F1" w:rsidRDefault="00A07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1473" w14:textId="77777777" w:rsidR="00A079F1" w:rsidRDefault="00A079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147A" w14:textId="77777777" w:rsidR="00A079F1" w:rsidRDefault="00A07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CAE"/>
    <w:multiLevelType w:val="singleLevel"/>
    <w:tmpl w:val="9F260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b/>
      </w:rPr>
    </w:lvl>
  </w:abstractNum>
  <w:abstractNum w:abstractNumId="1" w15:restartNumberingAfterBreak="0">
    <w:nsid w:val="04DF1A06"/>
    <w:multiLevelType w:val="singleLevel"/>
    <w:tmpl w:val="0622BA54"/>
    <w:lvl w:ilvl="0">
      <w:start w:val="5"/>
      <w:numFmt w:val="lowerLetter"/>
      <w:lvlText w:val="(%1)"/>
      <w:lvlJc w:val="left"/>
      <w:pPr>
        <w:tabs>
          <w:tab w:val="num" w:pos="2160"/>
        </w:tabs>
        <w:ind w:left="2160" w:hanging="1080"/>
      </w:pPr>
      <w:rPr>
        <w:rFonts w:hint="default"/>
      </w:rPr>
    </w:lvl>
  </w:abstractNum>
  <w:abstractNum w:abstractNumId="2" w15:restartNumberingAfterBreak="0">
    <w:nsid w:val="0F305A24"/>
    <w:multiLevelType w:val="hybridMultilevel"/>
    <w:tmpl w:val="55786AEE"/>
    <w:lvl w:ilvl="0" w:tplc="C11A9BD8">
      <w:start w:val="1"/>
      <w:numFmt w:val="lowerLetter"/>
      <w:lvlText w:val="(%1)"/>
      <w:lvlJc w:val="left"/>
      <w:pPr>
        <w:ind w:left="2160" w:hanging="10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4D4E82"/>
    <w:multiLevelType w:val="singleLevel"/>
    <w:tmpl w:val="EC1E0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 w15:restartNumberingAfterBreak="0">
    <w:nsid w:val="29655154"/>
    <w:multiLevelType w:val="singleLevel"/>
    <w:tmpl w:val="6FF8E312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1080"/>
      </w:pPr>
      <w:rPr>
        <w:rFonts w:hint="default"/>
      </w:rPr>
    </w:lvl>
  </w:abstractNum>
  <w:abstractNum w:abstractNumId="5" w15:restartNumberingAfterBreak="0">
    <w:nsid w:val="2CC81F21"/>
    <w:multiLevelType w:val="singleLevel"/>
    <w:tmpl w:val="0DEA0E4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</w:abstractNum>
  <w:abstractNum w:abstractNumId="6" w15:restartNumberingAfterBreak="0">
    <w:nsid w:val="30C64A38"/>
    <w:multiLevelType w:val="singleLevel"/>
    <w:tmpl w:val="05F4C128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 w15:restartNumberingAfterBreak="0">
    <w:nsid w:val="385C6C5B"/>
    <w:multiLevelType w:val="hybridMultilevel"/>
    <w:tmpl w:val="D9DEBE06"/>
    <w:lvl w:ilvl="0" w:tplc="ED94D1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631143"/>
    <w:multiLevelType w:val="singleLevel"/>
    <w:tmpl w:val="A6E4F7D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5932F2D"/>
    <w:multiLevelType w:val="singleLevel"/>
    <w:tmpl w:val="707EF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10" w15:restartNumberingAfterBreak="0">
    <w:nsid w:val="56F94763"/>
    <w:multiLevelType w:val="singleLevel"/>
    <w:tmpl w:val="B790C5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 w15:restartNumberingAfterBreak="0">
    <w:nsid w:val="5E5520AE"/>
    <w:multiLevelType w:val="singleLevel"/>
    <w:tmpl w:val="DCBEE5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2" w15:restartNumberingAfterBreak="0">
    <w:nsid w:val="6A9D4E0D"/>
    <w:multiLevelType w:val="hybridMultilevel"/>
    <w:tmpl w:val="1EBC7088"/>
    <w:lvl w:ilvl="0" w:tplc="737CED18">
      <w:start w:val="1"/>
      <w:numFmt w:val="decimal"/>
      <w:lvlText w:val="%1."/>
      <w:lvlJc w:val="left"/>
      <w:pPr>
        <w:ind w:left="1080" w:hanging="108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0621FB"/>
    <w:multiLevelType w:val="singleLevel"/>
    <w:tmpl w:val="8BE4361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1290289"/>
    <w:multiLevelType w:val="singleLevel"/>
    <w:tmpl w:val="8E8E52B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19834E1"/>
    <w:multiLevelType w:val="singleLevel"/>
    <w:tmpl w:val="99E42FCE"/>
    <w:lvl w:ilvl="0">
      <w:start w:val="4"/>
      <w:numFmt w:val="upperLetter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6" w15:restartNumberingAfterBreak="0">
    <w:nsid w:val="76BB4793"/>
    <w:multiLevelType w:val="singleLevel"/>
    <w:tmpl w:val="4468CBF2"/>
    <w:lvl w:ilvl="0">
      <w:start w:val="1"/>
      <w:numFmt w:val="lowerLetter"/>
      <w:lvlText w:val="(%1)"/>
      <w:lvlJc w:val="left"/>
      <w:pPr>
        <w:tabs>
          <w:tab w:val="num" w:pos="2430"/>
        </w:tabs>
        <w:ind w:left="2430" w:hanging="1080"/>
      </w:pPr>
      <w:rPr>
        <w:rFonts w:hint="default"/>
        <w:b w:val="0"/>
        <w:u w:val="none"/>
      </w:rPr>
    </w:lvl>
  </w:abstractNum>
  <w:abstractNum w:abstractNumId="17" w15:restartNumberingAfterBreak="0">
    <w:nsid w:val="79D94BAD"/>
    <w:multiLevelType w:val="hybridMultilevel"/>
    <w:tmpl w:val="266EA8F8"/>
    <w:lvl w:ilvl="0" w:tplc="C79AD9D0">
      <w:start w:val="3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7A196E4E"/>
    <w:multiLevelType w:val="hybridMultilevel"/>
    <w:tmpl w:val="113C6E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422CE"/>
    <w:multiLevelType w:val="singleLevel"/>
    <w:tmpl w:val="E256787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ascii="Century Gothic" w:hAnsi="Century Gothic" w:hint="default"/>
        <w:b/>
      </w:rPr>
    </w:lvl>
  </w:abstractNum>
  <w:num w:numId="1" w16cid:durableId="789399214">
    <w:abstractNumId w:val="3"/>
  </w:num>
  <w:num w:numId="2" w16cid:durableId="1874492293">
    <w:abstractNumId w:val="14"/>
  </w:num>
  <w:num w:numId="3" w16cid:durableId="1338389528">
    <w:abstractNumId w:val="10"/>
  </w:num>
  <w:num w:numId="4" w16cid:durableId="653217733">
    <w:abstractNumId w:val="15"/>
  </w:num>
  <w:num w:numId="5" w16cid:durableId="651836075">
    <w:abstractNumId w:val="13"/>
  </w:num>
  <w:num w:numId="6" w16cid:durableId="1310093988">
    <w:abstractNumId w:val="0"/>
  </w:num>
  <w:num w:numId="7" w16cid:durableId="818233696">
    <w:abstractNumId w:val="11"/>
  </w:num>
  <w:num w:numId="8" w16cid:durableId="1008558429">
    <w:abstractNumId w:val="6"/>
  </w:num>
  <w:num w:numId="9" w16cid:durableId="1935815873">
    <w:abstractNumId w:val="8"/>
  </w:num>
  <w:num w:numId="10" w16cid:durableId="169101970">
    <w:abstractNumId w:val="5"/>
  </w:num>
  <w:num w:numId="11" w16cid:durableId="691029026">
    <w:abstractNumId w:val="16"/>
  </w:num>
  <w:num w:numId="12" w16cid:durableId="769813034">
    <w:abstractNumId w:val="19"/>
  </w:num>
  <w:num w:numId="13" w16cid:durableId="857893314">
    <w:abstractNumId w:val="4"/>
  </w:num>
  <w:num w:numId="14" w16cid:durableId="1504977559">
    <w:abstractNumId w:val="9"/>
  </w:num>
  <w:num w:numId="15" w16cid:durableId="1366099588">
    <w:abstractNumId w:val="1"/>
  </w:num>
  <w:num w:numId="16" w16cid:durableId="198590188">
    <w:abstractNumId w:val="17"/>
  </w:num>
  <w:num w:numId="17" w16cid:durableId="92633987">
    <w:abstractNumId w:val="7"/>
  </w:num>
  <w:num w:numId="18" w16cid:durableId="270866642">
    <w:abstractNumId w:val="18"/>
  </w:num>
  <w:num w:numId="19" w16cid:durableId="1773285675">
    <w:abstractNumId w:val="11"/>
    <w:lvlOverride w:ilvl="0">
      <w:startOverride w:val="2"/>
    </w:lvlOverride>
  </w:num>
  <w:num w:numId="20" w16cid:durableId="1664970946">
    <w:abstractNumId w:val="12"/>
  </w:num>
  <w:num w:numId="21" w16cid:durableId="1795051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C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IDAuthor" w:val="False"/>
    <w:docVar w:name="DocIDClientMatter" w:val="False"/>
    <w:docVar w:name="DocIDDate" w:val="False"/>
    <w:docVar w:name="DocIDDateText" w:val="False"/>
    <w:docVar w:name="DocIDDraft" w:val="False"/>
    <w:docVar w:name="DocIDFileName" w:val="False"/>
    <w:docVar w:name="DocIDFirstPageFooter" w:val="True"/>
    <w:docVar w:name="DocIDLibrary" w:val="True"/>
    <w:docVar w:name="DocIDLongDate" w:val="False"/>
    <w:docVar w:name="DocIDTime" w:val="False"/>
    <w:docVar w:name="DocIDType" w:val="FirstPageOnly"/>
    <w:docVar w:name="DocIDTypist" w:val="False"/>
    <w:docVar w:name="DocIDVersion" w:val="True"/>
    <w:docVar w:name="LegacyDocIDRemoved" w:val="True"/>
  </w:docVars>
  <w:rsids>
    <w:rsidRoot w:val="00A079F1"/>
    <w:rsid w:val="00A079F1"/>
    <w:rsid w:val="00B73233"/>
    <w:rsid w:val="00D71EB6"/>
    <w:rsid w:val="00E53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D013BD"/>
  <w15:docId w15:val="{553A3B5B-3962-42B4-81C9-D42587B5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BodyText"/>
    <w:next w:val="BodyText"/>
    <w:qFormat/>
    <w:pPr>
      <w:keepNext/>
      <w:ind w:left="1080" w:hanging="108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before="240"/>
    </w:pPr>
    <w:rPr>
      <w:sz w:val="24"/>
      <w:lang w:val="en-GB"/>
    </w:rPr>
  </w:style>
  <w:style w:type="paragraph" w:styleId="List">
    <w:name w:val="List"/>
    <w:basedOn w:val="BodyText"/>
    <w:pPr>
      <w:ind w:left="1080" w:hanging="1080"/>
    </w:pPr>
  </w:style>
  <w:style w:type="paragraph" w:styleId="List2">
    <w:name w:val="List 2"/>
    <w:basedOn w:val="List"/>
    <w:pPr>
      <w:ind w:left="1800" w:hanging="720"/>
    </w:pPr>
  </w:style>
  <w:style w:type="paragraph" w:styleId="Title">
    <w:name w:val="Title"/>
    <w:basedOn w:val="BodyText"/>
    <w:link w:val="TitleChar"/>
    <w:qFormat/>
    <w:pPr>
      <w:spacing w:after="240"/>
      <w:jc w:val="center"/>
    </w:pPr>
    <w:rPr>
      <w:rFonts w:ascii="Arial" w:hAnsi="Arial"/>
      <w:b/>
      <w:sz w:val="40"/>
    </w:rPr>
  </w:style>
  <w:style w:type="paragraph" w:customStyle="1" w:styleId="amend">
    <w:name w:val="amend"/>
    <w:basedOn w:val="Normal"/>
    <w:pPr>
      <w:tabs>
        <w:tab w:val="left" w:pos="1080"/>
      </w:tabs>
      <w:spacing w:before="40" w:after="40"/>
      <w:jc w:val="right"/>
    </w:pPr>
    <w:rPr>
      <w:rFonts w:ascii="Arial" w:hAnsi="Arial"/>
      <w:b/>
      <w:sz w:val="24"/>
      <w:vertAlign w:val="superscript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  <w:pPr>
      <w:widowControl w:val="0"/>
    </w:pPr>
    <w:rPr>
      <w:rFonts w:ascii="Helv 12pt" w:hAnsi="Helv 12pt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320"/>
        <w:tab w:val="clear" w:pos="8640"/>
      </w:tabs>
    </w:pPr>
    <w:rPr>
      <w:rFonts w:ascii="Arial" w:hAnsi="Arial" w:cs="Arial"/>
      <w:sz w:val="16"/>
      <w:lang w:val="en-CA" w:eastAsia="en-CA"/>
    </w:rPr>
  </w:style>
  <w:style w:type="paragraph" w:customStyle="1" w:styleId="Normal1">
    <w:name w:val="Normal1"/>
    <w:pPr>
      <w:spacing w:after="240"/>
      <w:jc w:val="both"/>
    </w:pPr>
    <w:rPr>
      <w:rFonts w:ascii="Arial" w:eastAsia="Arial" w:hAnsi="Arial" w:cs="Arial"/>
      <w:lang w:val="en-CA"/>
    </w:rPr>
  </w:style>
  <w:style w:type="paragraph" w:customStyle="1" w:styleId="arial">
    <w:name w:val="arial"/>
    <w:basedOn w:val="Normal1"/>
    <w:pPr>
      <w:spacing w:after="0"/>
      <w:ind w:left="720" w:firstLine="36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odyTextChar">
    <w:name w:val="Body Text Char"/>
    <w:basedOn w:val="DefaultParagraphFont"/>
    <w:link w:val="BodyText"/>
    <w:rPr>
      <w:sz w:val="24"/>
      <w:lang w:val="en-GB"/>
    </w:rPr>
  </w:style>
  <w:style w:type="character" w:customStyle="1" w:styleId="TitleChar">
    <w:name w:val="Title Char"/>
    <w:basedOn w:val="BodyTextChar"/>
    <w:link w:val="Title"/>
    <w:rPr>
      <w:rFonts w:ascii="Arial" w:hAnsi="Arial"/>
      <w:b/>
      <w:sz w:val="40"/>
      <w:lang w:val="en-GB"/>
    </w:rPr>
  </w:style>
  <w:style w:type="character" w:customStyle="1" w:styleId="DocIDChar">
    <w:name w:val="DocID Char"/>
    <w:basedOn w:val="TitleChar"/>
    <w:link w:val="DocID"/>
    <w:rPr>
      <w:rFonts w:ascii="Arial" w:hAnsi="Arial" w:cs="Arial"/>
      <w:b w:val="0"/>
      <w:sz w:val="16"/>
      <w:lang w:val="en-CA" w:eastAsia="en-CA"/>
    </w:rPr>
  </w:style>
  <w:style w:type="paragraph" w:styleId="Revision">
    <w:name w:val="Revision"/>
    <w:hidden/>
    <w:uiPriority w:val="99"/>
    <w:semiHidden/>
  </w:style>
  <w:style w:type="character" w:customStyle="1" w:styleId="Prompt">
    <w:name w:val="Prompt"/>
    <w:basedOn w:val="DefaultParagraphFont"/>
    <w:rPr>
      <w:rFonts w:ascii="Arial" w:hAnsi="Arial" w:cs="Arial"/>
      <w:i/>
      <w:iCs/>
      <w:color w:val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6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tings@thecs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C938A-4F27-4F8F-A88E-7518F8B2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1919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Stock Exchange</Company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lstdjoh</dc:creator>
  <cp:keywords/>
  <cp:lastModifiedBy>Jake Phillips</cp:lastModifiedBy>
  <cp:revision>99</cp:revision>
  <cp:lastPrinted>2021-10-28T18:45:00Z</cp:lastPrinted>
  <dcterms:created xsi:type="dcterms:W3CDTF">2021-10-28T17:07:00Z</dcterms:created>
  <dcterms:modified xsi:type="dcterms:W3CDTF">2022-11-15T20:03:00Z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PATH">
    <vt:lpwstr>3214.001\0180</vt:lpwstr>
  </property>
  <property fmtid="{D5CDD505-2E9C-101B-9397-08002B2CF9AE}" pid="3" name="_DocHome">
    <vt:i4>-1234525863</vt:i4>
  </property>
  <property fmtid="{D5CDD505-2E9C-101B-9397-08002B2CF9AE}" pid="4" name="DocID">
    <vt:lpwstr>43515854_1|NATDOCS</vt:lpwstr>
  </property>
  <property fmtid="{D5CDD505-2E9C-101B-9397-08002B2CF9AE}" pid="5" name="CUS_DocIDString">
    <vt:lpwstr>NATDOCS\66811901\V-1</vt:lpwstr>
  </property>
  <property fmtid="{D5CDD505-2E9C-101B-9397-08002B2CF9AE}" pid="6" name="CUS_DocIDChunk0">
    <vt:lpwstr>NATDOCS\66811901\V-1</vt:lpwstr>
  </property>
  <property fmtid="{D5CDD505-2E9C-101B-9397-08002B2CF9AE}" pid="7" name="CUS_DocIDActiveBits">
    <vt:lpwstr>100352</vt:lpwstr>
  </property>
  <property fmtid="{D5CDD505-2E9C-101B-9397-08002B2CF9AE}" pid="8" name="CUS_DocIDLocation">
    <vt:lpwstr>EVERY_PAGE</vt:lpwstr>
  </property>
  <property fmtid="{D5CDD505-2E9C-101B-9397-08002B2CF9AE}" pid="9" name="CUS_DocIDReference">
    <vt:lpwstr>everyPage</vt:lpwstr>
  </property>
</Properties>
</file>