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8523" w14:textId="77777777" w:rsidR="00741381" w:rsidRDefault="00266D03">
      <w:pPr>
        <w:pStyle w:val="Title"/>
        <w:spacing w:before="0"/>
        <w:rPr>
          <w:sz w:val="28"/>
          <w:lang w:val="en-CA"/>
        </w:rPr>
      </w:pPr>
      <w:r>
        <w:rPr>
          <w:sz w:val="28"/>
          <w:lang w:val="en-CA"/>
        </w:rPr>
        <w:t>FORM 9</w:t>
      </w:r>
    </w:p>
    <w:p w14:paraId="364F522D" w14:textId="77777777" w:rsidR="00741381" w:rsidRDefault="00266D03">
      <w:pPr>
        <w:pStyle w:val="Title"/>
        <w:spacing w:before="0" w:after="0"/>
        <w:rPr>
          <w:sz w:val="28"/>
          <w:u w:val="single"/>
          <w:lang w:val="en-CA"/>
        </w:rPr>
      </w:pPr>
      <w:r>
        <w:rPr>
          <w:sz w:val="28"/>
          <w:u w:val="single"/>
          <w:lang w:val="en-CA"/>
        </w:rPr>
        <w:t xml:space="preserve">NOTICE OF ISSUANCE OR PROPOSED ISSUANCE OF LISTED SECURITIES </w:t>
      </w:r>
    </w:p>
    <w:p w14:paraId="1C10669C" w14:textId="77777777" w:rsidR="00741381" w:rsidRDefault="00266D03">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14:paraId="3C3D357B" w14:textId="77777777" w:rsidR="00741381" w:rsidRDefault="00266D03">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rsidR="00741381" w14:paraId="06476AA9" w14:textId="77777777">
        <w:tc>
          <w:tcPr>
            <w:tcW w:w="6487" w:type="dxa"/>
          </w:tcPr>
          <w:p w14:paraId="13397C1D" w14:textId="77777777" w:rsidR="00741381" w:rsidRDefault="00266D03">
            <w:pPr>
              <w:pStyle w:val="BodyText"/>
              <w:rPr>
                <w:rFonts w:ascii="Arial" w:hAnsi="Arial"/>
                <w:lang w:val="en-CA"/>
              </w:rPr>
            </w:pPr>
            <w:r>
              <w:rPr>
                <w:rFonts w:ascii="Arial" w:hAnsi="Arial"/>
                <w:lang w:val="en-CA"/>
              </w:rPr>
              <w:t xml:space="preserve">Ascend Wellness Holdings, Inc. (the “Issuer”).  </w:t>
            </w:r>
          </w:p>
        </w:tc>
        <w:tc>
          <w:tcPr>
            <w:tcW w:w="3089" w:type="dxa"/>
          </w:tcPr>
          <w:p w14:paraId="1F5B2281" w14:textId="77777777" w:rsidR="00741381" w:rsidRDefault="00266D03">
            <w:pPr>
              <w:pStyle w:val="BodyText"/>
              <w:rPr>
                <w:rFonts w:ascii="Arial" w:hAnsi="Arial"/>
                <w:lang w:val="en-CA"/>
              </w:rPr>
            </w:pPr>
            <w:r>
              <w:rPr>
                <w:rFonts w:ascii="Arial" w:hAnsi="Arial"/>
                <w:lang w:val="en-CA"/>
              </w:rPr>
              <w:t>AAWH</w:t>
            </w:r>
          </w:p>
        </w:tc>
      </w:tr>
    </w:tbl>
    <w:p w14:paraId="7CD386EB" w14:textId="77777777" w:rsidR="00741381" w:rsidRDefault="00266D03">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August 16, 2022</w:t>
      </w:r>
      <w:r>
        <w:rPr>
          <w:rFonts w:ascii="Arial" w:hAnsi="Arial"/>
          <w:lang w:val="en-CA"/>
        </w:rPr>
        <w:t xml:space="preserve"> </w:t>
      </w:r>
      <w:r>
        <w:rPr>
          <w:rFonts w:ascii="Arial" w:hAnsi="Arial"/>
          <w:lang w:val="en-CA"/>
        </w:rPr>
        <w:tab/>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Wingdings" w:char="F078"/>
      </w:r>
      <w:r>
        <w:rPr>
          <w:rFonts w:ascii="Arial" w:hAnsi="Arial"/>
          <w:lang w:val="en-CA"/>
        </w:rPr>
        <w:t>No</w:t>
      </w:r>
      <w:r>
        <w:rPr>
          <w:rFonts w:ascii="Arial" w:hAnsi="Arial"/>
          <w:sz w:val="32"/>
          <w:lang w:val="en-CA"/>
        </w:rPr>
        <w:tab/>
      </w:r>
    </w:p>
    <w:p w14:paraId="59EBE80B" w14:textId="77777777" w:rsidR="00741381" w:rsidRDefault="00266D03">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Pr>
          <w:rFonts w:ascii="Arial" w:hAnsi="Arial"/>
          <w:u w:val="single"/>
          <w:lang w:val="en-CA"/>
        </w:rPr>
        <w:t>N/A.</w:t>
      </w:r>
    </w:p>
    <w:p w14:paraId="4A31E5CE" w14:textId="77777777" w:rsidR="00741381" w:rsidRDefault="00266D03">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188,163,575 shares of Class A common stock and 65,000 shares of Class B common stock</w:t>
      </w:r>
      <w:r>
        <w:rPr>
          <w:rFonts w:ascii="Arial" w:hAnsi="Arial"/>
          <w:lang w:val="en-CA"/>
        </w:rPr>
        <w:t>.</w:t>
      </w:r>
    </w:p>
    <w:p w14:paraId="7749FAAE" w14:textId="77777777" w:rsidR="00741381" w:rsidRDefault="00266D03">
      <w:pPr>
        <w:pStyle w:val="BodyText"/>
        <w:tabs>
          <w:tab w:val="left" w:pos="9180"/>
        </w:tabs>
        <w:spacing w:before="0" w:after="120"/>
        <w:rPr>
          <w:rFonts w:ascii="Arial" w:hAnsi="Arial"/>
          <w:b/>
          <w:lang w:val="en-CA"/>
        </w:rPr>
      </w:pPr>
      <w:r>
        <w:rPr>
          <w:rFonts w:ascii="Arial" w:hAnsi="Arial"/>
          <w:b/>
          <w:lang w:val="en-CA"/>
        </w:rPr>
        <w:t>Pricing</w:t>
      </w:r>
    </w:p>
    <w:p w14:paraId="6C22E629" w14:textId="77777777" w:rsidR="00741381" w:rsidRDefault="00266D03">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t>August 16, 2022</w:t>
      </w:r>
      <w:r>
        <w:rPr>
          <w:rFonts w:ascii="Arial" w:hAnsi="Arial"/>
          <w:lang w:val="en-CA"/>
        </w:rPr>
        <w:t xml:space="preserve"> or</w:t>
      </w:r>
    </w:p>
    <w:p w14:paraId="11E4A3F7" w14:textId="77777777" w:rsidR="00741381" w:rsidRDefault="00266D03">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u w:val="single"/>
          <w:lang w:val="en-CA"/>
        </w:rPr>
        <w:t>N/A</w:t>
      </w:r>
    </w:p>
    <w:p w14:paraId="0B72F1F5" w14:textId="77777777" w:rsidR="00741381" w:rsidRDefault="00266D03">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Pr>
          <w:rFonts w:ascii="Arial" w:hAnsi="Arial"/>
          <w:u w:val="single"/>
          <w:lang w:val="en-CA"/>
        </w:rPr>
        <w:t>US$2.30</w:t>
      </w:r>
      <w:r>
        <w:rPr>
          <w:rFonts w:ascii="Arial" w:hAnsi="Arial"/>
          <w:lang w:val="en-CA"/>
        </w:rPr>
        <w:t xml:space="preserve"> or</w:t>
      </w:r>
    </w:p>
    <w:p w14:paraId="53B8F275" w14:textId="77777777" w:rsidR="00741381" w:rsidRDefault="00266D03">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u w:val="single"/>
          <w:lang w:val="en-CA"/>
        </w:rPr>
        <w:t>N/A</w:t>
      </w:r>
    </w:p>
    <w:p w14:paraId="793A6404" w14:textId="77777777" w:rsidR="00741381" w:rsidRDefault="00266D03">
      <w:pPr>
        <w:pStyle w:val="BodyText"/>
        <w:tabs>
          <w:tab w:val="left" w:pos="9180"/>
        </w:tabs>
        <w:spacing w:before="0" w:after="120"/>
        <w:rPr>
          <w:rFonts w:ascii="Arial" w:hAnsi="Arial"/>
          <w:b/>
          <w:lang w:val="en-CA"/>
        </w:rPr>
      </w:pPr>
      <w:r>
        <w:rPr>
          <w:rFonts w:ascii="Arial" w:hAnsi="Arial"/>
          <w:b/>
          <w:lang w:val="en-CA"/>
        </w:rPr>
        <w:t>Closing</w:t>
      </w:r>
    </w:p>
    <w:p w14:paraId="501BF4C6" w14:textId="77777777" w:rsidR="00741381" w:rsidRDefault="00266D03">
      <w:pPr>
        <w:pStyle w:val="BodyText"/>
        <w:tabs>
          <w:tab w:val="left" w:pos="9180"/>
        </w:tabs>
        <w:spacing w:before="0" w:after="120"/>
        <w:rPr>
          <w:rFonts w:ascii="Arial" w:hAnsi="Arial"/>
          <w:lang w:val="en-CA"/>
        </w:rPr>
      </w:pPr>
      <w:r>
        <w:rPr>
          <w:rFonts w:ascii="Arial" w:hAnsi="Arial"/>
          <w:lang w:val="en-CA"/>
        </w:rPr>
        <w:t xml:space="preserve">Number of securities to be issued: </w:t>
      </w:r>
      <w:r>
        <w:rPr>
          <w:rFonts w:ascii="Arial" w:hAnsi="Arial"/>
          <w:u w:val="single"/>
          <w:lang w:val="en-CA"/>
        </w:rPr>
        <w:t>TBD s</w:t>
      </w:r>
      <w:r>
        <w:rPr>
          <w:rFonts w:ascii="Arial" w:hAnsi="Arial"/>
          <w:u w:val="single"/>
          <w:lang w:val="en-CA"/>
        </w:rPr>
        <w:t xml:space="preserve">hares of Class A common stock contingent upon closing of acquisition, achievement of earnout, and election of sellers to be paid in stock and calculated based on volume-weighted average price for 30 days preceding achievement of earnout. </w:t>
      </w:r>
    </w:p>
    <w:p w14:paraId="5B8A2B91" w14:textId="78D7D670" w:rsidR="00741381" w:rsidRDefault="00266D03">
      <w:pPr>
        <w:pStyle w:val="BodyText"/>
        <w:tabs>
          <w:tab w:val="left" w:pos="9180"/>
        </w:tabs>
        <w:spacing w:before="0" w:after="120"/>
        <w:rPr>
          <w:rFonts w:ascii="Arial" w:hAnsi="Arial"/>
          <w:lang w:val="en-CA"/>
        </w:rPr>
      </w:pPr>
      <w:r>
        <w:rPr>
          <w:rFonts w:ascii="Arial" w:hAnsi="Arial"/>
          <w:lang w:val="en-CA"/>
        </w:rPr>
        <w:t>Issued and outsta</w:t>
      </w:r>
      <w:r>
        <w:rPr>
          <w:rFonts w:ascii="Arial" w:hAnsi="Arial"/>
          <w:lang w:val="en-CA"/>
        </w:rPr>
        <w:t xml:space="preserve">nding securities following issuance: </w:t>
      </w:r>
      <w:r>
        <w:rPr>
          <w:rFonts w:ascii="Arial" w:hAnsi="Arial"/>
          <w:u w:val="single"/>
          <w:lang w:val="en-CA"/>
        </w:rPr>
        <w:t xml:space="preserve">TBD shares of Class A common </w:t>
      </w:r>
      <w:r w:rsidRPr="0097139D">
        <w:rPr>
          <w:rFonts w:ascii="Arial" w:hAnsi="Arial"/>
          <w:u w:val="single"/>
          <w:lang w:val="en-CA"/>
        </w:rPr>
        <w:t>stock to be issued</w:t>
      </w:r>
      <w:r>
        <w:rPr>
          <w:rFonts w:ascii="Arial" w:hAnsi="Arial"/>
          <w:u w:val="single"/>
          <w:lang w:val="en-CA"/>
        </w:rPr>
        <w:t>, if any,</w:t>
      </w:r>
      <w:r w:rsidRPr="0097139D">
        <w:rPr>
          <w:rFonts w:ascii="Arial" w:hAnsi="Arial"/>
          <w:u w:val="single"/>
          <w:lang w:val="en-CA"/>
        </w:rPr>
        <w:t xml:space="preserve"> will calculated</w:t>
      </w:r>
      <w:r>
        <w:rPr>
          <w:rFonts w:ascii="Arial" w:hAnsi="Arial"/>
          <w:u w:val="single"/>
          <w:lang w:val="en-CA"/>
        </w:rPr>
        <w:t xml:space="preserve"> based on volume-weighted average price for 30 days preceding achievement of earnout, if earned and provided the sellers elect to receive stock in </w:t>
      </w:r>
      <w:r>
        <w:rPr>
          <w:rFonts w:ascii="Arial" w:hAnsi="Arial"/>
          <w:u w:val="single"/>
          <w:lang w:val="en-CA"/>
        </w:rPr>
        <w:t>satisfaction of the earnout.</w:t>
      </w:r>
    </w:p>
    <w:p w14:paraId="5EB63922" w14:textId="77777777" w:rsidR="00741381" w:rsidRDefault="00266D03">
      <w:pPr>
        <w:pStyle w:val="BodyText"/>
        <w:tabs>
          <w:tab w:val="left" w:pos="9180"/>
        </w:tabs>
        <w:spacing w:before="0" w:after="120"/>
        <w:rPr>
          <w:rFonts w:ascii="Arial" w:hAnsi="Arial"/>
          <w:b/>
          <w:lang w:val="en-CA"/>
        </w:rPr>
      </w:pPr>
      <w:r>
        <w:rPr>
          <w:rFonts w:ascii="Arial" w:hAnsi="Arial"/>
          <w:b/>
          <w:lang w:val="en-CA"/>
        </w:rPr>
        <w:t>Instructions:</w:t>
      </w:r>
    </w:p>
    <w:p w14:paraId="0FBAB6EE" w14:textId="77777777" w:rsidR="00741381" w:rsidRDefault="00266D03">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09087951" w14:textId="77777777" w:rsidR="00741381" w:rsidRDefault="00266D03">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2522DC63" w14:textId="77777777" w:rsidR="00741381" w:rsidRDefault="00266D03">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w:t>
      </w:r>
      <w:r>
        <w:rPr>
          <w:rFonts w:ascii="Arial" w:hAnsi="Arial"/>
          <w:lang w:val="en-CA"/>
        </w:rPr>
        <w:t>ed Persons only for Related Persons</w:t>
      </w:r>
    </w:p>
    <w:p w14:paraId="456D9223" w14:textId="77777777" w:rsidR="00741381" w:rsidRDefault="00266D03">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78C3032" w14:textId="77777777" w:rsidR="00741381" w:rsidRDefault="00266D03">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 xml:space="preserve">An issuance of non-convertible debt does not have to </w:t>
      </w:r>
      <w:r>
        <w:rPr>
          <w:rFonts w:ascii="Arial" w:hAnsi="Arial"/>
          <w:lang w:val="en-CA"/>
        </w:rPr>
        <w:t>be reported unless it is a significant transaction as defined in Policy 7, in which case it is to be reported on Form 10 – Notice of Proposed Transaction</w:t>
      </w:r>
    </w:p>
    <w:p w14:paraId="78219BB8" w14:textId="77777777" w:rsidR="00741381" w:rsidRDefault="00266D03">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w:t>
      </w:r>
      <w:r>
        <w:rPr>
          <w:rFonts w:ascii="Arial" w:hAnsi="Arial"/>
          <w:lang w:val="en-CA"/>
        </w:rPr>
        <w:t xml:space="preserve">, the completed form must be delivered to </w:t>
      </w:r>
      <w:hyperlink r:id="rId10" w:history="1">
        <w:r>
          <w:rPr>
            <w:rStyle w:val="Hyperlink"/>
            <w:rFonts w:ascii="Arial" w:hAnsi="Arial"/>
            <w:lang w:val="en-CA"/>
          </w:rPr>
          <w:t>listings@thecse.com</w:t>
        </w:r>
      </w:hyperlink>
      <w:r>
        <w:rPr>
          <w:rFonts w:ascii="Arial" w:hAnsi="Arial"/>
          <w:lang w:val="en-CA"/>
        </w:rPr>
        <w:t xml:space="preserve"> with an appendix that includes the information in Table 1B for ALL placees.</w:t>
      </w:r>
      <w:r>
        <w:rPr>
          <w:rFonts w:ascii="Arial" w:hAnsi="Arial"/>
          <w:b/>
          <w:lang w:val="en-CA"/>
        </w:rPr>
        <w:br w:type="page"/>
      </w:r>
    </w:p>
    <w:p w14:paraId="3C5FCC78" w14:textId="77777777" w:rsidR="00741381" w:rsidRDefault="00266D03">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14:paraId="4233DD5A" w14:textId="77777777" w:rsidR="00741381" w:rsidRDefault="00266D03">
      <w:pPr>
        <w:pStyle w:val="BodyText"/>
        <w:rPr>
          <w:rFonts w:ascii="Arial" w:hAnsi="Arial"/>
          <w:b/>
          <w:u w:val="single"/>
          <w:lang w:val="en-CA"/>
        </w:rPr>
      </w:pPr>
      <w:r>
        <w:rPr>
          <w:rFonts w:ascii="Arial" w:hAnsi="Arial"/>
          <w:b/>
          <w:u w:val="single"/>
          <w:lang w:val="en-CA"/>
        </w:rPr>
        <w:t>Table 1A – Summary</w:t>
      </w:r>
    </w:p>
    <w:tbl>
      <w:tblPr>
        <w:tblStyle w:val="TableGrid"/>
        <w:tblW w:w="9800" w:type="dxa"/>
        <w:tblLayout w:type="fixed"/>
        <w:tblLook w:val="04A0" w:firstRow="1" w:lastRow="0" w:firstColumn="1" w:lastColumn="0" w:noHBand="0" w:noVBand="1"/>
      </w:tblPr>
      <w:tblGrid>
        <w:gridCol w:w="3737"/>
        <w:gridCol w:w="1740"/>
        <w:gridCol w:w="1873"/>
        <w:gridCol w:w="2450"/>
      </w:tblGrid>
      <w:tr w:rsidR="00741381" w14:paraId="4A23F1EA" w14:textId="77777777">
        <w:trPr>
          <w:trHeight w:val="1250"/>
        </w:trPr>
        <w:tc>
          <w:tcPr>
            <w:tcW w:w="3737" w:type="dxa"/>
          </w:tcPr>
          <w:p w14:paraId="5ABFA3A7" w14:textId="77777777" w:rsidR="00741381" w:rsidRDefault="00266D03">
            <w:pPr>
              <w:pStyle w:val="BodyText"/>
              <w:rPr>
                <w:rFonts w:ascii="Arial" w:hAnsi="Arial"/>
                <w:lang w:val="en-CA"/>
              </w:rPr>
            </w:pPr>
            <w:r>
              <w:rPr>
                <w:rFonts w:ascii="Arial" w:hAnsi="Arial"/>
                <w:lang w:val="en-CA"/>
              </w:rPr>
              <w:t>Each jurisdiction in which p</w:t>
            </w:r>
            <w:r>
              <w:rPr>
                <w:rFonts w:ascii="Arial" w:hAnsi="Arial"/>
                <w:lang w:val="en-CA"/>
              </w:rPr>
              <w:t>urchasers reside</w:t>
            </w:r>
          </w:p>
        </w:tc>
        <w:tc>
          <w:tcPr>
            <w:tcW w:w="1740" w:type="dxa"/>
          </w:tcPr>
          <w:p w14:paraId="04F63555" w14:textId="77777777" w:rsidR="00741381" w:rsidRDefault="00266D03">
            <w:pPr>
              <w:pStyle w:val="BodyText"/>
              <w:rPr>
                <w:rFonts w:ascii="Arial" w:hAnsi="Arial"/>
                <w:lang w:val="en-CA"/>
              </w:rPr>
            </w:pPr>
            <w:r>
              <w:rPr>
                <w:rFonts w:ascii="Arial" w:hAnsi="Arial"/>
                <w:lang w:val="en-CA"/>
              </w:rPr>
              <w:t>Number of Purchasers</w:t>
            </w:r>
          </w:p>
        </w:tc>
        <w:tc>
          <w:tcPr>
            <w:tcW w:w="1871" w:type="dxa"/>
          </w:tcPr>
          <w:p w14:paraId="7468B46D" w14:textId="77777777" w:rsidR="00741381" w:rsidRDefault="00266D03">
            <w:pPr>
              <w:pStyle w:val="BodyText"/>
              <w:rPr>
                <w:rFonts w:ascii="Arial" w:hAnsi="Arial"/>
                <w:lang w:val="en-CA"/>
              </w:rPr>
            </w:pPr>
            <w:r>
              <w:rPr>
                <w:rFonts w:ascii="Arial" w:hAnsi="Arial"/>
                <w:lang w:val="en-CA"/>
              </w:rPr>
              <w:t>Price per Security</w:t>
            </w:r>
          </w:p>
        </w:tc>
        <w:tc>
          <w:tcPr>
            <w:tcW w:w="2450" w:type="dxa"/>
          </w:tcPr>
          <w:p w14:paraId="6FDE9C6D" w14:textId="77777777" w:rsidR="00741381" w:rsidRDefault="00266D03">
            <w:pPr>
              <w:pStyle w:val="BodyText"/>
              <w:rPr>
                <w:rFonts w:ascii="Arial" w:hAnsi="Arial"/>
                <w:lang w:val="en-CA"/>
              </w:rPr>
            </w:pPr>
            <w:r>
              <w:rPr>
                <w:rFonts w:ascii="Arial" w:hAnsi="Arial"/>
                <w:lang w:val="en-CA"/>
              </w:rPr>
              <w:t>Total dollar value (CDN$) raised in the jurisdiction</w:t>
            </w:r>
          </w:p>
        </w:tc>
      </w:tr>
      <w:tr w:rsidR="00741381" w14:paraId="4A4B9AFE" w14:textId="77777777">
        <w:trPr>
          <w:trHeight w:val="598"/>
        </w:trPr>
        <w:tc>
          <w:tcPr>
            <w:tcW w:w="3737" w:type="dxa"/>
          </w:tcPr>
          <w:p w14:paraId="600482A3" w14:textId="77777777" w:rsidR="00741381" w:rsidRDefault="00741381">
            <w:pPr>
              <w:pStyle w:val="BodyText"/>
              <w:rPr>
                <w:rFonts w:ascii="Arial" w:hAnsi="Arial"/>
                <w:lang w:val="en-CA"/>
              </w:rPr>
            </w:pPr>
          </w:p>
        </w:tc>
        <w:tc>
          <w:tcPr>
            <w:tcW w:w="1740" w:type="dxa"/>
          </w:tcPr>
          <w:p w14:paraId="28147EE2" w14:textId="77777777" w:rsidR="00741381" w:rsidRDefault="00741381">
            <w:pPr>
              <w:pStyle w:val="BodyText"/>
              <w:rPr>
                <w:rFonts w:ascii="Arial" w:hAnsi="Arial"/>
                <w:lang w:val="en-CA"/>
              </w:rPr>
            </w:pPr>
          </w:p>
        </w:tc>
        <w:tc>
          <w:tcPr>
            <w:tcW w:w="1871" w:type="dxa"/>
          </w:tcPr>
          <w:p w14:paraId="35546B82" w14:textId="77777777" w:rsidR="00741381" w:rsidRDefault="00741381">
            <w:pPr>
              <w:pStyle w:val="BodyText"/>
              <w:rPr>
                <w:rFonts w:ascii="Arial" w:hAnsi="Arial"/>
                <w:lang w:val="en-CA"/>
              </w:rPr>
            </w:pPr>
          </w:p>
        </w:tc>
        <w:tc>
          <w:tcPr>
            <w:tcW w:w="2450" w:type="dxa"/>
          </w:tcPr>
          <w:p w14:paraId="02AD380A" w14:textId="77777777" w:rsidR="00741381" w:rsidRDefault="00741381">
            <w:pPr>
              <w:pStyle w:val="BodyText"/>
              <w:rPr>
                <w:rFonts w:ascii="Arial" w:hAnsi="Arial"/>
                <w:lang w:val="en-CA"/>
              </w:rPr>
            </w:pPr>
          </w:p>
        </w:tc>
      </w:tr>
      <w:tr w:rsidR="00741381" w14:paraId="31AFE458" w14:textId="77777777">
        <w:trPr>
          <w:trHeight w:val="598"/>
        </w:trPr>
        <w:tc>
          <w:tcPr>
            <w:tcW w:w="3737" w:type="dxa"/>
          </w:tcPr>
          <w:p w14:paraId="5185E76E" w14:textId="77777777" w:rsidR="00741381" w:rsidRDefault="00741381">
            <w:pPr>
              <w:pStyle w:val="BodyText"/>
              <w:rPr>
                <w:rFonts w:ascii="Arial" w:hAnsi="Arial"/>
                <w:lang w:val="en-CA"/>
              </w:rPr>
            </w:pPr>
          </w:p>
        </w:tc>
        <w:tc>
          <w:tcPr>
            <w:tcW w:w="1740" w:type="dxa"/>
          </w:tcPr>
          <w:p w14:paraId="190C39AF" w14:textId="77777777" w:rsidR="00741381" w:rsidRDefault="00741381">
            <w:pPr>
              <w:pStyle w:val="BodyText"/>
              <w:rPr>
                <w:rFonts w:ascii="Arial" w:hAnsi="Arial"/>
                <w:lang w:val="en-CA"/>
              </w:rPr>
            </w:pPr>
          </w:p>
        </w:tc>
        <w:tc>
          <w:tcPr>
            <w:tcW w:w="1871" w:type="dxa"/>
          </w:tcPr>
          <w:p w14:paraId="050DB66F" w14:textId="77777777" w:rsidR="00741381" w:rsidRDefault="00741381">
            <w:pPr>
              <w:pStyle w:val="BodyText"/>
              <w:rPr>
                <w:rFonts w:ascii="Arial" w:hAnsi="Arial"/>
                <w:lang w:val="en-CA"/>
              </w:rPr>
            </w:pPr>
          </w:p>
        </w:tc>
        <w:tc>
          <w:tcPr>
            <w:tcW w:w="2450" w:type="dxa"/>
          </w:tcPr>
          <w:p w14:paraId="7A1C7B37" w14:textId="77777777" w:rsidR="00741381" w:rsidRDefault="00741381">
            <w:pPr>
              <w:pStyle w:val="BodyText"/>
              <w:rPr>
                <w:rFonts w:ascii="Arial" w:hAnsi="Arial"/>
                <w:lang w:val="en-CA"/>
              </w:rPr>
            </w:pPr>
          </w:p>
        </w:tc>
      </w:tr>
      <w:tr w:rsidR="00741381" w14:paraId="5BD90DED" w14:textId="77777777">
        <w:trPr>
          <w:trHeight w:val="598"/>
        </w:trPr>
        <w:tc>
          <w:tcPr>
            <w:tcW w:w="3737" w:type="dxa"/>
          </w:tcPr>
          <w:p w14:paraId="43D7C515" w14:textId="77777777" w:rsidR="00741381" w:rsidRDefault="00266D03">
            <w:pPr>
              <w:pStyle w:val="BodyText"/>
              <w:rPr>
                <w:rFonts w:ascii="Arial" w:hAnsi="Arial"/>
                <w:lang w:val="en-CA"/>
              </w:rPr>
            </w:pPr>
            <w:r>
              <w:rPr>
                <w:rFonts w:ascii="Arial" w:hAnsi="Arial"/>
                <w:lang w:val="en-CA"/>
              </w:rPr>
              <w:t>Total number of purchasers:</w:t>
            </w:r>
          </w:p>
        </w:tc>
        <w:tc>
          <w:tcPr>
            <w:tcW w:w="1740" w:type="dxa"/>
          </w:tcPr>
          <w:p w14:paraId="47B08A8C" w14:textId="77777777" w:rsidR="00741381" w:rsidRDefault="00741381">
            <w:pPr>
              <w:pStyle w:val="BodyText"/>
              <w:rPr>
                <w:rFonts w:ascii="Arial" w:hAnsi="Arial"/>
                <w:lang w:val="en-CA"/>
              </w:rPr>
            </w:pPr>
          </w:p>
        </w:tc>
        <w:tc>
          <w:tcPr>
            <w:tcW w:w="1871" w:type="dxa"/>
          </w:tcPr>
          <w:p w14:paraId="5AC0077B" w14:textId="77777777" w:rsidR="00741381" w:rsidRDefault="00741381">
            <w:pPr>
              <w:pStyle w:val="BodyText"/>
              <w:rPr>
                <w:rFonts w:ascii="Arial" w:hAnsi="Arial"/>
                <w:lang w:val="en-CA"/>
              </w:rPr>
            </w:pPr>
          </w:p>
        </w:tc>
        <w:tc>
          <w:tcPr>
            <w:tcW w:w="2450" w:type="dxa"/>
          </w:tcPr>
          <w:p w14:paraId="13EBE5BC" w14:textId="77777777" w:rsidR="00741381" w:rsidRDefault="00741381">
            <w:pPr>
              <w:pStyle w:val="BodyText"/>
              <w:rPr>
                <w:rFonts w:ascii="Arial" w:hAnsi="Arial"/>
                <w:lang w:val="en-CA"/>
              </w:rPr>
            </w:pPr>
          </w:p>
        </w:tc>
      </w:tr>
      <w:tr w:rsidR="00741381" w14:paraId="546357C3" w14:textId="77777777">
        <w:trPr>
          <w:trHeight w:val="598"/>
        </w:trPr>
        <w:tc>
          <w:tcPr>
            <w:tcW w:w="7350" w:type="dxa"/>
            <w:gridSpan w:val="3"/>
          </w:tcPr>
          <w:p w14:paraId="30F81284" w14:textId="77777777" w:rsidR="00741381" w:rsidRDefault="00266D03">
            <w:pPr>
              <w:pStyle w:val="BodyText"/>
              <w:rPr>
                <w:rFonts w:ascii="Arial" w:hAnsi="Arial"/>
                <w:lang w:val="en-CA"/>
              </w:rPr>
            </w:pPr>
            <w:r>
              <w:rPr>
                <w:rFonts w:ascii="Arial" w:hAnsi="Arial"/>
                <w:lang w:val="en-CA"/>
              </w:rPr>
              <w:t>Total dollar value of distribution in all jurisdictions:</w:t>
            </w:r>
          </w:p>
        </w:tc>
        <w:tc>
          <w:tcPr>
            <w:tcW w:w="2450" w:type="dxa"/>
          </w:tcPr>
          <w:p w14:paraId="37EB2E7E" w14:textId="77777777" w:rsidR="00741381" w:rsidRDefault="00741381">
            <w:pPr>
              <w:pStyle w:val="BodyText"/>
              <w:rPr>
                <w:rFonts w:ascii="Arial" w:hAnsi="Arial"/>
                <w:lang w:val="en-CA"/>
              </w:rPr>
            </w:pPr>
          </w:p>
        </w:tc>
      </w:tr>
    </w:tbl>
    <w:p w14:paraId="022AB254" w14:textId="77777777" w:rsidR="00741381" w:rsidRDefault="00741381">
      <w:pPr>
        <w:pStyle w:val="BodyText"/>
        <w:rPr>
          <w:rFonts w:ascii="Arial" w:hAnsi="Arial"/>
          <w:b/>
          <w:u w:val="single"/>
          <w:lang w:val="en-CA"/>
        </w:rPr>
      </w:pPr>
    </w:p>
    <w:p w14:paraId="3B07F5DD" w14:textId="77777777" w:rsidR="00741381" w:rsidRDefault="00266D03">
      <w:pPr>
        <w:pStyle w:val="BodyText"/>
        <w:rPr>
          <w:rFonts w:ascii="Arial" w:hAnsi="Arial"/>
          <w:b/>
          <w:u w:val="single"/>
          <w:lang w:val="en-CA"/>
        </w:rPr>
      </w:pPr>
      <w:r>
        <w:rPr>
          <w:rFonts w:ascii="Arial" w:hAnsi="Arial"/>
          <w:b/>
          <w:u w:val="single"/>
          <w:lang w:val="en-CA"/>
        </w:rPr>
        <w:t>Table 1B – Related Persons</w:t>
      </w:r>
    </w:p>
    <w:p w14:paraId="3B7005B7" w14:textId="77777777" w:rsidR="00741381" w:rsidRDefault="00741381">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741381" w14:paraId="5EC0DEF4" w14:textId="77777777">
        <w:trPr>
          <w:trHeight w:val="1965"/>
        </w:trPr>
        <w:tc>
          <w:tcPr>
            <w:tcW w:w="1368" w:type="dxa"/>
          </w:tcPr>
          <w:p w14:paraId="53981392" w14:textId="77777777" w:rsidR="00741381" w:rsidRDefault="00741381">
            <w:pPr>
              <w:pStyle w:val="BodyText"/>
              <w:spacing w:before="0" w:line="280" w:lineRule="exact"/>
              <w:jc w:val="center"/>
              <w:rPr>
                <w:rFonts w:ascii="Arial" w:hAnsi="Arial"/>
                <w:b/>
                <w:sz w:val="20"/>
                <w:lang w:val="en-CA"/>
              </w:rPr>
            </w:pPr>
          </w:p>
          <w:p w14:paraId="0C33BCEE"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 xml:space="preserve">Full Name </w:t>
            </w:r>
            <w:r>
              <w:rPr>
                <w:rFonts w:ascii="Arial" w:hAnsi="Arial"/>
                <w:b/>
                <w:sz w:val="20"/>
                <w:lang w:val="en-CA"/>
              </w:rPr>
              <w:t>&amp;Municipality of Residence of Placee</w:t>
            </w:r>
          </w:p>
        </w:tc>
        <w:tc>
          <w:tcPr>
            <w:tcW w:w="1350" w:type="dxa"/>
          </w:tcPr>
          <w:p w14:paraId="37E3B7B9" w14:textId="77777777" w:rsidR="00741381" w:rsidRDefault="00741381">
            <w:pPr>
              <w:pStyle w:val="BodyText"/>
              <w:spacing w:before="0" w:line="280" w:lineRule="exact"/>
              <w:jc w:val="center"/>
              <w:rPr>
                <w:rFonts w:ascii="Arial" w:hAnsi="Arial"/>
                <w:b/>
                <w:sz w:val="20"/>
                <w:lang w:val="en-CA"/>
              </w:rPr>
            </w:pPr>
          </w:p>
          <w:p w14:paraId="360C1610"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08B74632" w14:textId="77777777" w:rsidR="00741381" w:rsidRDefault="00741381">
            <w:pPr>
              <w:pStyle w:val="BodyText"/>
              <w:spacing w:before="0" w:line="280" w:lineRule="exact"/>
              <w:jc w:val="center"/>
              <w:rPr>
                <w:rFonts w:ascii="Arial" w:hAnsi="Arial"/>
                <w:b/>
                <w:sz w:val="20"/>
                <w:lang w:val="en-CA"/>
              </w:rPr>
            </w:pPr>
          </w:p>
          <w:p w14:paraId="7A0CB298"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542C6788" w14:textId="77777777" w:rsidR="00741381" w:rsidRDefault="00741381">
            <w:pPr>
              <w:pStyle w:val="BodyText"/>
              <w:spacing w:before="0" w:line="280" w:lineRule="exact"/>
              <w:jc w:val="center"/>
              <w:rPr>
                <w:rFonts w:ascii="Arial" w:hAnsi="Arial"/>
                <w:b/>
                <w:sz w:val="20"/>
                <w:lang w:val="en-CA"/>
              </w:rPr>
            </w:pPr>
          </w:p>
          <w:p w14:paraId="468C9F0D"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Conversion</w:t>
            </w:r>
          </w:p>
          <w:p w14:paraId="1BBE9CFA"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Price (if</w:t>
            </w:r>
          </w:p>
          <w:p w14:paraId="7A98E1D5"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Applicable)</w:t>
            </w:r>
          </w:p>
          <w:p w14:paraId="561C9F5D"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231A9DB6" w14:textId="77777777" w:rsidR="00741381" w:rsidRDefault="00741381">
            <w:pPr>
              <w:pStyle w:val="BodyText"/>
              <w:spacing w:before="0" w:line="280" w:lineRule="exact"/>
              <w:jc w:val="center"/>
              <w:rPr>
                <w:rFonts w:ascii="Arial" w:hAnsi="Arial"/>
                <w:b/>
                <w:sz w:val="20"/>
                <w:lang w:val="en-CA"/>
              </w:rPr>
            </w:pPr>
          </w:p>
          <w:p w14:paraId="4F210A4F"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41956592" w14:textId="77777777" w:rsidR="00741381" w:rsidRDefault="00741381">
            <w:pPr>
              <w:pStyle w:val="BodyText"/>
              <w:spacing w:before="0" w:line="280" w:lineRule="exact"/>
              <w:jc w:val="center"/>
              <w:rPr>
                <w:rFonts w:ascii="Arial" w:hAnsi="Arial"/>
                <w:b/>
                <w:sz w:val="20"/>
              </w:rPr>
            </w:pPr>
          </w:p>
          <w:p w14:paraId="1B6668F5" w14:textId="77777777" w:rsidR="00741381" w:rsidRDefault="00266D03">
            <w:pPr>
              <w:pStyle w:val="BodyText"/>
              <w:spacing w:before="0" w:line="280" w:lineRule="exact"/>
              <w:jc w:val="center"/>
              <w:rPr>
                <w:rFonts w:ascii="Arial" w:hAnsi="Arial"/>
                <w:b/>
                <w:sz w:val="20"/>
                <w:lang w:val="en-CA"/>
              </w:rPr>
            </w:pPr>
            <w:r>
              <w:rPr>
                <w:rFonts w:ascii="Arial" w:hAnsi="Arial"/>
                <w:b/>
                <w:sz w:val="20"/>
              </w:rPr>
              <w:t>TotalSecuritiesPreviously Owned, Controlled or Directed</w:t>
            </w:r>
          </w:p>
        </w:tc>
        <w:tc>
          <w:tcPr>
            <w:tcW w:w="1080" w:type="dxa"/>
          </w:tcPr>
          <w:p w14:paraId="42D54D74" w14:textId="77777777" w:rsidR="00741381" w:rsidRDefault="00741381">
            <w:pPr>
              <w:pStyle w:val="BodyText"/>
              <w:spacing w:before="0" w:line="280" w:lineRule="exact"/>
              <w:jc w:val="center"/>
              <w:rPr>
                <w:rFonts w:ascii="Arial" w:hAnsi="Arial"/>
                <w:b/>
                <w:sz w:val="20"/>
                <w:lang w:val="en-CA"/>
              </w:rPr>
            </w:pPr>
          </w:p>
          <w:p w14:paraId="0C093BCD" w14:textId="77777777" w:rsidR="00741381" w:rsidRDefault="00266D0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5947E716" w14:textId="77777777" w:rsidR="00741381" w:rsidRDefault="00741381">
            <w:pPr>
              <w:pStyle w:val="BodyText"/>
              <w:spacing w:before="0" w:line="280" w:lineRule="exact"/>
              <w:jc w:val="center"/>
              <w:rPr>
                <w:rFonts w:ascii="Arial" w:hAnsi="Arial"/>
                <w:b/>
                <w:color w:val="000000"/>
                <w:sz w:val="20"/>
                <w:lang w:val="en-CA"/>
              </w:rPr>
            </w:pPr>
          </w:p>
          <w:p w14:paraId="36791900" w14:textId="77777777" w:rsidR="00741381" w:rsidRDefault="00266D0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741381" w14:paraId="119A46DF" w14:textId="77777777">
        <w:trPr>
          <w:trHeight w:val="864"/>
        </w:trPr>
        <w:tc>
          <w:tcPr>
            <w:tcW w:w="1368" w:type="dxa"/>
          </w:tcPr>
          <w:p w14:paraId="28361B32" w14:textId="77777777" w:rsidR="00741381" w:rsidRDefault="00741381">
            <w:pPr>
              <w:pStyle w:val="BodyText"/>
              <w:spacing w:before="0" w:line="280" w:lineRule="exact"/>
              <w:jc w:val="center"/>
              <w:rPr>
                <w:rFonts w:ascii="Arial" w:hAnsi="Arial"/>
                <w:sz w:val="20"/>
                <w:lang w:val="en-CA"/>
              </w:rPr>
            </w:pPr>
          </w:p>
        </w:tc>
        <w:tc>
          <w:tcPr>
            <w:tcW w:w="1350" w:type="dxa"/>
          </w:tcPr>
          <w:p w14:paraId="3EBE1DDD" w14:textId="77777777" w:rsidR="00741381" w:rsidRDefault="00741381">
            <w:pPr>
              <w:pStyle w:val="BodyText"/>
              <w:spacing w:before="0" w:line="280" w:lineRule="exact"/>
              <w:jc w:val="center"/>
              <w:rPr>
                <w:rFonts w:ascii="Arial" w:hAnsi="Arial"/>
                <w:b/>
                <w:sz w:val="20"/>
                <w:lang w:val="en-CA"/>
              </w:rPr>
            </w:pPr>
          </w:p>
        </w:tc>
        <w:tc>
          <w:tcPr>
            <w:tcW w:w="1170" w:type="dxa"/>
          </w:tcPr>
          <w:p w14:paraId="1E8C72D1" w14:textId="77777777" w:rsidR="00741381" w:rsidRDefault="00741381">
            <w:pPr>
              <w:pStyle w:val="BodyText"/>
              <w:spacing w:before="0" w:line="280" w:lineRule="exact"/>
              <w:jc w:val="center"/>
              <w:rPr>
                <w:rFonts w:ascii="Arial" w:hAnsi="Arial"/>
                <w:b/>
                <w:sz w:val="20"/>
                <w:lang w:val="en-CA"/>
              </w:rPr>
            </w:pPr>
          </w:p>
        </w:tc>
        <w:tc>
          <w:tcPr>
            <w:tcW w:w="1350" w:type="dxa"/>
          </w:tcPr>
          <w:p w14:paraId="0D1D7300" w14:textId="77777777" w:rsidR="00741381" w:rsidRDefault="00741381">
            <w:pPr>
              <w:pStyle w:val="BodyText"/>
              <w:spacing w:before="0" w:line="280" w:lineRule="exact"/>
              <w:jc w:val="center"/>
              <w:rPr>
                <w:rFonts w:ascii="Arial" w:hAnsi="Arial"/>
                <w:b/>
                <w:sz w:val="20"/>
                <w:lang w:val="en-CA"/>
              </w:rPr>
            </w:pPr>
          </w:p>
        </w:tc>
        <w:tc>
          <w:tcPr>
            <w:tcW w:w="1350" w:type="dxa"/>
          </w:tcPr>
          <w:p w14:paraId="3DD18DE2" w14:textId="77777777" w:rsidR="00741381" w:rsidRDefault="00741381">
            <w:pPr>
              <w:pStyle w:val="BodyText"/>
              <w:spacing w:before="0" w:line="280" w:lineRule="exact"/>
              <w:jc w:val="center"/>
              <w:rPr>
                <w:rFonts w:ascii="Arial" w:hAnsi="Arial"/>
                <w:b/>
                <w:sz w:val="20"/>
                <w:lang w:val="en-CA"/>
              </w:rPr>
            </w:pPr>
          </w:p>
        </w:tc>
        <w:tc>
          <w:tcPr>
            <w:tcW w:w="1710" w:type="dxa"/>
          </w:tcPr>
          <w:p w14:paraId="2B3CEA80" w14:textId="77777777" w:rsidR="00741381" w:rsidRDefault="00741381">
            <w:pPr>
              <w:pStyle w:val="BodyText"/>
              <w:spacing w:before="0" w:line="280" w:lineRule="exact"/>
              <w:jc w:val="center"/>
              <w:rPr>
                <w:rFonts w:ascii="Arial" w:hAnsi="Arial"/>
                <w:b/>
                <w:sz w:val="20"/>
              </w:rPr>
            </w:pPr>
          </w:p>
        </w:tc>
        <w:tc>
          <w:tcPr>
            <w:tcW w:w="1080" w:type="dxa"/>
          </w:tcPr>
          <w:p w14:paraId="5AFCEA58" w14:textId="77777777" w:rsidR="00741381" w:rsidRDefault="00741381">
            <w:pPr>
              <w:pStyle w:val="BodyText"/>
              <w:spacing w:before="0" w:line="280" w:lineRule="exact"/>
              <w:jc w:val="center"/>
              <w:rPr>
                <w:rFonts w:ascii="Arial" w:hAnsi="Arial"/>
                <w:b/>
                <w:sz w:val="20"/>
                <w:lang w:val="en-CA"/>
              </w:rPr>
            </w:pPr>
          </w:p>
        </w:tc>
        <w:tc>
          <w:tcPr>
            <w:tcW w:w="1080" w:type="dxa"/>
          </w:tcPr>
          <w:p w14:paraId="33B71480" w14:textId="77777777" w:rsidR="00741381" w:rsidRDefault="00741381">
            <w:pPr>
              <w:pStyle w:val="BodyText"/>
              <w:spacing w:before="0" w:line="280" w:lineRule="exact"/>
              <w:jc w:val="center"/>
              <w:rPr>
                <w:rFonts w:ascii="Arial" w:hAnsi="Arial"/>
                <w:b/>
                <w:color w:val="000000"/>
                <w:sz w:val="20"/>
                <w:lang w:val="en-CA"/>
              </w:rPr>
            </w:pPr>
          </w:p>
        </w:tc>
      </w:tr>
      <w:tr w:rsidR="00741381" w14:paraId="6266CE12" w14:textId="77777777">
        <w:trPr>
          <w:trHeight w:val="864"/>
        </w:trPr>
        <w:tc>
          <w:tcPr>
            <w:tcW w:w="1368" w:type="dxa"/>
          </w:tcPr>
          <w:p w14:paraId="669DA0B7" w14:textId="77777777" w:rsidR="00741381" w:rsidRDefault="00741381">
            <w:pPr>
              <w:pStyle w:val="BodyText"/>
              <w:rPr>
                <w:rFonts w:ascii="Arial" w:hAnsi="Arial"/>
                <w:lang w:val="en-CA"/>
              </w:rPr>
            </w:pPr>
          </w:p>
          <w:p w14:paraId="482B862A" w14:textId="77777777" w:rsidR="00741381" w:rsidRDefault="00741381">
            <w:pPr>
              <w:pStyle w:val="BodyText"/>
              <w:rPr>
                <w:rFonts w:ascii="Arial" w:hAnsi="Arial"/>
                <w:lang w:val="en-CA"/>
              </w:rPr>
            </w:pPr>
          </w:p>
        </w:tc>
        <w:tc>
          <w:tcPr>
            <w:tcW w:w="1350" w:type="dxa"/>
          </w:tcPr>
          <w:p w14:paraId="48C6D27F" w14:textId="77777777" w:rsidR="00741381" w:rsidRDefault="00741381">
            <w:pPr>
              <w:pStyle w:val="BodyText"/>
              <w:rPr>
                <w:rFonts w:ascii="Arial" w:hAnsi="Arial"/>
                <w:lang w:val="en-CA"/>
              </w:rPr>
            </w:pPr>
          </w:p>
        </w:tc>
        <w:tc>
          <w:tcPr>
            <w:tcW w:w="1170" w:type="dxa"/>
          </w:tcPr>
          <w:p w14:paraId="0E8638CB" w14:textId="77777777" w:rsidR="00741381" w:rsidRDefault="00741381">
            <w:pPr>
              <w:pStyle w:val="BodyText"/>
              <w:rPr>
                <w:rFonts w:ascii="Arial" w:hAnsi="Arial"/>
                <w:lang w:val="en-CA"/>
              </w:rPr>
            </w:pPr>
          </w:p>
        </w:tc>
        <w:tc>
          <w:tcPr>
            <w:tcW w:w="1350" w:type="dxa"/>
          </w:tcPr>
          <w:p w14:paraId="4E3D7160" w14:textId="77777777" w:rsidR="00741381" w:rsidRDefault="00741381">
            <w:pPr>
              <w:pStyle w:val="BodyText"/>
              <w:rPr>
                <w:rFonts w:ascii="Arial" w:hAnsi="Arial"/>
                <w:lang w:val="en-CA"/>
              </w:rPr>
            </w:pPr>
          </w:p>
        </w:tc>
        <w:tc>
          <w:tcPr>
            <w:tcW w:w="1350" w:type="dxa"/>
          </w:tcPr>
          <w:p w14:paraId="26336178" w14:textId="77777777" w:rsidR="00741381" w:rsidRDefault="00741381">
            <w:pPr>
              <w:pStyle w:val="BodyText"/>
              <w:rPr>
                <w:rFonts w:ascii="Arial" w:hAnsi="Arial"/>
                <w:lang w:val="en-CA"/>
              </w:rPr>
            </w:pPr>
          </w:p>
        </w:tc>
        <w:tc>
          <w:tcPr>
            <w:tcW w:w="1710" w:type="dxa"/>
          </w:tcPr>
          <w:p w14:paraId="1C2EFA29" w14:textId="77777777" w:rsidR="00741381" w:rsidRDefault="00741381">
            <w:pPr>
              <w:pStyle w:val="BodyText"/>
              <w:rPr>
                <w:rFonts w:ascii="Arial" w:hAnsi="Arial"/>
                <w:lang w:val="en-CA"/>
              </w:rPr>
            </w:pPr>
          </w:p>
        </w:tc>
        <w:tc>
          <w:tcPr>
            <w:tcW w:w="1080" w:type="dxa"/>
          </w:tcPr>
          <w:p w14:paraId="513FA7E6" w14:textId="77777777" w:rsidR="00741381" w:rsidRDefault="00741381">
            <w:pPr>
              <w:pStyle w:val="BodyText"/>
              <w:rPr>
                <w:rFonts w:ascii="Arial" w:hAnsi="Arial"/>
                <w:lang w:val="en-CA"/>
              </w:rPr>
            </w:pPr>
          </w:p>
        </w:tc>
        <w:tc>
          <w:tcPr>
            <w:tcW w:w="1080" w:type="dxa"/>
          </w:tcPr>
          <w:p w14:paraId="1218F474" w14:textId="77777777" w:rsidR="00741381" w:rsidRDefault="00741381">
            <w:pPr>
              <w:pStyle w:val="BodyText"/>
              <w:rPr>
                <w:rFonts w:ascii="Arial" w:hAnsi="Arial"/>
                <w:lang w:val="en-CA"/>
              </w:rPr>
            </w:pPr>
          </w:p>
        </w:tc>
      </w:tr>
      <w:tr w:rsidR="00741381" w14:paraId="542BD49C" w14:textId="77777777">
        <w:trPr>
          <w:trHeight w:val="864"/>
        </w:trPr>
        <w:tc>
          <w:tcPr>
            <w:tcW w:w="1368" w:type="dxa"/>
          </w:tcPr>
          <w:p w14:paraId="1CFC70C4" w14:textId="77777777" w:rsidR="00741381" w:rsidRDefault="00741381">
            <w:pPr>
              <w:pStyle w:val="BodyText"/>
              <w:rPr>
                <w:rFonts w:ascii="Arial" w:hAnsi="Arial"/>
                <w:lang w:val="en-CA"/>
              </w:rPr>
            </w:pPr>
          </w:p>
        </w:tc>
        <w:tc>
          <w:tcPr>
            <w:tcW w:w="1350" w:type="dxa"/>
          </w:tcPr>
          <w:p w14:paraId="1B7EDC15" w14:textId="77777777" w:rsidR="00741381" w:rsidRDefault="00741381">
            <w:pPr>
              <w:pStyle w:val="BodyText"/>
              <w:rPr>
                <w:rFonts w:ascii="Arial" w:hAnsi="Arial"/>
                <w:lang w:val="en-CA"/>
              </w:rPr>
            </w:pPr>
          </w:p>
        </w:tc>
        <w:tc>
          <w:tcPr>
            <w:tcW w:w="1170" w:type="dxa"/>
          </w:tcPr>
          <w:p w14:paraId="6CCDD30A" w14:textId="77777777" w:rsidR="00741381" w:rsidRDefault="00741381">
            <w:pPr>
              <w:pStyle w:val="BodyText"/>
              <w:rPr>
                <w:rFonts w:ascii="Arial" w:hAnsi="Arial"/>
                <w:lang w:val="en-CA"/>
              </w:rPr>
            </w:pPr>
          </w:p>
        </w:tc>
        <w:tc>
          <w:tcPr>
            <w:tcW w:w="1350" w:type="dxa"/>
          </w:tcPr>
          <w:p w14:paraId="2F26166D" w14:textId="77777777" w:rsidR="00741381" w:rsidRDefault="00741381">
            <w:pPr>
              <w:pStyle w:val="BodyText"/>
              <w:rPr>
                <w:rFonts w:ascii="Arial" w:hAnsi="Arial"/>
                <w:lang w:val="en-CA"/>
              </w:rPr>
            </w:pPr>
          </w:p>
        </w:tc>
        <w:tc>
          <w:tcPr>
            <w:tcW w:w="1350" w:type="dxa"/>
          </w:tcPr>
          <w:p w14:paraId="63372DBC" w14:textId="77777777" w:rsidR="00741381" w:rsidRDefault="00741381">
            <w:pPr>
              <w:pStyle w:val="BodyText"/>
              <w:rPr>
                <w:rFonts w:ascii="Arial" w:hAnsi="Arial"/>
                <w:lang w:val="en-CA"/>
              </w:rPr>
            </w:pPr>
          </w:p>
        </w:tc>
        <w:tc>
          <w:tcPr>
            <w:tcW w:w="1710" w:type="dxa"/>
          </w:tcPr>
          <w:p w14:paraId="56E272D7" w14:textId="77777777" w:rsidR="00741381" w:rsidRDefault="00741381">
            <w:pPr>
              <w:pStyle w:val="BodyText"/>
              <w:rPr>
                <w:rFonts w:ascii="Arial" w:hAnsi="Arial"/>
                <w:lang w:val="en-CA"/>
              </w:rPr>
            </w:pPr>
          </w:p>
        </w:tc>
        <w:tc>
          <w:tcPr>
            <w:tcW w:w="1080" w:type="dxa"/>
          </w:tcPr>
          <w:p w14:paraId="485C9160" w14:textId="77777777" w:rsidR="00741381" w:rsidRDefault="00741381">
            <w:pPr>
              <w:pStyle w:val="BodyText"/>
              <w:rPr>
                <w:rFonts w:ascii="Arial" w:hAnsi="Arial"/>
                <w:lang w:val="en-CA"/>
              </w:rPr>
            </w:pPr>
          </w:p>
        </w:tc>
        <w:tc>
          <w:tcPr>
            <w:tcW w:w="1080" w:type="dxa"/>
          </w:tcPr>
          <w:p w14:paraId="2241DF9A" w14:textId="77777777" w:rsidR="00741381" w:rsidRDefault="00741381">
            <w:pPr>
              <w:pStyle w:val="BodyText"/>
              <w:rPr>
                <w:rFonts w:ascii="Arial" w:hAnsi="Arial"/>
                <w:lang w:val="en-CA"/>
              </w:rPr>
            </w:pPr>
          </w:p>
        </w:tc>
      </w:tr>
    </w:tbl>
    <w:p w14:paraId="30885152" w14:textId="77777777" w:rsidR="00741381" w:rsidRDefault="00741381">
      <w:pPr>
        <w:pStyle w:val="BodyText"/>
        <w:rPr>
          <w:rFonts w:ascii="Arial" w:hAnsi="Arial" w:cs="Arial"/>
          <w:sz w:val="20"/>
        </w:rPr>
      </w:pPr>
    </w:p>
    <w:p w14:paraId="78A478CC" w14:textId="77777777" w:rsidR="00741381" w:rsidRDefault="00266D03">
      <w:pPr>
        <w:pStyle w:val="FootnoteText"/>
        <w:rPr>
          <w:rFonts w:ascii="Arial" w:hAnsi="Arial" w:cs="Arial"/>
          <w:sz w:val="24"/>
          <w:szCs w:val="24"/>
        </w:rPr>
      </w:pPr>
      <w:r>
        <w:rPr>
          <w:rFonts w:ascii="Arial" w:hAnsi="Arial" w:cs="Arial"/>
          <w:vertAlign w:val="superscript"/>
        </w:rPr>
        <w:t>1</w:t>
      </w:r>
      <w:r>
        <w:rPr>
          <w:rFonts w:ascii="Arial" w:hAnsi="Arial" w:cs="Arial"/>
        </w:rPr>
        <w:t xml:space="preserve">An issuance of non-convertible debt does not have to be reported unless it is a significant transaction as defined in Policy 7, in which case it is to be reported on </w:t>
      </w:r>
      <w:r>
        <w:rPr>
          <w:rFonts w:ascii="Arial" w:hAnsi="Arial" w:cs="Arial"/>
        </w:rPr>
        <w:t>Form 10</w:t>
      </w:r>
      <w:r>
        <w:rPr>
          <w:rFonts w:ascii="Arial" w:hAnsi="Arial" w:cs="Arial"/>
          <w:sz w:val="24"/>
          <w:szCs w:val="24"/>
        </w:rPr>
        <w:t>.</w:t>
      </w:r>
    </w:p>
    <w:p w14:paraId="58BB2B49" w14:textId="77777777" w:rsidR="00741381" w:rsidRDefault="00266D0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14:paraId="1F786F0E" w14:textId="77777777" w:rsidR="00741381" w:rsidRDefault="00266D0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t>Provide full details of the use of the proceeds.  The disclosure should be sufficiently complete to enable a reader to appreciate the significance of the transaction without reference to any other mate</w:t>
      </w:r>
      <w:r>
        <w:rPr>
          <w:rFonts w:ascii="Arial" w:hAnsi="Arial"/>
        </w:rPr>
        <w:t xml:space="preserve">rial.  </w:t>
      </w:r>
      <w:r>
        <w:rPr>
          <w:rFonts w:ascii="Arial" w:hAnsi="Arial"/>
          <w:u w:val="single"/>
        </w:rPr>
        <w:tab/>
      </w:r>
      <w:r>
        <w:rPr>
          <w:rFonts w:ascii="Arial" w:hAnsi="Arial"/>
        </w:rPr>
        <w:t xml:space="preserve"> .</w:t>
      </w:r>
    </w:p>
    <w:p w14:paraId="6A493643" w14:textId="77777777" w:rsidR="00741381" w:rsidRDefault="00266D0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14:paraId="15B3A1CD" w14:textId="77777777" w:rsidR="00741381" w:rsidRDefault="00266D03">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w:t>
      </w:r>
      <w:r>
        <w:rPr>
          <w:rFonts w:ascii="Arial" w:hAnsi="Arial"/>
        </w:rPr>
        <w:t>rities.</w:t>
      </w:r>
    </w:p>
    <w:p w14:paraId="2752F9CF" w14:textId="77777777" w:rsidR="00741381" w:rsidRDefault="00266D03">
      <w:pPr>
        <w:pStyle w:val="BodyText"/>
        <w:numPr>
          <w:ilvl w:val="0"/>
          <w:numId w:val="10"/>
        </w:numPr>
        <w:tabs>
          <w:tab w:val="left" w:pos="9180"/>
        </w:tabs>
        <w:rPr>
          <w:rFonts w:ascii="Arial" w:hAnsi="Arial"/>
        </w:rPr>
      </w:pPr>
      <w:r>
        <w:rPr>
          <w:rFonts w:ascii="Arial" w:hAnsi="Arial"/>
        </w:rPr>
        <w:t>Description of securities to be issued:</w:t>
      </w:r>
    </w:p>
    <w:p w14:paraId="354646DA" w14:textId="77777777" w:rsidR="00741381" w:rsidRDefault="00266D0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14:paraId="6418EC10" w14:textId="77777777" w:rsidR="00741381" w:rsidRDefault="00266D0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2B251DF8" w14:textId="77777777" w:rsidR="00741381" w:rsidRDefault="00266D0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14:paraId="49FB8C1C" w14:textId="77777777" w:rsidR="00741381" w:rsidRDefault="00266D0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523ADFEB" w14:textId="77777777" w:rsidR="00741381" w:rsidRDefault="00266D0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37AD1ABB" w14:textId="77777777" w:rsidR="00741381" w:rsidRDefault="00266D0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r>
        <w:rPr>
          <w:rFonts w:ascii="Arial" w:hAnsi="Arial"/>
        </w:rPr>
        <w:t xml:space="preserve">Number </w:t>
      </w:r>
      <w:r>
        <w:rPr>
          <w:rFonts w:ascii="Arial" w:hAnsi="Arial"/>
          <w:u w:val="single"/>
        </w:rPr>
        <w:tab/>
      </w:r>
      <w:r>
        <w:rPr>
          <w:rFonts w:ascii="Arial" w:hAnsi="Arial"/>
        </w:rPr>
        <w:t xml:space="preserve"> .</w:t>
      </w:r>
    </w:p>
    <w:p w14:paraId="06E7420B" w14:textId="77777777" w:rsidR="00741381" w:rsidRDefault="00266D0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14:paraId="70DD45C2" w14:textId="77777777" w:rsidR="00741381" w:rsidRDefault="00266D0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73CA124B" w14:textId="77777777" w:rsidR="00741381" w:rsidRDefault="00266D0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2A2CB9F7" w14:textId="77777777" w:rsidR="00741381" w:rsidRDefault="00266D0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10E6EFCE" w14:textId="77777777" w:rsidR="00741381" w:rsidRDefault="00266D0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068A78B9" w14:textId="77777777" w:rsidR="00741381" w:rsidRDefault="00266D0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w:t>
      </w:r>
      <w:r>
        <w:rPr>
          <w:rFonts w:ascii="Arial" w:hAnsi="Arial"/>
        </w:rPr>
        <w:t xml:space="preserve">t </w:t>
      </w:r>
      <w:r>
        <w:rPr>
          <w:rFonts w:ascii="Arial" w:hAnsi="Arial"/>
          <w:u w:val="single"/>
        </w:rPr>
        <w:tab/>
      </w:r>
      <w:r>
        <w:rPr>
          <w:rFonts w:ascii="Arial" w:hAnsi="Arial"/>
        </w:rPr>
        <w:t xml:space="preserve"> .</w:t>
      </w:r>
    </w:p>
    <w:p w14:paraId="0945FE3E" w14:textId="77777777" w:rsidR="00741381" w:rsidRDefault="00266D0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5D374A5E" w14:textId="77777777" w:rsidR="00741381" w:rsidRDefault="00266D0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2D2CDAAE" w14:textId="77777777" w:rsidR="00741381" w:rsidRDefault="00266D0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2CCE1995" w14:textId="77777777" w:rsidR="00741381" w:rsidRDefault="00741381">
      <w:pPr>
        <w:pStyle w:val="BodyText"/>
        <w:tabs>
          <w:tab w:val="left" w:pos="1080"/>
          <w:tab w:val="left" w:pos="1440"/>
          <w:tab w:val="left" w:pos="2160"/>
          <w:tab w:val="left" w:pos="9180"/>
        </w:tabs>
        <w:rPr>
          <w:rFonts w:ascii="Arial" w:hAnsi="Arial"/>
        </w:rPr>
      </w:pPr>
    </w:p>
    <w:p w14:paraId="79B830D5" w14:textId="77777777" w:rsidR="00741381" w:rsidRDefault="00266D0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2A365510" w14:textId="77777777" w:rsidR="00741381" w:rsidRDefault="00266D0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w:t>
      </w:r>
      <w:r>
        <w:rPr>
          <w:rFonts w:ascii="Arial" w:hAnsi="Arial"/>
        </w:rPr>
        <w:t xml:space="preserve"> with the placement (including warrants, options, etc.):</w:t>
      </w:r>
    </w:p>
    <w:p w14:paraId="016A200E" w14:textId="77777777" w:rsidR="00741381" w:rsidRDefault="00266D0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and if a corporation, identify persons owning or exercising voting control over</w:t>
      </w:r>
      <w:r>
        <w:rPr>
          <w:rFonts w:ascii="Arial" w:hAnsi="Arial"/>
        </w:rPr>
        <w:t xml:space="preserve"> 20% or more of the voting shares if known to the Issuer): </w:t>
      </w:r>
      <w:r>
        <w:rPr>
          <w:rFonts w:ascii="Arial" w:hAnsi="Arial"/>
          <w:u w:val="single"/>
        </w:rPr>
        <w:tab/>
      </w:r>
      <w:r>
        <w:rPr>
          <w:rFonts w:ascii="Arial" w:hAnsi="Arial"/>
        </w:rPr>
        <w:t xml:space="preserve"> .</w:t>
      </w:r>
    </w:p>
    <w:p w14:paraId="5F5C795F" w14:textId="77777777" w:rsidR="00741381" w:rsidRDefault="00266D0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79A92BDE" w14:textId="77777777" w:rsidR="00741381" w:rsidRDefault="00266D0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6A04E0B4" w14:textId="77777777" w:rsidR="00741381" w:rsidRDefault="00266D0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582D395F" w14:textId="77777777" w:rsidR="00741381" w:rsidRDefault="00266D0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59FEE580" w14:textId="77777777" w:rsidR="00741381" w:rsidRDefault="00266D0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22B7403C" w14:textId="77777777" w:rsidR="00741381" w:rsidRDefault="00266D0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6B280461" w14:textId="77777777" w:rsidR="00741381" w:rsidRDefault="00266D0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793CDB1F" w14:textId="77777777" w:rsidR="00741381" w:rsidRDefault="00741381">
      <w:pPr>
        <w:pStyle w:val="List"/>
        <w:tabs>
          <w:tab w:val="left" w:pos="1080"/>
          <w:tab w:val="left" w:pos="9180"/>
        </w:tabs>
        <w:ind w:left="0" w:firstLine="0"/>
        <w:jc w:val="both"/>
        <w:rPr>
          <w:rFonts w:ascii="Arial" w:hAnsi="Arial"/>
        </w:rPr>
      </w:pPr>
    </w:p>
    <w:p w14:paraId="2EAF2508" w14:textId="77777777" w:rsidR="00741381" w:rsidRDefault="00266D03">
      <w:pPr>
        <w:pStyle w:val="List"/>
        <w:numPr>
          <w:ilvl w:val="0"/>
          <w:numId w:val="10"/>
        </w:numPr>
        <w:rPr>
          <w:rFonts w:ascii="Arial" w:hAnsi="Arial"/>
        </w:rPr>
      </w:pPr>
      <w:r>
        <w:rPr>
          <w:rFonts w:ascii="Arial" w:hAnsi="Arial"/>
        </w:rPr>
        <w:t xml:space="preserve">Describe any </w:t>
      </w:r>
      <w:r>
        <w:rPr>
          <w:rFonts w:ascii="Arial" w:hAnsi="Arial"/>
        </w:rPr>
        <w:t>unusual particulars of the transaction (i.e. tax “flow through” shares, etc.).</w:t>
      </w:r>
    </w:p>
    <w:p w14:paraId="102C659F" w14:textId="77777777" w:rsidR="00741381" w:rsidRDefault="00266D0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24343B4" w14:textId="77777777" w:rsidR="00741381" w:rsidRDefault="00266D03">
      <w:pPr>
        <w:pStyle w:val="List"/>
        <w:numPr>
          <w:ilvl w:val="0"/>
          <w:numId w:val="10"/>
        </w:numPr>
        <w:rPr>
          <w:rFonts w:ascii="Arial" w:hAnsi="Arial"/>
        </w:rPr>
      </w:pPr>
      <w:r>
        <w:rPr>
          <w:rFonts w:ascii="Arial" w:hAnsi="Arial"/>
        </w:rPr>
        <w:t>State whether the private placement will result in a change of control.</w:t>
      </w:r>
    </w:p>
    <w:p w14:paraId="39891A0C" w14:textId="77777777" w:rsidR="00741381" w:rsidRDefault="00266D0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BB9070A" w14:textId="77777777" w:rsidR="00741381" w:rsidRDefault="00741381">
      <w:pPr>
        <w:pStyle w:val="List"/>
        <w:tabs>
          <w:tab w:val="left" w:pos="9180"/>
        </w:tabs>
        <w:spacing w:before="0"/>
        <w:jc w:val="both"/>
        <w:rPr>
          <w:rFonts w:ascii="Arial" w:hAnsi="Arial"/>
        </w:rPr>
      </w:pPr>
    </w:p>
    <w:p w14:paraId="644FEBD0" w14:textId="77777777" w:rsidR="00741381" w:rsidRDefault="00266D03">
      <w:pPr>
        <w:pStyle w:val="List"/>
        <w:numPr>
          <w:ilvl w:val="0"/>
          <w:numId w:val="10"/>
        </w:numPr>
        <w:tabs>
          <w:tab w:val="left" w:pos="9180"/>
        </w:tabs>
        <w:spacing w:before="0"/>
        <w:jc w:val="both"/>
        <w:rPr>
          <w:rFonts w:ascii="Arial" w:hAnsi="Arial"/>
          <w:u w:val="single"/>
        </w:rPr>
      </w:pPr>
      <w:r>
        <w:rPr>
          <w:rFonts w:ascii="Arial" w:hAnsi="Arial"/>
        </w:rPr>
        <w:t>Where there is a change in the control of the Issuer resulting from the issuance of the privat</w:t>
      </w:r>
      <w:r>
        <w:rPr>
          <w:rFonts w:ascii="Arial" w:hAnsi="Arial"/>
        </w:rPr>
        <w:t xml:space="preserve">e placement shares, indicate the names of the new controlling shareholders.  </w:t>
      </w:r>
      <w:r>
        <w:rPr>
          <w:rFonts w:ascii="Arial" w:hAnsi="Arial"/>
          <w:u w:val="single"/>
        </w:rPr>
        <w:tab/>
      </w:r>
    </w:p>
    <w:p w14:paraId="69167AF4" w14:textId="77777777" w:rsidR="00741381" w:rsidRDefault="00266D0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1E77CE2A" w14:textId="77777777" w:rsidR="00741381" w:rsidRDefault="00266D0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752CEDD5" w14:textId="77777777" w:rsidR="00741381" w:rsidRDefault="00266D03">
      <w:pPr>
        <w:pStyle w:val="List"/>
        <w:tabs>
          <w:tab w:val="left" w:pos="1080"/>
          <w:tab w:val="left" w:pos="9180"/>
        </w:tabs>
        <w:spacing w:before="0"/>
        <w:ind w:left="0" w:firstLine="0"/>
        <w:jc w:val="both"/>
        <w:rPr>
          <w:rFonts w:ascii="Arial" w:hAnsi="Arial"/>
        </w:rPr>
      </w:pPr>
      <w:r>
        <w:rPr>
          <w:rFonts w:ascii="Arial" w:hAnsi="Arial"/>
        </w:rPr>
        <w:tab/>
      </w:r>
    </w:p>
    <w:p w14:paraId="57ACF6A5" w14:textId="77777777" w:rsidR="00741381" w:rsidRDefault="00266D0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w:t>
      </w:r>
      <w:r>
        <w:rPr>
          <w:rFonts w:ascii="Arial" w:hAnsi="Arial"/>
        </w:rPr>
        <w:t>subject to a hold period bear the appropriate legend restricting their transfer until the expiry of the applicable hold period required by National Instrument 45-102 Resale of Securities.</w:t>
      </w:r>
    </w:p>
    <w:p w14:paraId="217EF1EF" w14:textId="77777777" w:rsidR="00741381" w:rsidRDefault="00266D03">
      <w:pPr>
        <w:rPr>
          <w:rFonts w:ascii="Arial" w:hAnsi="Arial"/>
          <w:b/>
          <w:color w:val="000000"/>
          <w:sz w:val="24"/>
          <w:lang w:val="en-GB"/>
        </w:rPr>
      </w:pPr>
      <w:r>
        <w:rPr>
          <w:rFonts w:ascii="Arial" w:hAnsi="Arial"/>
          <w:b/>
          <w:color w:val="000000"/>
        </w:rPr>
        <w:lastRenderedPageBreak/>
        <w:br w:type="page"/>
      </w:r>
    </w:p>
    <w:p w14:paraId="1E141712" w14:textId="77777777" w:rsidR="00741381" w:rsidRDefault="00266D03">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p>
    <w:p w14:paraId="03C5DEB1" w14:textId="77777777" w:rsidR="00741381" w:rsidRDefault="00741381">
      <w:pPr>
        <w:pStyle w:val="List"/>
        <w:tabs>
          <w:tab w:val="left" w:pos="9180"/>
        </w:tabs>
        <w:spacing w:before="0"/>
        <w:ind w:left="0" w:firstLine="0"/>
        <w:jc w:val="both"/>
        <w:rPr>
          <w:rFonts w:ascii="Arial" w:hAnsi="Arial"/>
          <w:color w:val="000000"/>
        </w:rPr>
      </w:pPr>
    </w:p>
    <w:p w14:paraId="58FCD4E9" w14:textId="77777777" w:rsidR="00741381" w:rsidRDefault="00266D03">
      <w:pPr>
        <w:pStyle w:val="List"/>
        <w:numPr>
          <w:ilvl w:val="0"/>
          <w:numId w:val="14"/>
        </w:numPr>
        <w:tabs>
          <w:tab w:val="left" w:pos="9180"/>
        </w:tabs>
        <w:spacing w:before="0"/>
        <w:jc w:val="both"/>
        <w:rPr>
          <w:rFonts w:ascii="Arial" w:hAnsi="Arial"/>
          <w:color w:val="000000"/>
        </w:rPr>
      </w:pPr>
      <w:r>
        <w:rPr>
          <w:rFonts w:ascii="Arial" w:hAnsi="Arial"/>
          <w:color w:val="000000"/>
        </w:rPr>
        <w:t xml:space="preserve">Provide details of the assets to be acquired </w:t>
      </w:r>
      <w:r>
        <w:rPr>
          <w:rFonts w:ascii="Arial" w:hAnsi="Arial"/>
          <w:color w:val="000000"/>
        </w:rPr>
        <w:t xml:space="preserve">by the Issuer (including the location of the assets, if applicable).  The disclosure should be sufficiently complete to enable a reader to appreciate the significance of the transaction without reference to any other material: </w:t>
      </w:r>
      <w:bookmarkStart w:id="4" w:name="_Hlk101945429"/>
      <w:r>
        <w:rPr>
          <w:rFonts w:ascii="Arial" w:hAnsi="Arial"/>
          <w:color w:val="000000"/>
          <w:u w:val="single"/>
        </w:rPr>
        <w:t>On August 12, 2022, Ascend Oh</w:t>
      </w:r>
      <w:r>
        <w:rPr>
          <w:rFonts w:ascii="Arial" w:hAnsi="Arial"/>
          <w:color w:val="000000"/>
          <w:u w:val="single"/>
        </w:rPr>
        <w:t>io, LLC, an affiliate of the Issuer  entered into a definitive agreement with Rockwood Holdings 4 LLC, SMG Partners, LLC, Rocco Co., LLC, and John Pardee (the “Ohio Agreement”) that provides Ascend Ohio, LLC the option to acquire 100% of the equity of Ohio</w:t>
      </w:r>
      <w:r>
        <w:rPr>
          <w:rFonts w:ascii="Arial" w:hAnsi="Arial"/>
          <w:color w:val="000000"/>
          <w:u w:val="single"/>
        </w:rPr>
        <w:t xml:space="preserve"> Patient Access LLC (“OPA”) from,  the holder of a license that grants it the right to operate three medical dispensaries in Ohio, which operations have not yet commenced. Under the Ohio Agreement, the Company will also acquire the real property of the thr</w:t>
      </w:r>
      <w:r>
        <w:rPr>
          <w:rFonts w:ascii="Arial" w:hAnsi="Arial"/>
          <w:color w:val="000000"/>
          <w:u w:val="single"/>
        </w:rPr>
        <w:t>ee dispensary locations. Total cash consideration is $22,300,000 plus an earn-out provision of up to $7,300,000 that is dependent upon the commencement of adult-use cannabis sales in Ohio. The sellers may elect to receive the earn-out payment as either cas</w:t>
      </w:r>
      <w:r>
        <w:rPr>
          <w:rFonts w:ascii="Arial" w:hAnsi="Arial"/>
          <w:color w:val="000000"/>
          <w:u w:val="single"/>
        </w:rPr>
        <w:t>h or shares of the Company’s Class A common stock, or a combination thereof. If the sellers elect to receive any or all of the payment in shares, the number of shares issued will be equal to the earn-out payment amount, or portion thereof, divided by the t</w:t>
      </w:r>
      <w:r>
        <w:rPr>
          <w:rFonts w:ascii="Arial" w:hAnsi="Arial"/>
          <w:color w:val="000000"/>
          <w:u w:val="single"/>
        </w:rPr>
        <w:t>hirty-day volume weighted average price of the Class A shares immediately preceding the date the earn-out provision is achieved. The Ohio Agreement is subject to regulatory review and approval. In conjunction with the Ohio Agreement, the parties also enter</w:t>
      </w:r>
      <w:r>
        <w:rPr>
          <w:rFonts w:ascii="Arial" w:hAnsi="Arial"/>
          <w:color w:val="000000"/>
          <w:u w:val="single"/>
        </w:rPr>
        <w:t>ed into a support services agreement under which the Company will provide management and advisory services to OPA for a set monthly fee. The parties also entered into a working capital loan agreement under which the Company may, at its full discretion, loa</w:t>
      </w:r>
      <w:r>
        <w:rPr>
          <w:rFonts w:ascii="Arial" w:hAnsi="Arial"/>
          <w:color w:val="000000"/>
          <w:u w:val="single"/>
        </w:rPr>
        <w:t>n OPA up to $10,000,000 for general working capital needs.</w:t>
      </w:r>
    </w:p>
    <w:p w14:paraId="7680D9B7" w14:textId="77777777" w:rsidR="00741381" w:rsidRDefault="00741381">
      <w:pPr>
        <w:pStyle w:val="List"/>
        <w:tabs>
          <w:tab w:val="left" w:pos="9180"/>
        </w:tabs>
        <w:spacing w:before="0"/>
        <w:ind w:left="360" w:firstLine="0"/>
        <w:jc w:val="both"/>
        <w:rPr>
          <w:rFonts w:ascii="Arial" w:hAnsi="Arial"/>
          <w:color w:val="000000"/>
        </w:rPr>
      </w:pPr>
    </w:p>
    <w:bookmarkEnd w:id="4"/>
    <w:p w14:paraId="482D30F9" w14:textId="77777777" w:rsidR="00741381" w:rsidRDefault="00266D03">
      <w:pPr>
        <w:pStyle w:val="List"/>
        <w:numPr>
          <w:ilvl w:val="0"/>
          <w:numId w:val="14"/>
        </w:numPr>
        <w:tabs>
          <w:tab w:val="left" w:pos="9180"/>
        </w:tabs>
        <w:jc w:val="both"/>
        <w:rPr>
          <w:rFonts w:ascii="Arial" w:hAnsi="Arial"/>
          <w:color w:val="000000"/>
        </w:rPr>
      </w:pPr>
      <w:r>
        <w:rPr>
          <w:rFonts w:ascii="Arial" w:hAnsi="Arial"/>
          <w:color w:val="000000"/>
        </w:rPr>
        <w:t>Provide details of the acquisition including the date, parties to and type of agreement (eg: sale, option, license etc.) and relationship to the Issuer. The disclosure should be sufficiently compl</w:t>
      </w:r>
      <w:r>
        <w:rPr>
          <w:rFonts w:ascii="Arial" w:hAnsi="Arial"/>
          <w:color w:val="000000"/>
        </w:rPr>
        <w:t xml:space="preserve">ete to enable a reader to appreciate the significance of the acquisition without reference to any other material: </w:t>
      </w:r>
      <w:r>
        <w:rPr>
          <w:rFonts w:ascii="Arial" w:hAnsi="Arial"/>
          <w:color w:val="000000"/>
          <w:u w:val="single"/>
        </w:rPr>
        <w:t>See #1.</w:t>
      </w:r>
    </w:p>
    <w:p w14:paraId="08BCA517" w14:textId="77777777" w:rsidR="00741381" w:rsidRDefault="00741381">
      <w:pPr>
        <w:pStyle w:val="ListParagraph"/>
        <w:rPr>
          <w:rFonts w:ascii="Arial" w:hAnsi="Arial"/>
          <w:color w:val="000000"/>
          <w:u w:val="single"/>
        </w:rPr>
      </w:pPr>
    </w:p>
    <w:p w14:paraId="481614A8" w14:textId="77777777" w:rsidR="00741381" w:rsidRDefault="00741381">
      <w:pPr>
        <w:pStyle w:val="ListParagraph"/>
        <w:rPr>
          <w:rFonts w:ascii="Arial" w:hAnsi="Arial"/>
          <w:color w:val="000000"/>
          <w:u w:val="single"/>
        </w:rPr>
      </w:pPr>
    </w:p>
    <w:p w14:paraId="12235ECE" w14:textId="77777777" w:rsidR="00741381" w:rsidRDefault="00266D0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w:t>
      </w:r>
      <w:r>
        <w:rPr>
          <w:rFonts w:ascii="Arial" w:hAnsi="Arial"/>
          <w:color w:val="000000"/>
        </w:rPr>
        <w:t>ies or other consideration) and any required work commitments:</w:t>
      </w:r>
    </w:p>
    <w:p w14:paraId="71F8BC48" w14:textId="77777777" w:rsidR="00741381" w:rsidRDefault="00266D0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US$29.6 million (approximately C$38.1 million)</w:t>
      </w:r>
      <w:r>
        <w:rPr>
          <w:rFonts w:ascii="Arial" w:hAnsi="Arial"/>
          <w:color w:val="000000"/>
        </w:rPr>
        <w:t xml:space="preserve"> .</w:t>
      </w:r>
    </w:p>
    <w:p w14:paraId="6E5BFFE1" w14:textId="77777777" w:rsidR="00741381" w:rsidRDefault="00266D0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approximately US$22.3 million (approximately C$28.7 million)</w:t>
      </w:r>
      <w:r>
        <w:rPr>
          <w:rFonts w:ascii="Arial" w:hAnsi="Arial"/>
          <w:color w:val="000000"/>
        </w:rPr>
        <w:t>.</w:t>
      </w:r>
    </w:p>
    <w:p w14:paraId="5A743FF7" w14:textId="77777777" w:rsidR="00741381" w:rsidRDefault="00266D03">
      <w:pPr>
        <w:pStyle w:val="List"/>
        <w:numPr>
          <w:ilvl w:val="0"/>
          <w:numId w:val="13"/>
        </w:numPr>
        <w:tabs>
          <w:tab w:val="left" w:pos="2160"/>
          <w:tab w:val="left" w:pos="9180"/>
        </w:tabs>
        <w:rPr>
          <w:rFonts w:ascii="Arial" w:hAnsi="Arial"/>
          <w:color w:val="000000"/>
        </w:rPr>
      </w:pPr>
      <w:r>
        <w:rPr>
          <w:rFonts w:ascii="Arial" w:hAnsi="Arial"/>
          <w:color w:val="000000"/>
        </w:rPr>
        <w:t>Securities (including opt</w:t>
      </w:r>
      <w:r>
        <w:rPr>
          <w:rFonts w:ascii="Arial" w:hAnsi="Arial"/>
          <w:color w:val="000000"/>
        </w:rPr>
        <w:t xml:space="preserve">ions, warrants etc.) and dollar value: </w:t>
      </w:r>
      <w:r>
        <w:rPr>
          <w:rFonts w:ascii="Arial" w:hAnsi="Arial"/>
          <w:color w:val="000000"/>
          <w:u w:val="single"/>
        </w:rPr>
        <w:t xml:space="preserve">Up to US$7.3 million (approximately C$9.4 million) in Class A Common </w:t>
      </w:r>
      <w:r>
        <w:rPr>
          <w:rFonts w:ascii="Arial" w:hAnsi="Arial"/>
          <w:color w:val="000000"/>
          <w:u w:val="single"/>
        </w:rPr>
        <w:lastRenderedPageBreak/>
        <w:t xml:space="preserve">stock, contingent upon achievement of earnout and seller’s election to accept payment in stock. </w:t>
      </w:r>
    </w:p>
    <w:p w14:paraId="38C6CFDB" w14:textId="77777777" w:rsidR="00741381" w:rsidRDefault="00266D0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3E20D854" w14:textId="77777777" w:rsidR="00741381" w:rsidRDefault="00266D0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N/A</w:t>
      </w:r>
      <w:r>
        <w:rPr>
          <w:rFonts w:ascii="Arial" w:hAnsi="Arial"/>
          <w:color w:val="000000"/>
        </w:rPr>
        <w:t xml:space="preserve"> .</w:t>
      </w:r>
    </w:p>
    <w:p w14:paraId="0D17EB35" w14:textId="77777777" w:rsidR="00741381" w:rsidRDefault="00266D0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N/A</w:t>
      </w:r>
      <w:r>
        <w:rPr>
          <w:rFonts w:ascii="Arial" w:hAnsi="Arial"/>
          <w:color w:val="000000"/>
        </w:rPr>
        <w:t xml:space="preserve"> .</w:t>
      </w:r>
    </w:p>
    <w:p w14:paraId="69A6F7D0" w14:textId="77777777" w:rsidR="00741381" w:rsidRDefault="00266D0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N/A</w:t>
      </w:r>
      <w:r>
        <w:rPr>
          <w:rFonts w:ascii="Arial" w:hAnsi="Arial"/>
          <w:color w:val="000000"/>
        </w:rPr>
        <w:t xml:space="preserve"> .</w:t>
      </w:r>
    </w:p>
    <w:p w14:paraId="457DE32B" w14:textId="77777777" w:rsidR="00741381" w:rsidRDefault="00266D0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etc). </w:t>
      </w:r>
      <w:r>
        <w:rPr>
          <w:rFonts w:ascii="Arial" w:hAnsi="Arial"/>
          <w:color w:val="000000"/>
          <w:u w:val="single"/>
        </w:rPr>
        <w:t xml:space="preserve">The purchase price was determined by arm’s length negotiation among the parties. </w:t>
      </w:r>
    </w:p>
    <w:p w14:paraId="0980C516" w14:textId="77777777" w:rsidR="00741381" w:rsidRDefault="00266D03">
      <w:pPr>
        <w:pStyle w:val="List"/>
        <w:numPr>
          <w:ilvl w:val="0"/>
          <w:numId w:val="16"/>
        </w:numPr>
        <w:tabs>
          <w:tab w:val="left" w:pos="9180"/>
        </w:tabs>
        <w:rPr>
          <w:rFonts w:ascii="Arial" w:hAnsi="Arial"/>
          <w:color w:val="000000"/>
        </w:rPr>
      </w:pPr>
      <w:r>
        <w:rPr>
          <w:rFonts w:ascii="Arial" w:hAnsi="Arial"/>
          <w:color w:val="000000"/>
        </w:rPr>
        <w:t>Provide details of any app</w:t>
      </w:r>
      <w:r>
        <w:rPr>
          <w:rFonts w:ascii="Arial" w:hAnsi="Arial"/>
          <w:color w:val="000000"/>
        </w:rPr>
        <w:t xml:space="preserve">raisal or valuation of the subject of the acquisition known to management of the Issuer: </w:t>
      </w:r>
      <w:r>
        <w:rPr>
          <w:rFonts w:ascii="Arial" w:hAnsi="Arial"/>
          <w:color w:val="000000"/>
          <w:u w:val="single"/>
        </w:rPr>
        <w:t>N/A</w:t>
      </w:r>
      <w:r>
        <w:rPr>
          <w:rFonts w:ascii="Arial" w:hAnsi="Arial"/>
          <w:color w:val="000000"/>
        </w:rPr>
        <w:t xml:space="preserve"> .</w:t>
      </w:r>
    </w:p>
    <w:p w14:paraId="2C159604" w14:textId="77777777" w:rsidR="00741381" w:rsidRDefault="00266D0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350"/>
        <w:gridCol w:w="1440"/>
        <w:gridCol w:w="1350"/>
        <w:gridCol w:w="1620"/>
        <w:gridCol w:w="1530"/>
      </w:tblGrid>
      <w:tr w:rsidR="00741381" w14:paraId="2B3F54E3" w14:textId="77777777">
        <w:tc>
          <w:tcPr>
            <w:tcW w:w="1440" w:type="dxa"/>
          </w:tcPr>
          <w:p w14:paraId="5328D3B2" w14:textId="77777777" w:rsidR="00741381" w:rsidRDefault="00741381">
            <w:pPr>
              <w:pStyle w:val="BodyText"/>
              <w:keepNext/>
              <w:keepLines/>
              <w:spacing w:before="0"/>
              <w:jc w:val="center"/>
              <w:rPr>
                <w:rFonts w:ascii="Arial" w:hAnsi="Arial"/>
                <w:b/>
                <w:sz w:val="16"/>
                <w:szCs w:val="16"/>
                <w:lang w:val="en-CA"/>
              </w:rPr>
            </w:pPr>
          </w:p>
          <w:p w14:paraId="604E2F00" w14:textId="77777777" w:rsidR="00741381" w:rsidRDefault="00266D03">
            <w:pPr>
              <w:pStyle w:val="BodyText"/>
              <w:keepNext/>
              <w:keepLines/>
              <w:spacing w:before="0"/>
              <w:jc w:val="center"/>
              <w:rPr>
                <w:rFonts w:ascii="Arial" w:hAnsi="Arial"/>
                <w:b/>
                <w:sz w:val="16"/>
                <w:szCs w:val="16"/>
                <w:lang w:val="en-CA"/>
              </w:rPr>
            </w:pPr>
            <w:r>
              <w:rPr>
                <w:rFonts w:ascii="Arial" w:hAnsi="Arial"/>
                <w:b/>
                <w:sz w:val="16"/>
                <w:szCs w:val="16"/>
                <w:lang w:val="en-CA"/>
              </w:rPr>
              <w:t>Name of</w:t>
            </w:r>
            <w:r>
              <w:rPr>
                <w:rFonts w:ascii="Arial" w:hAnsi="Arial"/>
                <w:b/>
                <w:sz w:val="16"/>
                <w:szCs w:val="16"/>
                <w:lang w:val="en-CA"/>
              </w:rPr>
              <w:t xml:space="preserve"> Party (If not an individual, name all insiders of the Party)</w:t>
            </w:r>
          </w:p>
        </w:tc>
        <w:tc>
          <w:tcPr>
            <w:tcW w:w="1260" w:type="dxa"/>
          </w:tcPr>
          <w:p w14:paraId="326DFCF3" w14:textId="77777777" w:rsidR="00741381" w:rsidRDefault="00741381">
            <w:pPr>
              <w:pStyle w:val="BodyText"/>
              <w:keepNext/>
              <w:keepLines/>
              <w:spacing w:before="0"/>
              <w:jc w:val="center"/>
              <w:rPr>
                <w:rFonts w:ascii="Arial" w:hAnsi="Arial"/>
                <w:b/>
                <w:sz w:val="16"/>
                <w:szCs w:val="16"/>
                <w:lang w:val="en-CA"/>
              </w:rPr>
            </w:pPr>
          </w:p>
          <w:p w14:paraId="408DC9F9" w14:textId="77777777" w:rsidR="00741381" w:rsidRDefault="00266D03">
            <w:pPr>
              <w:pStyle w:val="BodyText"/>
              <w:keepNext/>
              <w:keepLines/>
              <w:spacing w:before="0"/>
              <w:jc w:val="center"/>
              <w:rPr>
                <w:rFonts w:ascii="Arial" w:hAnsi="Arial"/>
                <w:b/>
                <w:sz w:val="16"/>
                <w:szCs w:val="16"/>
                <w:lang w:val="en-CA"/>
              </w:rPr>
            </w:pPr>
            <w:r>
              <w:rPr>
                <w:rFonts w:ascii="Arial" w:hAnsi="Arial"/>
                <w:b/>
                <w:sz w:val="16"/>
                <w:szCs w:val="16"/>
                <w:lang w:val="en-CA"/>
              </w:rPr>
              <w:t>Number and Type of Securities to be Issued</w:t>
            </w:r>
          </w:p>
        </w:tc>
        <w:tc>
          <w:tcPr>
            <w:tcW w:w="1350" w:type="dxa"/>
          </w:tcPr>
          <w:p w14:paraId="1A8A2B2D" w14:textId="77777777" w:rsidR="00741381" w:rsidRDefault="00741381">
            <w:pPr>
              <w:pStyle w:val="BodyText"/>
              <w:keepNext/>
              <w:keepLines/>
              <w:spacing w:before="0"/>
              <w:jc w:val="center"/>
              <w:rPr>
                <w:rFonts w:ascii="Arial" w:hAnsi="Arial"/>
                <w:b/>
                <w:sz w:val="16"/>
                <w:szCs w:val="16"/>
                <w:lang w:val="en-CA"/>
              </w:rPr>
            </w:pPr>
          </w:p>
          <w:p w14:paraId="41A72F65" w14:textId="77777777" w:rsidR="00741381" w:rsidRDefault="00266D03">
            <w:pPr>
              <w:pStyle w:val="BodyText"/>
              <w:keepNext/>
              <w:keepLines/>
              <w:spacing w:before="0"/>
              <w:jc w:val="center"/>
              <w:rPr>
                <w:rFonts w:ascii="Arial" w:hAnsi="Arial"/>
                <w:b/>
                <w:sz w:val="16"/>
                <w:szCs w:val="16"/>
                <w:lang w:val="en-CA"/>
              </w:rPr>
            </w:pPr>
            <w:r>
              <w:rPr>
                <w:rFonts w:ascii="Arial" w:hAnsi="Arial"/>
                <w:b/>
                <w:sz w:val="16"/>
                <w:szCs w:val="16"/>
                <w:lang w:val="en-CA"/>
              </w:rPr>
              <w:t>Dollar value per Security (CDN$)</w:t>
            </w:r>
          </w:p>
        </w:tc>
        <w:tc>
          <w:tcPr>
            <w:tcW w:w="1440" w:type="dxa"/>
          </w:tcPr>
          <w:p w14:paraId="45D20B8F" w14:textId="77777777" w:rsidR="00741381" w:rsidRDefault="00741381">
            <w:pPr>
              <w:pStyle w:val="BodyText"/>
              <w:keepNext/>
              <w:keepLines/>
              <w:spacing w:before="0"/>
              <w:jc w:val="center"/>
              <w:rPr>
                <w:rFonts w:ascii="Arial" w:hAnsi="Arial"/>
                <w:b/>
                <w:sz w:val="16"/>
                <w:szCs w:val="16"/>
                <w:lang w:val="en-CA"/>
              </w:rPr>
            </w:pPr>
          </w:p>
          <w:p w14:paraId="26124CEF" w14:textId="77777777" w:rsidR="00741381" w:rsidRDefault="00266D03">
            <w:pPr>
              <w:pStyle w:val="BodyText"/>
              <w:keepNext/>
              <w:keepLines/>
              <w:spacing w:before="0"/>
              <w:jc w:val="center"/>
              <w:rPr>
                <w:rFonts w:ascii="Arial" w:hAnsi="Arial"/>
                <w:b/>
                <w:sz w:val="16"/>
                <w:szCs w:val="16"/>
                <w:lang w:val="en-CA"/>
              </w:rPr>
            </w:pPr>
            <w:r>
              <w:rPr>
                <w:rFonts w:ascii="Arial" w:hAnsi="Arial"/>
                <w:b/>
                <w:sz w:val="16"/>
                <w:szCs w:val="16"/>
                <w:lang w:val="en-CA"/>
              </w:rPr>
              <w:t>Conversion price (if applicable)</w:t>
            </w:r>
          </w:p>
        </w:tc>
        <w:tc>
          <w:tcPr>
            <w:tcW w:w="1350" w:type="dxa"/>
          </w:tcPr>
          <w:p w14:paraId="271E3A74" w14:textId="77777777" w:rsidR="00741381" w:rsidRDefault="00741381">
            <w:pPr>
              <w:pStyle w:val="BodyText"/>
              <w:keepNext/>
              <w:keepLines/>
              <w:spacing w:before="0"/>
              <w:jc w:val="center"/>
              <w:rPr>
                <w:rFonts w:ascii="Arial" w:hAnsi="Arial"/>
                <w:b/>
                <w:sz w:val="16"/>
                <w:szCs w:val="16"/>
                <w:lang w:val="en-CA"/>
              </w:rPr>
            </w:pPr>
          </w:p>
          <w:p w14:paraId="4DB52E82" w14:textId="77777777" w:rsidR="00741381" w:rsidRDefault="00266D03">
            <w:pPr>
              <w:pStyle w:val="BodyText"/>
              <w:keepNext/>
              <w:keepLines/>
              <w:spacing w:before="0"/>
              <w:jc w:val="center"/>
              <w:rPr>
                <w:rFonts w:ascii="Arial" w:hAnsi="Arial"/>
                <w:b/>
                <w:sz w:val="16"/>
                <w:szCs w:val="16"/>
                <w:lang w:val="en-CA"/>
              </w:rPr>
            </w:pPr>
            <w:r>
              <w:rPr>
                <w:rFonts w:ascii="Arial" w:hAnsi="Arial"/>
                <w:b/>
                <w:sz w:val="16"/>
                <w:szCs w:val="16"/>
                <w:lang w:val="en-CA"/>
              </w:rPr>
              <w:t>Prospectus Exemption</w:t>
            </w:r>
          </w:p>
        </w:tc>
        <w:tc>
          <w:tcPr>
            <w:tcW w:w="1620" w:type="dxa"/>
          </w:tcPr>
          <w:p w14:paraId="3AC61E2C" w14:textId="77777777" w:rsidR="00741381" w:rsidRDefault="00741381">
            <w:pPr>
              <w:pStyle w:val="BodyText"/>
              <w:keepNext/>
              <w:keepLines/>
              <w:spacing w:before="0"/>
              <w:jc w:val="center"/>
              <w:rPr>
                <w:rFonts w:ascii="Arial" w:hAnsi="Arial"/>
                <w:b/>
                <w:sz w:val="16"/>
                <w:szCs w:val="16"/>
              </w:rPr>
            </w:pPr>
          </w:p>
          <w:p w14:paraId="5D805BDE" w14:textId="77777777" w:rsidR="00741381" w:rsidRDefault="00266D03">
            <w:pPr>
              <w:pStyle w:val="BodyText"/>
              <w:keepNext/>
              <w:keepLines/>
              <w:spacing w:before="0"/>
              <w:jc w:val="center"/>
              <w:rPr>
                <w:rFonts w:ascii="Arial" w:hAnsi="Arial"/>
                <w:b/>
                <w:sz w:val="16"/>
                <w:szCs w:val="16"/>
                <w:lang w:val="en-CA"/>
              </w:rPr>
            </w:pPr>
            <w:r>
              <w:rPr>
                <w:rFonts w:ascii="Arial" w:hAnsi="Arial"/>
                <w:b/>
                <w:sz w:val="16"/>
                <w:szCs w:val="16"/>
              </w:rPr>
              <w:t xml:space="preserve">Total Securities, Previously Owned, Controlled or Directed </w:t>
            </w:r>
            <w:r>
              <w:rPr>
                <w:rFonts w:ascii="Arial" w:hAnsi="Arial"/>
                <w:b/>
                <w:sz w:val="16"/>
                <w:szCs w:val="16"/>
              </w:rPr>
              <w:t>by Party</w:t>
            </w:r>
          </w:p>
        </w:tc>
        <w:tc>
          <w:tcPr>
            <w:tcW w:w="1530" w:type="dxa"/>
          </w:tcPr>
          <w:p w14:paraId="20514458" w14:textId="77777777" w:rsidR="00741381" w:rsidRDefault="00741381">
            <w:pPr>
              <w:pStyle w:val="BodyText"/>
              <w:keepNext/>
              <w:keepLines/>
              <w:spacing w:before="0"/>
              <w:jc w:val="center"/>
              <w:rPr>
                <w:rFonts w:ascii="Arial" w:hAnsi="Arial"/>
                <w:b/>
                <w:color w:val="000000"/>
                <w:sz w:val="16"/>
                <w:szCs w:val="16"/>
                <w:lang w:val="en-CA"/>
              </w:rPr>
            </w:pPr>
          </w:p>
          <w:p w14:paraId="68B79EA3" w14:textId="77777777" w:rsidR="00741381" w:rsidRDefault="00266D03">
            <w:pPr>
              <w:pStyle w:val="BodyText"/>
              <w:keepNext/>
              <w:keepLines/>
              <w:spacing w:before="0"/>
              <w:jc w:val="center"/>
              <w:rPr>
                <w:rFonts w:ascii="Arial" w:hAnsi="Arial"/>
                <w:b/>
                <w:color w:val="000000"/>
                <w:sz w:val="16"/>
                <w:szCs w:val="16"/>
                <w:lang w:val="en-CA"/>
              </w:rPr>
            </w:pPr>
            <w:r>
              <w:rPr>
                <w:rFonts w:ascii="Arial" w:hAnsi="Arial"/>
                <w:b/>
                <w:color w:val="000000"/>
                <w:sz w:val="16"/>
                <w:szCs w:val="16"/>
                <w:lang w:val="en-CA"/>
              </w:rPr>
              <w:t xml:space="preserve">Describe relationship </w:t>
            </w:r>
          </w:p>
          <w:p w14:paraId="674DB5AB" w14:textId="77777777" w:rsidR="00741381" w:rsidRDefault="00266D03">
            <w:pPr>
              <w:pStyle w:val="BodyText"/>
              <w:keepNext/>
              <w:keepLines/>
              <w:spacing w:before="0"/>
              <w:jc w:val="center"/>
              <w:rPr>
                <w:rFonts w:ascii="Arial" w:hAnsi="Arial"/>
                <w:b/>
                <w:color w:val="000000"/>
                <w:sz w:val="16"/>
                <w:szCs w:val="16"/>
                <w:lang w:val="en-CA"/>
              </w:rPr>
            </w:pPr>
            <w:r>
              <w:rPr>
                <w:rFonts w:ascii="Arial" w:hAnsi="Arial"/>
                <w:b/>
                <w:color w:val="000000"/>
                <w:sz w:val="16"/>
                <w:szCs w:val="16"/>
                <w:lang w:val="en-CA"/>
              </w:rPr>
              <w:t>to Issuer</w:t>
            </w:r>
            <w:r>
              <w:rPr>
                <w:rFonts w:ascii="Arial" w:hAnsi="Arial"/>
                <w:b/>
                <w:color w:val="000000"/>
                <w:sz w:val="16"/>
                <w:szCs w:val="16"/>
                <w:vertAlign w:val="superscript"/>
                <w:lang w:val="en-CA"/>
              </w:rPr>
              <w:t>(1)</w:t>
            </w:r>
          </w:p>
        </w:tc>
      </w:tr>
      <w:tr w:rsidR="00741381" w14:paraId="55248B49" w14:textId="77777777">
        <w:trPr>
          <w:trHeight w:hRule="exact" w:val="2728"/>
        </w:trPr>
        <w:tc>
          <w:tcPr>
            <w:tcW w:w="1440" w:type="dxa"/>
          </w:tcPr>
          <w:p w14:paraId="37A8544B"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Rockwood Holdings 4 LLC</w:t>
            </w:r>
          </w:p>
        </w:tc>
        <w:tc>
          <w:tcPr>
            <w:tcW w:w="1260" w:type="dxa"/>
          </w:tcPr>
          <w:p w14:paraId="4FB69431" w14:textId="77777777" w:rsidR="00741381" w:rsidRDefault="00266D03">
            <w:pPr>
              <w:pStyle w:val="BodyText"/>
              <w:keepNext/>
              <w:keepLines/>
              <w:spacing w:before="0"/>
              <w:rPr>
                <w:rFonts w:ascii="Arial" w:hAnsi="Arial"/>
                <w:bCs/>
                <w:sz w:val="16"/>
                <w:szCs w:val="16"/>
                <w:lang w:val="en-CA"/>
              </w:rPr>
            </w:pPr>
            <w:r>
              <w:rPr>
                <w:rFonts w:ascii="Arial" w:hAnsi="Arial"/>
                <w:bCs/>
                <w:sz w:val="16"/>
                <w:szCs w:val="16"/>
                <w:lang w:val="en-CA"/>
              </w:rPr>
              <w:t>TBD number of</w:t>
            </w:r>
          </w:p>
          <w:p w14:paraId="2A5FF890" w14:textId="77777777" w:rsidR="00741381" w:rsidRDefault="00266D03">
            <w:pPr>
              <w:pStyle w:val="BodyText"/>
              <w:keepNext/>
              <w:keepLines/>
              <w:spacing w:before="0"/>
              <w:rPr>
                <w:rFonts w:ascii="Arial" w:hAnsi="Arial"/>
                <w:sz w:val="16"/>
                <w:szCs w:val="16"/>
                <w:lang w:val="en-CA"/>
              </w:rPr>
            </w:pPr>
            <w:r>
              <w:rPr>
                <w:rFonts w:ascii="Arial" w:hAnsi="Arial"/>
                <w:bCs/>
                <w:sz w:val="16"/>
                <w:szCs w:val="16"/>
                <w:lang w:val="en-CA"/>
              </w:rPr>
              <w:t>shares of Class A common stock</w:t>
            </w:r>
          </w:p>
        </w:tc>
        <w:tc>
          <w:tcPr>
            <w:tcW w:w="1350" w:type="dxa"/>
            <w:vMerge w:val="restart"/>
          </w:tcPr>
          <w:p w14:paraId="3ECF8135" w14:textId="77777777" w:rsidR="00741381" w:rsidRDefault="00266D03">
            <w:pPr>
              <w:pStyle w:val="BodyText"/>
              <w:keepNext/>
              <w:keepLines/>
              <w:spacing w:before="0"/>
              <w:rPr>
                <w:rFonts w:ascii="Arial" w:hAnsi="Arial"/>
                <w:sz w:val="16"/>
                <w:szCs w:val="16"/>
                <w:lang w:val="en-CA"/>
              </w:rPr>
            </w:pPr>
            <w:r>
              <w:rPr>
                <w:rFonts w:ascii="Arial" w:hAnsi="Arial"/>
                <w:color w:val="000000"/>
                <w:sz w:val="16"/>
                <w:szCs w:val="16"/>
              </w:rPr>
              <w:t>TBD – 30 day VWAP for 30 trading days preceding achievement of earnout</w:t>
            </w:r>
          </w:p>
        </w:tc>
        <w:tc>
          <w:tcPr>
            <w:tcW w:w="1440" w:type="dxa"/>
            <w:vMerge w:val="restart"/>
          </w:tcPr>
          <w:p w14:paraId="399CA060"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N/A</w:t>
            </w:r>
          </w:p>
        </w:tc>
        <w:tc>
          <w:tcPr>
            <w:tcW w:w="1350" w:type="dxa"/>
            <w:vMerge w:val="restart"/>
          </w:tcPr>
          <w:p w14:paraId="48C15FB6"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 xml:space="preserve">The Company issued the shares pursuant to the exemption from </w:t>
            </w:r>
            <w:r>
              <w:rPr>
                <w:rFonts w:ascii="Arial" w:hAnsi="Arial"/>
                <w:sz w:val="16"/>
                <w:szCs w:val="16"/>
                <w:lang w:val="en-CA"/>
              </w:rPr>
              <w:t>registration provided by Section 4(2) of the Securities Act of 1933</w:t>
            </w:r>
          </w:p>
        </w:tc>
        <w:tc>
          <w:tcPr>
            <w:tcW w:w="1620" w:type="dxa"/>
          </w:tcPr>
          <w:p w14:paraId="3D81A4FB" w14:textId="77777777" w:rsidR="00741381" w:rsidRDefault="00266D03" w:rsidP="009D5AF7">
            <w:pPr>
              <w:pStyle w:val="BodyText"/>
              <w:keepNext/>
              <w:keepLines/>
              <w:spacing w:before="0"/>
              <w:rPr>
                <w:rFonts w:ascii="Arial" w:hAnsi="Arial"/>
                <w:sz w:val="16"/>
                <w:szCs w:val="16"/>
                <w:lang w:val="en-CA"/>
              </w:rPr>
            </w:pPr>
            <w:r>
              <w:rPr>
                <w:rFonts w:ascii="Arial" w:hAnsi="Arial"/>
                <w:sz w:val="16"/>
                <w:szCs w:val="16"/>
                <w:lang w:val="en-CA"/>
              </w:rPr>
              <w:t>Nil (to the knowledge of the Issuer)</w:t>
            </w:r>
          </w:p>
        </w:tc>
        <w:tc>
          <w:tcPr>
            <w:tcW w:w="1530" w:type="dxa"/>
          </w:tcPr>
          <w:p w14:paraId="31A2FF2F"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Arm’s length</w:t>
            </w:r>
          </w:p>
        </w:tc>
      </w:tr>
      <w:tr w:rsidR="00741381" w14:paraId="160213A4" w14:textId="77777777">
        <w:trPr>
          <w:trHeight w:hRule="exact" w:val="1441"/>
        </w:trPr>
        <w:tc>
          <w:tcPr>
            <w:tcW w:w="1440" w:type="dxa"/>
          </w:tcPr>
          <w:p w14:paraId="760047DB"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SMG Partners, LLC</w:t>
            </w:r>
          </w:p>
        </w:tc>
        <w:tc>
          <w:tcPr>
            <w:tcW w:w="1260" w:type="dxa"/>
          </w:tcPr>
          <w:p w14:paraId="03D1A2AF" w14:textId="77777777" w:rsidR="00741381" w:rsidRDefault="00266D03">
            <w:pPr>
              <w:pStyle w:val="BodyText"/>
              <w:keepNext/>
              <w:keepLines/>
              <w:spacing w:before="0"/>
              <w:rPr>
                <w:rFonts w:ascii="Arial" w:hAnsi="Arial"/>
                <w:bCs/>
                <w:sz w:val="16"/>
                <w:szCs w:val="16"/>
                <w:lang w:val="en-CA"/>
              </w:rPr>
            </w:pPr>
            <w:r>
              <w:rPr>
                <w:rFonts w:ascii="Arial" w:hAnsi="Arial"/>
                <w:bCs/>
                <w:sz w:val="16"/>
                <w:szCs w:val="16"/>
                <w:lang w:val="en-CA"/>
              </w:rPr>
              <w:t>TBD number of</w:t>
            </w:r>
          </w:p>
          <w:p w14:paraId="1C5ACC73" w14:textId="77777777" w:rsidR="00741381" w:rsidRDefault="00266D03">
            <w:pPr>
              <w:pStyle w:val="BodyText"/>
              <w:keepNext/>
              <w:keepLines/>
              <w:spacing w:before="0"/>
              <w:rPr>
                <w:rFonts w:ascii="Arial" w:hAnsi="Arial"/>
                <w:sz w:val="16"/>
                <w:szCs w:val="16"/>
                <w:lang w:val="en-CA"/>
              </w:rPr>
            </w:pPr>
            <w:r>
              <w:rPr>
                <w:rFonts w:ascii="Arial" w:hAnsi="Arial"/>
                <w:bCs/>
                <w:sz w:val="16"/>
                <w:szCs w:val="16"/>
                <w:lang w:val="en-CA"/>
              </w:rPr>
              <w:t>shares of Class A common stock</w:t>
            </w:r>
          </w:p>
        </w:tc>
        <w:tc>
          <w:tcPr>
            <w:tcW w:w="1350" w:type="dxa"/>
            <w:vMerge/>
          </w:tcPr>
          <w:p w14:paraId="62620615" w14:textId="77777777" w:rsidR="00741381" w:rsidRDefault="00741381">
            <w:pPr>
              <w:pStyle w:val="BodyText"/>
              <w:keepNext/>
              <w:keepLines/>
              <w:spacing w:before="0"/>
              <w:rPr>
                <w:rFonts w:ascii="Arial" w:hAnsi="Arial"/>
                <w:sz w:val="16"/>
                <w:szCs w:val="16"/>
                <w:lang w:val="en-CA"/>
              </w:rPr>
            </w:pPr>
          </w:p>
        </w:tc>
        <w:tc>
          <w:tcPr>
            <w:tcW w:w="1440" w:type="dxa"/>
            <w:vMerge/>
          </w:tcPr>
          <w:p w14:paraId="65903735" w14:textId="77777777" w:rsidR="00741381" w:rsidRDefault="00741381">
            <w:pPr>
              <w:pStyle w:val="BodyText"/>
              <w:keepNext/>
              <w:keepLines/>
              <w:spacing w:before="0"/>
              <w:rPr>
                <w:rFonts w:ascii="Arial" w:hAnsi="Arial"/>
                <w:sz w:val="16"/>
                <w:szCs w:val="16"/>
                <w:lang w:val="en-CA"/>
              </w:rPr>
            </w:pPr>
          </w:p>
        </w:tc>
        <w:tc>
          <w:tcPr>
            <w:tcW w:w="1350" w:type="dxa"/>
            <w:vMerge/>
          </w:tcPr>
          <w:p w14:paraId="68A2D573" w14:textId="77777777" w:rsidR="00741381" w:rsidRDefault="00741381">
            <w:pPr>
              <w:pStyle w:val="BodyText"/>
              <w:keepNext/>
              <w:keepLines/>
              <w:spacing w:before="0"/>
              <w:rPr>
                <w:rFonts w:ascii="Arial" w:hAnsi="Arial"/>
                <w:sz w:val="16"/>
                <w:szCs w:val="16"/>
                <w:lang w:val="en-CA"/>
              </w:rPr>
            </w:pPr>
          </w:p>
        </w:tc>
        <w:tc>
          <w:tcPr>
            <w:tcW w:w="1620" w:type="dxa"/>
          </w:tcPr>
          <w:p w14:paraId="49E39DE1"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Nil (to the knowledge of the Issuer)</w:t>
            </w:r>
          </w:p>
        </w:tc>
        <w:tc>
          <w:tcPr>
            <w:tcW w:w="1530" w:type="dxa"/>
          </w:tcPr>
          <w:p w14:paraId="3C2C994E"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Arm’s length</w:t>
            </w:r>
          </w:p>
        </w:tc>
      </w:tr>
      <w:tr w:rsidR="00741381" w14:paraId="6BECCA52" w14:textId="77777777">
        <w:trPr>
          <w:trHeight w:hRule="exact" w:val="1441"/>
        </w:trPr>
        <w:tc>
          <w:tcPr>
            <w:tcW w:w="1440" w:type="dxa"/>
          </w:tcPr>
          <w:p w14:paraId="68B826EF"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Rocco Co., LLC</w:t>
            </w:r>
          </w:p>
        </w:tc>
        <w:tc>
          <w:tcPr>
            <w:tcW w:w="1260" w:type="dxa"/>
          </w:tcPr>
          <w:p w14:paraId="7BBA8D0A" w14:textId="77777777" w:rsidR="00741381" w:rsidRDefault="00266D03">
            <w:pPr>
              <w:pStyle w:val="BodyText"/>
              <w:keepNext/>
              <w:keepLines/>
              <w:spacing w:before="0"/>
              <w:rPr>
                <w:rFonts w:ascii="Arial" w:hAnsi="Arial"/>
                <w:bCs/>
                <w:sz w:val="16"/>
                <w:szCs w:val="16"/>
                <w:lang w:val="en-CA"/>
              </w:rPr>
            </w:pPr>
            <w:r>
              <w:rPr>
                <w:rFonts w:ascii="Arial" w:hAnsi="Arial"/>
                <w:bCs/>
                <w:sz w:val="16"/>
                <w:szCs w:val="16"/>
                <w:lang w:val="en-CA"/>
              </w:rPr>
              <w:t>TBD number of</w:t>
            </w:r>
          </w:p>
          <w:p w14:paraId="3EC1C041" w14:textId="77777777" w:rsidR="00741381" w:rsidRDefault="00266D03">
            <w:pPr>
              <w:pStyle w:val="BodyText"/>
              <w:keepNext/>
              <w:keepLines/>
              <w:spacing w:before="0"/>
              <w:rPr>
                <w:rFonts w:ascii="Arial" w:hAnsi="Arial"/>
                <w:b/>
                <w:bCs/>
                <w:sz w:val="16"/>
                <w:szCs w:val="16"/>
                <w:lang w:val="en-CA"/>
              </w:rPr>
            </w:pPr>
            <w:r>
              <w:rPr>
                <w:rFonts w:ascii="Arial" w:hAnsi="Arial"/>
                <w:bCs/>
                <w:sz w:val="16"/>
                <w:szCs w:val="16"/>
                <w:lang w:val="en-CA"/>
              </w:rPr>
              <w:t>shares of Class A common stock</w:t>
            </w:r>
          </w:p>
        </w:tc>
        <w:tc>
          <w:tcPr>
            <w:tcW w:w="1350" w:type="dxa"/>
            <w:vMerge/>
          </w:tcPr>
          <w:p w14:paraId="29F94EC3" w14:textId="77777777" w:rsidR="00741381" w:rsidRDefault="00741381">
            <w:pPr>
              <w:pStyle w:val="BodyText"/>
              <w:keepNext/>
              <w:keepLines/>
              <w:spacing w:before="0"/>
              <w:rPr>
                <w:rFonts w:ascii="Arial" w:hAnsi="Arial"/>
                <w:sz w:val="16"/>
                <w:szCs w:val="16"/>
                <w:lang w:val="en-CA"/>
              </w:rPr>
            </w:pPr>
          </w:p>
        </w:tc>
        <w:tc>
          <w:tcPr>
            <w:tcW w:w="1440" w:type="dxa"/>
            <w:vMerge/>
          </w:tcPr>
          <w:p w14:paraId="5C4F5DD0" w14:textId="77777777" w:rsidR="00741381" w:rsidRDefault="00741381">
            <w:pPr>
              <w:pStyle w:val="BodyText"/>
              <w:keepNext/>
              <w:keepLines/>
              <w:spacing w:before="0"/>
              <w:rPr>
                <w:rFonts w:ascii="Arial" w:hAnsi="Arial"/>
                <w:sz w:val="16"/>
                <w:szCs w:val="16"/>
                <w:lang w:val="en-CA"/>
              </w:rPr>
            </w:pPr>
          </w:p>
        </w:tc>
        <w:tc>
          <w:tcPr>
            <w:tcW w:w="1350" w:type="dxa"/>
            <w:vMerge/>
          </w:tcPr>
          <w:p w14:paraId="6BCEDFA2" w14:textId="77777777" w:rsidR="00741381" w:rsidRDefault="00741381">
            <w:pPr>
              <w:pStyle w:val="BodyText"/>
              <w:keepNext/>
              <w:keepLines/>
              <w:spacing w:before="0"/>
              <w:rPr>
                <w:rFonts w:ascii="Arial" w:hAnsi="Arial"/>
                <w:sz w:val="16"/>
                <w:szCs w:val="16"/>
                <w:lang w:val="en-CA"/>
              </w:rPr>
            </w:pPr>
          </w:p>
        </w:tc>
        <w:tc>
          <w:tcPr>
            <w:tcW w:w="1620" w:type="dxa"/>
          </w:tcPr>
          <w:p w14:paraId="7A663957"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Nil (to the knowledge of the Issuer)</w:t>
            </w:r>
          </w:p>
        </w:tc>
        <w:tc>
          <w:tcPr>
            <w:tcW w:w="1530" w:type="dxa"/>
          </w:tcPr>
          <w:p w14:paraId="3EB2C999" w14:textId="7D205403" w:rsidR="00741381" w:rsidRDefault="00266D03">
            <w:pPr>
              <w:pStyle w:val="BodyText"/>
              <w:keepNext/>
              <w:keepLines/>
              <w:spacing w:before="0"/>
              <w:rPr>
                <w:rFonts w:ascii="Arial" w:hAnsi="Arial"/>
                <w:sz w:val="16"/>
                <w:szCs w:val="16"/>
                <w:lang w:val="en-CA"/>
              </w:rPr>
            </w:pPr>
            <w:r>
              <w:rPr>
                <w:rFonts w:ascii="Arial" w:hAnsi="Arial"/>
                <w:sz w:val="16"/>
                <w:szCs w:val="16"/>
                <w:lang w:val="en-CA"/>
              </w:rPr>
              <w:t>Arm’s length</w:t>
            </w:r>
          </w:p>
        </w:tc>
      </w:tr>
      <w:tr w:rsidR="00741381" w14:paraId="0D524502" w14:textId="77777777">
        <w:trPr>
          <w:trHeight w:hRule="exact" w:val="1441"/>
        </w:trPr>
        <w:tc>
          <w:tcPr>
            <w:tcW w:w="1440" w:type="dxa"/>
          </w:tcPr>
          <w:p w14:paraId="761AA086"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John Pardee</w:t>
            </w:r>
          </w:p>
        </w:tc>
        <w:tc>
          <w:tcPr>
            <w:tcW w:w="1260" w:type="dxa"/>
          </w:tcPr>
          <w:p w14:paraId="768D34E1" w14:textId="77777777" w:rsidR="00741381" w:rsidRDefault="00266D03">
            <w:pPr>
              <w:pStyle w:val="BodyText"/>
              <w:keepNext/>
              <w:keepLines/>
              <w:spacing w:before="0"/>
              <w:rPr>
                <w:rFonts w:ascii="Arial" w:hAnsi="Arial"/>
                <w:bCs/>
                <w:sz w:val="16"/>
                <w:szCs w:val="16"/>
                <w:lang w:val="en-CA"/>
              </w:rPr>
            </w:pPr>
            <w:r>
              <w:rPr>
                <w:rFonts w:ascii="Arial" w:hAnsi="Arial"/>
                <w:bCs/>
                <w:sz w:val="16"/>
                <w:szCs w:val="16"/>
                <w:lang w:val="en-CA"/>
              </w:rPr>
              <w:t>TBD number of</w:t>
            </w:r>
          </w:p>
          <w:p w14:paraId="223293DA" w14:textId="77777777" w:rsidR="00741381" w:rsidRDefault="00266D03">
            <w:pPr>
              <w:pStyle w:val="BodyText"/>
              <w:keepNext/>
              <w:keepLines/>
              <w:spacing w:before="0"/>
              <w:rPr>
                <w:rFonts w:ascii="Arial" w:hAnsi="Arial"/>
                <w:sz w:val="16"/>
                <w:szCs w:val="16"/>
                <w:lang w:val="en-CA"/>
              </w:rPr>
            </w:pPr>
            <w:r>
              <w:rPr>
                <w:rFonts w:ascii="Arial" w:hAnsi="Arial"/>
                <w:bCs/>
                <w:sz w:val="16"/>
                <w:szCs w:val="16"/>
                <w:lang w:val="en-CA"/>
              </w:rPr>
              <w:t>shares of Class A common stock</w:t>
            </w:r>
          </w:p>
        </w:tc>
        <w:tc>
          <w:tcPr>
            <w:tcW w:w="1350" w:type="dxa"/>
            <w:vMerge/>
          </w:tcPr>
          <w:p w14:paraId="095ECC45" w14:textId="77777777" w:rsidR="00741381" w:rsidRDefault="00741381">
            <w:pPr>
              <w:pStyle w:val="BodyText"/>
              <w:keepNext/>
              <w:keepLines/>
              <w:spacing w:before="0"/>
              <w:rPr>
                <w:rFonts w:ascii="Arial" w:hAnsi="Arial"/>
                <w:sz w:val="16"/>
                <w:szCs w:val="16"/>
                <w:lang w:val="en-CA"/>
              </w:rPr>
            </w:pPr>
          </w:p>
        </w:tc>
        <w:tc>
          <w:tcPr>
            <w:tcW w:w="1440" w:type="dxa"/>
            <w:vMerge/>
          </w:tcPr>
          <w:p w14:paraId="14CF1DC7" w14:textId="77777777" w:rsidR="00741381" w:rsidRDefault="00741381">
            <w:pPr>
              <w:pStyle w:val="BodyText"/>
              <w:keepNext/>
              <w:keepLines/>
              <w:spacing w:before="0"/>
              <w:rPr>
                <w:rFonts w:ascii="Arial" w:hAnsi="Arial"/>
                <w:sz w:val="16"/>
                <w:szCs w:val="16"/>
                <w:lang w:val="en-CA"/>
              </w:rPr>
            </w:pPr>
          </w:p>
        </w:tc>
        <w:tc>
          <w:tcPr>
            <w:tcW w:w="1350" w:type="dxa"/>
            <w:vMerge/>
          </w:tcPr>
          <w:p w14:paraId="68B6234C" w14:textId="77777777" w:rsidR="00741381" w:rsidRDefault="00741381">
            <w:pPr>
              <w:pStyle w:val="BodyText"/>
              <w:keepNext/>
              <w:keepLines/>
              <w:spacing w:before="0"/>
              <w:rPr>
                <w:rFonts w:ascii="Arial" w:hAnsi="Arial"/>
                <w:sz w:val="16"/>
                <w:szCs w:val="16"/>
                <w:lang w:val="en-CA"/>
              </w:rPr>
            </w:pPr>
          </w:p>
        </w:tc>
        <w:tc>
          <w:tcPr>
            <w:tcW w:w="1620" w:type="dxa"/>
          </w:tcPr>
          <w:p w14:paraId="2E7509CE"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Nil (to the knowledge of the Issuer)</w:t>
            </w:r>
          </w:p>
        </w:tc>
        <w:tc>
          <w:tcPr>
            <w:tcW w:w="1530" w:type="dxa"/>
          </w:tcPr>
          <w:p w14:paraId="5B05EC97" w14:textId="77777777" w:rsidR="00741381" w:rsidRDefault="00266D03">
            <w:pPr>
              <w:pStyle w:val="BodyText"/>
              <w:keepNext/>
              <w:keepLines/>
              <w:spacing w:before="0"/>
              <w:rPr>
                <w:rFonts w:ascii="Arial" w:hAnsi="Arial"/>
                <w:sz w:val="16"/>
                <w:szCs w:val="16"/>
                <w:lang w:val="en-CA"/>
              </w:rPr>
            </w:pPr>
            <w:r>
              <w:rPr>
                <w:rFonts w:ascii="Arial" w:hAnsi="Arial"/>
                <w:sz w:val="16"/>
                <w:szCs w:val="16"/>
                <w:lang w:val="en-CA"/>
              </w:rPr>
              <w:t>Arm’s length</w:t>
            </w:r>
          </w:p>
        </w:tc>
      </w:tr>
    </w:tbl>
    <w:p w14:paraId="282E23A3" w14:textId="77777777" w:rsidR="00741381" w:rsidRDefault="00266D03">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0D19E9C0" w14:textId="242D5A4E" w:rsidR="00741381" w:rsidRDefault="00266D03">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Customary representations and warranties of title under the Ohio Agreement and management due diligence</w:t>
      </w:r>
      <w:r>
        <w:rPr>
          <w:rFonts w:ascii="Arial" w:hAnsi="Arial"/>
          <w:color w:val="000000"/>
        </w:rPr>
        <w:t xml:space="preserve">. </w:t>
      </w:r>
    </w:p>
    <w:p w14:paraId="362933CE" w14:textId="77777777" w:rsidR="00741381" w:rsidRDefault="00266D03">
      <w:pPr>
        <w:pStyle w:val="List"/>
        <w:numPr>
          <w:ilvl w:val="0"/>
          <w:numId w:val="16"/>
        </w:numPr>
        <w:jc w:val="both"/>
        <w:rPr>
          <w:rFonts w:ascii="Arial" w:hAnsi="Arial"/>
        </w:rPr>
      </w:pPr>
      <w:r>
        <w:rPr>
          <w:rFonts w:ascii="Arial" w:hAnsi="Arial"/>
        </w:rPr>
        <w:t xml:space="preserve">Provide the following </w:t>
      </w:r>
      <w:r>
        <w:rPr>
          <w:rFonts w:ascii="Arial" w:hAnsi="Arial"/>
        </w:rPr>
        <w:t>information for any agent’s fee, commission, bonus or finder’s fee, or other compensation paid or to be paid in connection with the acquisition (including warrants, options, etc.):</w:t>
      </w:r>
    </w:p>
    <w:p w14:paraId="65B5437F" w14:textId="77777777" w:rsidR="00741381" w:rsidRDefault="00266D0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w:t>
      </w:r>
      <w:r>
        <w:rPr>
          <w:rFonts w:ascii="Arial" w:hAnsi="Arial"/>
        </w:rPr>
        <w:t xml:space="preserve">tion in connection with the acquisition (name, andif a corporation, identify persons owning or exercising voting control over 20% or more of the voting shares if known to the Issuer): </w:t>
      </w:r>
      <w:r>
        <w:rPr>
          <w:rFonts w:ascii="Arial" w:hAnsi="Arial"/>
          <w:u w:val="single"/>
        </w:rPr>
        <w:t>N/A</w:t>
      </w:r>
      <w:r>
        <w:rPr>
          <w:rFonts w:ascii="Arial" w:hAnsi="Arial"/>
        </w:rPr>
        <w:t>.</w:t>
      </w:r>
    </w:p>
    <w:p w14:paraId="75EB3AEC" w14:textId="77777777" w:rsidR="00741381" w:rsidRDefault="00266D0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5C405D21" w14:textId="77777777" w:rsidR="00741381" w:rsidRDefault="00266D0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Pr>
          <w:rFonts w:ascii="Arial" w:hAnsi="Arial"/>
          <w:u w:val="single"/>
        </w:rPr>
        <w:tab/>
      </w:r>
      <w:r>
        <w:rPr>
          <w:rFonts w:ascii="Arial" w:hAnsi="Arial"/>
        </w:rPr>
        <w:t xml:space="preserve"> .</w:t>
      </w:r>
    </w:p>
    <w:p w14:paraId="2C419C52" w14:textId="77777777" w:rsidR="00741381" w:rsidRDefault="00266D0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6C16CDC1" w14:textId="77777777" w:rsidR="00741381" w:rsidRDefault="00266D0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41E04865" w14:textId="77777777" w:rsidR="00741381" w:rsidRDefault="00266D0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54461817" w14:textId="77777777" w:rsidR="00741381" w:rsidRDefault="00741381">
      <w:pPr>
        <w:pStyle w:val="List"/>
        <w:tabs>
          <w:tab w:val="left" w:pos="9180"/>
        </w:tabs>
        <w:ind w:left="0" w:firstLine="0"/>
        <w:rPr>
          <w:rFonts w:ascii="Arial" w:hAnsi="Arial"/>
          <w:color w:val="000000"/>
        </w:rPr>
      </w:pPr>
    </w:p>
    <w:p w14:paraId="20171C8C" w14:textId="77777777" w:rsidR="00741381" w:rsidRDefault="00266D0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t>
      </w:r>
      <w:r>
        <w:rPr>
          <w:rFonts w:ascii="Arial" w:hAnsi="Arial"/>
          <w:color w:val="000000"/>
        </w:rPr>
        <w:t xml:space="preserve">with the Issuer and provide details of the relationship. </w:t>
      </w:r>
      <w:r>
        <w:rPr>
          <w:rFonts w:ascii="Arial" w:hAnsi="Arial"/>
          <w:color w:val="000000"/>
          <w:u w:val="single"/>
        </w:rPr>
        <w:t>N/A</w:t>
      </w:r>
      <w:r>
        <w:rPr>
          <w:rFonts w:ascii="Arial" w:hAnsi="Arial"/>
          <w:color w:val="000000"/>
        </w:rPr>
        <w:t xml:space="preserve"> . </w:t>
      </w:r>
    </w:p>
    <w:p w14:paraId="31AEF9CE" w14:textId="77777777" w:rsidR="00741381" w:rsidRDefault="00266D0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N/A</w:t>
      </w:r>
      <w:r>
        <w:rPr>
          <w:rFonts w:ascii="Arial" w:hAnsi="Arial"/>
          <w:color w:val="000000"/>
        </w:rPr>
        <w:t xml:space="preserve"> .</w:t>
      </w:r>
    </w:p>
    <w:p w14:paraId="20B23099" w14:textId="77777777" w:rsidR="00741381" w:rsidRDefault="00266D03">
      <w:pPr>
        <w:pStyle w:val="List"/>
        <w:tabs>
          <w:tab w:val="left" w:pos="1080"/>
        </w:tabs>
        <w:ind w:left="0" w:firstLine="0"/>
        <w:rPr>
          <w:rFonts w:ascii="Arial" w:hAnsi="Arial"/>
        </w:rPr>
      </w:pPr>
      <w:r>
        <w:rPr>
          <w:rFonts w:ascii="Arial" w:hAnsi="Arial"/>
          <w:b/>
        </w:rPr>
        <w:t>Certif</w:t>
      </w:r>
      <w:r>
        <w:rPr>
          <w:rFonts w:ascii="Arial" w:hAnsi="Arial"/>
          <w:b/>
        </w:rPr>
        <w:t>icate Of Compliance</w:t>
      </w:r>
    </w:p>
    <w:p w14:paraId="6EFF3279" w14:textId="77777777" w:rsidR="00741381" w:rsidRDefault="00266D03">
      <w:pPr>
        <w:pStyle w:val="BodyText"/>
        <w:rPr>
          <w:rFonts w:ascii="Arial" w:hAnsi="Arial"/>
        </w:rPr>
      </w:pPr>
      <w:r>
        <w:rPr>
          <w:rFonts w:ascii="Arial" w:hAnsi="Arial"/>
        </w:rPr>
        <w:t>The undersigned hereby certifies that:</w:t>
      </w:r>
    </w:p>
    <w:p w14:paraId="4F404471" w14:textId="77777777" w:rsidR="00741381" w:rsidRDefault="00266D0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w:t>
      </w:r>
      <w:r>
        <w:rPr>
          <w:rFonts w:ascii="Arial" w:hAnsi="Arial"/>
        </w:rPr>
        <w:t>ehalf of the Issuer.</w:t>
      </w:r>
    </w:p>
    <w:p w14:paraId="6F8E7FE2" w14:textId="77777777" w:rsidR="00741381" w:rsidRDefault="00266D0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8CD0354" w14:textId="77777777" w:rsidR="00741381" w:rsidRDefault="00741381">
      <w:pPr>
        <w:pStyle w:val="List"/>
        <w:ind w:firstLine="0"/>
        <w:jc w:val="both"/>
        <w:rPr>
          <w:rFonts w:ascii="Arial" w:hAnsi="Arial"/>
        </w:rPr>
      </w:pPr>
    </w:p>
    <w:p w14:paraId="7C057BAA" w14:textId="77777777" w:rsidR="00741381" w:rsidRDefault="00266D03">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14:paraId="796613E7" w14:textId="77777777" w:rsidR="00741381" w:rsidRDefault="00741381">
      <w:pPr>
        <w:pStyle w:val="ListParagraph"/>
        <w:rPr>
          <w:rFonts w:ascii="Arial" w:hAnsi="Arial" w:cs="Arial"/>
          <w:sz w:val="24"/>
          <w:szCs w:val="24"/>
        </w:rPr>
      </w:pPr>
    </w:p>
    <w:p w14:paraId="5C167B87" w14:textId="77777777" w:rsidR="00741381" w:rsidRDefault="00266D03">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 xml:space="preserve">the disclosure of </w:t>
      </w:r>
      <w:r>
        <w:rPr>
          <w:rFonts w:ascii="Arial" w:hAnsi="Arial" w:cs="Arial"/>
          <w:sz w:val="24"/>
          <w:szCs w:val="24"/>
        </w:rPr>
        <w:t>their information to the Exchange pursuant to this Form or otherwise pursuant to this filing; and</w:t>
      </w:r>
    </w:p>
    <w:p w14:paraId="658DD88F" w14:textId="77777777" w:rsidR="00741381" w:rsidRDefault="00266D03">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w:t>
      </w:r>
      <w:r>
        <w:rPr>
          <w:rFonts w:ascii="Arial" w:hAnsi="Arial" w:cs="Arial"/>
          <w:szCs w:val="24"/>
        </w:rPr>
        <w:t>ied by the Exchange, from time to time</w:t>
      </w:r>
    </w:p>
    <w:p w14:paraId="0DB9E315" w14:textId="77777777" w:rsidR="00741381" w:rsidRDefault="00266D03">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w:t>
      </w:r>
      <w:r>
        <w:rPr>
          <w:rFonts w:ascii="Arial" w:hAnsi="Arial"/>
        </w:rPr>
        <w:t>uirements (as defined in CSE Policy 1).</w:t>
      </w:r>
    </w:p>
    <w:p w14:paraId="2F495D25" w14:textId="77777777" w:rsidR="00741381" w:rsidRDefault="00266D03">
      <w:pPr>
        <w:pStyle w:val="List"/>
        <w:numPr>
          <w:ilvl w:val="0"/>
          <w:numId w:val="7"/>
        </w:numPr>
        <w:jc w:val="both"/>
        <w:rPr>
          <w:rFonts w:ascii="Arial" w:hAnsi="Arial"/>
        </w:rPr>
      </w:pPr>
      <w:r>
        <w:rPr>
          <w:rFonts w:ascii="Arial" w:hAnsi="Arial"/>
        </w:rPr>
        <w:t>All of the information in this Form 9 Notice of Issuance of Securities is true.</w:t>
      </w:r>
    </w:p>
    <w:p w14:paraId="2C8716FB" w14:textId="24595659" w:rsidR="00741381" w:rsidRDefault="00266D03">
      <w:pPr>
        <w:pStyle w:val="BodyText"/>
        <w:tabs>
          <w:tab w:val="left" w:pos="4680"/>
          <w:tab w:val="left" w:pos="7200"/>
        </w:tabs>
        <w:spacing w:before="480"/>
        <w:jc w:val="both"/>
        <w:rPr>
          <w:rFonts w:ascii="Arial" w:hAnsi="Arial"/>
        </w:rPr>
      </w:pPr>
      <w:r>
        <w:rPr>
          <w:rFonts w:ascii="Arial" w:hAnsi="Arial"/>
        </w:rPr>
        <w:lastRenderedPageBreak/>
        <w:t xml:space="preserve">Dated </w:t>
      </w:r>
      <w:r>
        <w:rPr>
          <w:rFonts w:ascii="Arial" w:hAnsi="Arial"/>
          <w:u w:val="single"/>
        </w:rPr>
        <w:t>August 1</w:t>
      </w:r>
      <w:r w:rsidR="0031393A">
        <w:rPr>
          <w:rFonts w:ascii="Arial" w:hAnsi="Arial"/>
          <w:u w:val="single"/>
        </w:rPr>
        <w:t>7</w:t>
      </w:r>
      <w:r>
        <w:rPr>
          <w:rFonts w:ascii="Arial" w:hAnsi="Arial"/>
          <w:u w:val="single"/>
        </w:rPr>
        <w:t>, 2022</w:t>
      </w:r>
      <w:r>
        <w:rPr>
          <w:rFonts w:ascii="Arial" w:hAnsi="Arial"/>
        </w:rPr>
        <w:t>.</w:t>
      </w:r>
    </w:p>
    <w:p w14:paraId="55895A0C" w14:textId="77777777" w:rsidR="00741381" w:rsidRDefault="00266D03">
      <w:pPr>
        <w:pStyle w:val="List"/>
        <w:tabs>
          <w:tab w:val="left" w:pos="9180"/>
        </w:tabs>
        <w:ind w:left="5760" w:hanging="5760"/>
        <w:rPr>
          <w:rFonts w:ascii="Arial" w:hAnsi="Arial"/>
        </w:rPr>
      </w:pPr>
      <w:r>
        <w:rPr>
          <w:rFonts w:ascii="Arial" w:hAnsi="Arial"/>
        </w:rPr>
        <w:tab/>
      </w:r>
      <w:r>
        <w:rPr>
          <w:rFonts w:ascii="Arial" w:hAnsi="Arial"/>
          <w:u w:val="single"/>
        </w:rPr>
        <w:t>Daniel Neville</w:t>
      </w:r>
      <w:r>
        <w:rPr>
          <w:rFonts w:ascii="Arial" w:hAnsi="Arial"/>
          <w:u w:val="single"/>
        </w:rPr>
        <w:tab/>
      </w:r>
      <w:r>
        <w:rPr>
          <w:rFonts w:ascii="Arial" w:hAnsi="Arial"/>
          <w:u w:val="single"/>
        </w:rPr>
        <w:br/>
      </w:r>
      <w:r>
        <w:rPr>
          <w:rFonts w:ascii="Arial" w:hAnsi="Arial"/>
        </w:rPr>
        <w:t>Name of Director or Senior Officer</w:t>
      </w:r>
    </w:p>
    <w:p w14:paraId="11506769" w14:textId="77777777" w:rsidR="00741381" w:rsidRDefault="00266D03">
      <w:pPr>
        <w:pStyle w:val="List"/>
        <w:tabs>
          <w:tab w:val="left" w:pos="9180"/>
          <w:tab w:val="left" w:pos="9360"/>
        </w:tabs>
        <w:ind w:left="5760" w:hanging="5760"/>
        <w:rPr>
          <w:rFonts w:ascii="Arial" w:hAnsi="Arial"/>
        </w:rPr>
      </w:pPr>
      <w:r>
        <w:rPr>
          <w:rFonts w:ascii="Arial" w:hAnsi="Arial"/>
        </w:rPr>
        <w:tab/>
      </w:r>
      <w:r>
        <w:rPr>
          <w:rFonts w:ascii="Arial" w:hAnsi="Arial"/>
          <w:u w:val="single"/>
        </w:rPr>
        <w:t>/s/ Daniel Neville</w:t>
      </w:r>
      <w:r>
        <w:rPr>
          <w:rFonts w:ascii="Arial" w:hAnsi="Arial"/>
          <w:u w:val="single"/>
        </w:rPr>
        <w:tab/>
      </w:r>
      <w:r>
        <w:rPr>
          <w:rFonts w:ascii="Arial" w:hAnsi="Arial"/>
        </w:rPr>
        <w:br/>
        <w:t>Signature</w:t>
      </w:r>
    </w:p>
    <w:p w14:paraId="549BF3F2" w14:textId="77777777" w:rsidR="00741381" w:rsidRDefault="00266D03">
      <w:pPr>
        <w:pStyle w:val="List"/>
        <w:tabs>
          <w:tab w:val="left" w:pos="9180"/>
          <w:tab w:val="left" w:pos="9360"/>
        </w:tabs>
        <w:ind w:left="5760" w:hanging="5760"/>
        <w:rPr>
          <w:rFonts w:ascii="Arial" w:hAnsi="Arial"/>
        </w:rPr>
      </w:pPr>
      <w:r>
        <w:rPr>
          <w:rFonts w:ascii="Arial" w:hAnsi="Arial"/>
        </w:rPr>
        <w:tab/>
      </w:r>
      <w:r>
        <w:rPr>
          <w:rFonts w:ascii="Arial" w:hAnsi="Arial"/>
          <w:u w:val="single"/>
        </w:rPr>
        <w:t xml:space="preserve">Chief Financial </w:t>
      </w:r>
      <w:r>
        <w:rPr>
          <w:rFonts w:ascii="Arial" w:hAnsi="Arial"/>
          <w:u w:val="single"/>
        </w:rPr>
        <w:t>Officer</w:t>
      </w:r>
      <w:r>
        <w:rPr>
          <w:rFonts w:ascii="Arial" w:hAnsi="Arial"/>
          <w:u w:val="single"/>
        </w:rPr>
        <w:tab/>
      </w:r>
      <w:r>
        <w:rPr>
          <w:rFonts w:ascii="Arial" w:hAnsi="Arial"/>
        </w:rPr>
        <w:br/>
        <w:t>Official Capacity</w:t>
      </w:r>
    </w:p>
    <w:p w14:paraId="7DEA6BB8" w14:textId="77777777" w:rsidR="00741381" w:rsidRDefault="00741381">
      <w:pPr>
        <w:pStyle w:val="List"/>
        <w:tabs>
          <w:tab w:val="left" w:pos="9180"/>
          <w:tab w:val="left" w:pos="9360"/>
        </w:tabs>
        <w:ind w:left="5760" w:hanging="5760"/>
        <w:rPr>
          <w:rFonts w:ascii="Arial" w:hAnsi="Arial"/>
        </w:rPr>
      </w:pPr>
    </w:p>
    <w:p w14:paraId="253365C3" w14:textId="77777777" w:rsidR="00741381" w:rsidRDefault="00741381">
      <w:pPr>
        <w:pStyle w:val="List"/>
        <w:tabs>
          <w:tab w:val="left" w:pos="9180"/>
          <w:tab w:val="left" w:pos="9360"/>
        </w:tabs>
        <w:ind w:left="5760" w:hanging="5760"/>
        <w:rPr>
          <w:rFonts w:ascii="Arial" w:hAnsi="Arial"/>
        </w:rPr>
      </w:pPr>
    </w:p>
    <w:p w14:paraId="3FD39D51" w14:textId="77777777" w:rsidR="00741381" w:rsidRDefault="00266D03">
      <w:pPr>
        <w:keepNext/>
        <w:spacing w:before="120"/>
        <w:ind w:left="720"/>
        <w:jc w:val="center"/>
        <w:rPr>
          <w:rFonts w:ascii="Arial" w:eastAsia="Calibri" w:hAnsi="Arial" w:cs="Arial"/>
          <w:b/>
          <w:sz w:val="24"/>
          <w:szCs w:val="24"/>
        </w:rPr>
      </w:pPr>
      <w:r>
        <w:rPr>
          <w:rFonts w:ascii="Arial" w:eastAsia="Calibri" w:hAnsi="Arial" w:cs="Arial"/>
          <w:b/>
          <w:sz w:val="24"/>
          <w:szCs w:val="24"/>
        </w:rPr>
        <w:t>Appendix A</w:t>
      </w:r>
    </w:p>
    <w:p w14:paraId="3446FE19" w14:textId="77777777" w:rsidR="00741381" w:rsidRDefault="00266D03">
      <w:pPr>
        <w:keepNext/>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14:paraId="228EDE79" w14:textId="77777777" w:rsidR="00741381" w:rsidRDefault="00266D03">
      <w:pPr>
        <w:keepNext/>
        <w:spacing w:before="120"/>
        <w:ind w:left="720"/>
        <w:jc w:val="both"/>
        <w:rPr>
          <w:rFonts w:ascii="Arial" w:eastAsia="Calibri" w:hAnsi="Arial" w:cs="Arial"/>
          <w:sz w:val="24"/>
          <w:szCs w:val="24"/>
        </w:rPr>
      </w:pPr>
      <w:r>
        <w:rPr>
          <w:rFonts w:ascii="Arial" w:eastAsia="Calibri" w:hAnsi="Arial" w:cs="Arial"/>
          <w:sz w:val="24"/>
          <w:szCs w:val="24"/>
        </w:rPr>
        <w:t xml:space="preserve">The Canadian Securities Exchange and its subsidiaries, affiliates, regulators and agents (collectively, “CSE or the “Exchange”) collect and use the information </w:t>
      </w:r>
      <w:r>
        <w:rPr>
          <w:rFonts w:ascii="Arial" w:eastAsia="Calibri" w:hAnsi="Arial" w:cs="Arial"/>
          <w:sz w:val="24"/>
          <w:szCs w:val="24"/>
        </w:rPr>
        <w:t>(which may include personal or other information) which has been provided in Form 9 for the following purposes:</w:t>
      </w:r>
    </w:p>
    <w:p w14:paraId="5DF9962E" w14:textId="77777777" w:rsidR="00741381" w:rsidRDefault="00266D03">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14:paraId="4B0354D4" w14:textId="77777777" w:rsidR="00741381" w:rsidRDefault="00266D03">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r>
        <w:rPr>
          <w:rFonts w:ascii="Arial" w:eastAsia="Calibri" w:hAnsi="Arial" w:cs="Arial"/>
          <w:sz w:val="24"/>
          <w:szCs w:val="24"/>
        </w:rPr>
        <w:t>;</w:t>
      </w:r>
    </w:p>
    <w:p w14:paraId="59DA14FE" w14:textId="77777777" w:rsidR="00741381" w:rsidRDefault="00266D03">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E643528" w14:textId="77777777" w:rsidR="00741381" w:rsidRDefault="00266D03">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r>
        <w:rPr>
          <w:rFonts w:ascii="Arial" w:eastAsia="Calibri" w:hAnsi="Arial" w:cs="Arial"/>
          <w:sz w:val="24"/>
          <w:szCs w:val="24"/>
        </w:rPr>
        <w:t xml:space="preserve">To conduct enforcement proceedings; </w:t>
      </w:r>
    </w:p>
    <w:p w14:paraId="0558140E" w14:textId="77777777" w:rsidR="00741381" w:rsidRDefault="00266D03">
      <w:pPr>
        <w:keepNext/>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14:paraId="1F060C5E" w14:textId="77777777" w:rsidR="00741381" w:rsidRDefault="00266D03">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14:paraId="46153D3A" w14:textId="77777777" w:rsidR="00741381" w:rsidRDefault="00266D03">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w:t>
      </w:r>
      <w:r>
        <w:rPr>
          <w:rFonts w:ascii="Arial" w:eastAsia="Calibri" w:hAnsi="Arial" w:cs="Arial"/>
          <w:sz w:val="24"/>
          <w:szCs w:val="24"/>
        </w:rPr>
        <w:t>mation, from other sources, including but not limited to securities regulatory authorities, law enforcement and self-regulatory authorities, regulation service providers and their subsidiaries, affiliates, regulators and agents. The Exchange may disclose p</w:t>
      </w:r>
      <w:r>
        <w:rPr>
          <w:rFonts w:ascii="Arial" w:eastAsia="Calibri" w:hAnsi="Arial" w:cs="Arial"/>
          <w:sz w:val="24"/>
          <w:szCs w:val="24"/>
        </w:rPr>
        <w:t>ersonal information to these entities or otherwise as provided by law and they may use it for their own investigations.</w:t>
      </w:r>
    </w:p>
    <w:p w14:paraId="37DAB40F" w14:textId="77777777" w:rsidR="00741381" w:rsidRDefault="00266D03">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w:t>
      </w:r>
      <w:r>
        <w:rPr>
          <w:rFonts w:ascii="Arial" w:eastAsia="Calibri" w:hAnsi="Arial" w:cs="Arial"/>
          <w:sz w:val="24"/>
          <w:szCs w:val="24"/>
        </w:rPr>
        <w:t>dhere to the security and confidentiality provisions set out in this policy.</w:t>
      </w:r>
    </w:p>
    <w:p w14:paraId="5C3A830E" w14:textId="77777777" w:rsidR="00741381" w:rsidRDefault="00266D03">
      <w:pPr>
        <w:spacing w:before="120"/>
        <w:ind w:left="720"/>
        <w:jc w:val="both"/>
        <w:rPr>
          <w:rFonts w:ascii="Arial" w:eastAsia="Calibri" w:hAnsi="Arial" w:cs="Arial"/>
          <w:sz w:val="24"/>
          <w:szCs w:val="24"/>
        </w:rPr>
      </w:pPr>
      <w:r>
        <w:rPr>
          <w:rFonts w:ascii="Arial" w:eastAsia="Calibri" w:hAnsi="Arial" w:cs="Arial"/>
          <w:sz w:val="24"/>
          <w:szCs w:val="24"/>
        </w:rPr>
        <w:lastRenderedPageBreak/>
        <w:t>All personal information provided to or collected by or on behalf of The Exchange and that is retained by The Exchange is kept in a secure environment. Only those employees who ne</w:t>
      </w:r>
      <w:r>
        <w:rPr>
          <w:rFonts w:ascii="Arial" w:eastAsia="Calibri" w:hAnsi="Arial" w:cs="Arial"/>
          <w:sz w:val="24"/>
          <w:szCs w:val="24"/>
        </w:rPr>
        <w:t>ed to know the information for the purposes listed above are permitted access to the information or any summary thereof. Employees are instructed to keep the information confidential at all times.</w:t>
      </w:r>
    </w:p>
    <w:p w14:paraId="4BC2A799" w14:textId="77777777" w:rsidR="00741381" w:rsidRDefault="00266D03">
      <w:pPr>
        <w:spacing w:before="120"/>
        <w:ind w:left="720"/>
        <w:jc w:val="both"/>
        <w:rPr>
          <w:rFonts w:ascii="Arial" w:eastAsia="Calibri" w:hAnsi="Arial" w:cs="Arial"/>
          <w:sz w:val="24"/>
          <w:szCs w:val="24"/>
        </w:rPr>
      </w:pPr>
      <w:r>
        <w:rPr>
          <w:rFonts w:ascii="Arial" w:eastAsia="Calibri" w:hAnsi="Arial" w:cs="Arial"/>
          <w:sz w:val="24"/>
          <w:szCs w:val="24"/>
        </w:rPr>
        <w:t xml:space="preserve">Information about you that is retained by the Exchange and </w:t>
      </w:r>
      <w:r>
        <w:rPr>
          <w:rFonts w:ascii="Arial" w:eastAsia="Calibri" w:hAnsi="Arial" w:cs="Arial"/>
          <w:sz w:val="24"/>
          <w:szCs w:val="24"/>
        </w:rPr>
        <w:t>that you have identified as inaccurate or obsolete will be corrected or removed.</w:t>
      </w:r>
    </w:p>
    <w:p w14:paraId="05A4678F" w14:textId="77777777" w:rsidR="00741381" w:rsidRDefault="00266D03">
      <w:pPr>
        <w:spacing w:before="120"/>
        <w:ind w:left="720"/>
        <w:jc w:val="both"/>
        <w:rPr>
          <w:rFonts w:ascii="Arial" w:eastAsia="Calibri" w:hAnsi="Arial" w:cs="Arial"/>
          <w:sz w:val="24"/>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w:t>
      </w:r>
      <w:r>
        <w:rPr>
          <w:rFonts w:ascii="Arial" w:eastAsia="Calibri" w:hAnsi="Arial" w:cs="Arial"/>
          <w:sz w:val="24"/>
          <w:szCs w:val="24"/>
        </w:rPr>
        <w:t xml:space="preserve"> – 9th Floor, Toronto, ON, M5J 2W4.</w:t>
      </w:r>
    </w:p>
    <w:p w14:paraId="0F259DA9" w14:textId="77777777" w:rsidR="00741381" w:rsidRDefault="00741381">
      <w:pPr>
        <w:pStyle w:val="List"/>
        <w:tabs>
          <w:tab w:val="left" w:pos="9180"/>
          <w:tab w:val="left" w:pos="9360"/>
        </w:tabs>
        <w:ind w:left="5760" w:hanging="5760"/>
        <w:jc w:val="both"/>
        <w:rPr>
          <w:rFonts w:ascii="Arial" w:hAnsi="Arial"/>
          <w:szCs w:val="24"/>
        </w:rPr>
      </w:pPr>
    </w:p>
    <w:sectPr w:rsidR="00741381">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B2F4" w14:textId="77777777" w:rsidR="0078723E" w:rsidRDefault="0078723E">
      <w:r>
        <w:separator/>
      </w:r>
    </w:p>
  </w:endnote>
  <w:endnote w:type="continuationSeparator" w:id="0">
    <w:p w14:paraId="1A3707DE" w14:textId="77777777" w:rsidR="0078723E" w:rsidRDefault="007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FD9C" w14:textId="77777777" w:rsidR="00741381" w:rsidRDefault="0074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3CF0" w14:textId="7717EE26" w:rsidR="00741381" w:rsidRDefault="00266D03">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0562F5F8" wp14:editId="35116336">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49A2"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Pr>
        <w:rFonts w:ascii="Arial" w:hAnsi="Arial" w:cs="Arial"/>
        <w:b/>
      </w:rPr>
      <w:t>FORM 9 – NOTICE OF ISSUANCE OR PROPOSED ISSUANCE OF</w:t>
    </w:r>
  </w:p>
  <w:p w14:paraId="17FAC078" w14:textId="77777777" w:rsidR="00741381" w:rsidRDefault="00266D03">
    <w:pPr>
      <w:tabs>
        <w:tab w:val="center" w:pos="4674"/>
        <w:tab w:val="left" w:pos="8460"/>
      </w:tabs>
      <w:jc w:val="center"/>
      <w:rPr>
        <w:rStyle w:val="PageNumber"/>
        <w:rFonts w:ascii="Arial" w:hAnsi="Arial" w:cs="Arial"/>
        <w:b/>
      </w:rPr>
    </w:pPr>
    <w:r>
      <w:rPr>
        <w:rFonts w:ascii="Arial" w:hAnsi="Arial" w:cs="Arial"/>
        <w:b/>
      </w:rPr>
      <w:t>LISTED SECURITIES</w:t>
    </w:r>
  </w:p>
  <w:p w14:paraId="09B68A0C" w14:textId="77777777" w:rsidR="00741381" w:rsidRDefault="00266D03">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3ADAA8A7" w14:textId="77777777" w:rsidR="00741381" w:rsidRDefault="00266D03">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11</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16FD" w14:textId="77777777" w:rsidR="00741381" w:rsidRDefault="00266D03">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CAN: 40416575.1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1281" w14:textId="77777777" w:rsidR="0078723E" w:rsidRDefault="0078723E">
      <w:r>
        <w:separator/>
      </w:r>
    </w:p>
  </w:footnote>
  <w:footnote w:type="continuationSeparator" w:id="0">
    <w:p w14:paraId="5F67A2F3" w14:textId="77777777" w:rsidR="0078723E" w:rsidRDefault="0078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DE90" w14:textId="77777777" w:rsidR="00741381" w:rsidRDefault="0074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4826" w14:textId="77777777" w:rsidR="00741381" w:rsidRDefault="00741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3FF3" w14:textId="77777777" w:rsidR="00741381" w:rsidRDefault="0074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155682500">
    <w:abstractNumId w:val="2"/>
  </w:num>
  <w:num w:numId="2" w16cid:durableId="2061860327">
    <w:abstractNumId w:val="12"/>
  </w:num>
  <w:num w:numId="3" w16cid:durableId="1138454141">
    <w:abstractNumId w:val="9"/>
  </w:num>
  <w:num w:numId="4" w16cid:durableId="1765223722">
    <w:abstractNumId w:val="13"/>
  </w:num>
  <w:num w:numId="5" w16cid:durableId="1564558237">
    <w:abstractNumId w:val="11"/>
  </w:num>
  <w:num w:numId="6" w16cid:durableId="585766886">
    <w:abstractNumId w:val="0"/>
  </w:num>
  <w:num w:numId="7" w16cid:durableId="1723094710">
    <w:abstractNumId w:val="10"/>
  </w:num>
  <w:num w:numId="8" w16cid:durableId="391730394">
    <w:abstractNumId w:val="5"/>
  </w:num>
  <w:num w:numId="9" w16cid:durableId="268784011">
    <w:abstractNumId w:val="7"/>
  </w:num>
  <w:num w:numId="10" w16cid:durableId="1363626594">
    <w:abstractNumId w:val="4"/>
  </w:num>
  <w:num w:numId="11" w16cid:durableId="2098019290">
    <w:abstractNumId w:val="14"/>
  </w:num>
  <w:num w:numId="12" w16cid:durableId="1996256040">
    <w:abstractNumId w:val="17"/>
  </w:num>
  <w:num w:numId="13" w16cid:durableId="1780875290">
    <w:abstractNumId w:val="3"/>
  </w:num>
  <w:num w:numId="14" w16cid:durableId="998580795">
    <w:abstractNumId w:val="8"/>
  </w:num>
  <w:num w:numId="15" w16cid:durableId="1659916729">
    <w:abstractNumId w:val="1"/>
  </w:num>
  <w:num w:numId="16" w16cid:durableId="924075098">
    <w:abstractNumId w:val="15"/>
  </w:num>
  <w:num w:numId="17" w16cid:durableId="1878424470">
    <w:abstractNumId w:val="6"/>
  </w:num>
  <w:num w:numId="18" w16cid:durableId="288242754">
    <w:abstractNumId w:val="16"/>
  </w:num>
  <w:num w:numId="19" w16cid:durableId="1137837317">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AllPages"/>
    <w:docVar w:name="LegacyDocIDRemoved" w:val="True"/>
  </w:docVars>
  <w:rsids>
    <w:rsidRoot w:val="00741381"/>
    <w:rsid w:val="00266D03"/>
    <w:rsid w:val="0031393A"/>
    <w:rsid w:val="00741381"/>
    <w:rsid w:val="0078723E"/>
    <w:rsid w:val="008A2902"/>
    <w:rsid w:val="0097139D"/>
    <w:rsid w:val="009D5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CF94C"/>
  <w15:docId w15:val="{41CCBD66-F5C1-4E71-947A-63C331CF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Arial" w:hAnsi="Arial" w:cs="Arial"/>
      <w:b w:val="0"/>
      <w:i w:val="0"/>
      <w:caps w:val="0"/>
      <w:vanish w:val="0"/>
      <w:color w:val="000000"/>
      <w:sz w:val="14"/>
      <w:u w:val="none"/>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sid w:val="008A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istings@thec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D1960146A8D44B8E3DF7EEC180126" ma:contentTypeVersion="13" ma:contentTypeDescription="Create a new document." ma:contentTypeScope="" ma:versionID="2b6e70f2c7e30455af58ead25c1da35f">
  <xsd:schema xmlns:xsd="http://www.w3.org/2001/XMLSchema" xmlns:xs="http://www.w3.org/2001/XMLSchema" xmlns:p="http://schemas.microsoft.com/office/2006/metadata/properties" xmlns:ns2="f38da7ce-f6fd-40f4-9978-d2b0dd665447" xmlns:ns3="f51ad710-171d-4a01-95d8-150e09d6e53d" targetNamespace="http://schemas.microsoft.com/office/2006/metadata/properties" ma:root="true" ma:fieldsID="25796249364bc63f89462d4bec0028ad" ns2:_="" ns3:_="">
    <xsd:import namespace="f38da7ce-f6fd-40f4-9978-d2b0dd665447"/>
    <xsd:import namespace="f51ad710-171d-4a01-95d8-150e09d6e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a7ce-f6fd-40f4-9978-d2b0dd665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ad710-171d-4a01-95d8-150e09d6e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7C8A9-2262-4B03-B4B7-D1DD37D19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C3F62-5907-437F-B475-66C27070C48A}">
  <ds:schemaRefs>
    <ds:schemaRef ds:uri="http://schemas.microsoft.com/sharepoint/v3/contenttype/forms"/>
  </ds:schemaRefs>
</ds:datastoreItem>
</file>

<file path=customXml/itemProps3.xml><?xml version="1.0" encoding="utf-8"?>
<ds:datastoreItem xmlns:ds="http://schemas.openxmlformats.org/officeDocument/2006/customXml" ds:itemID="{1FB6907C-5376-4363-B3B8-F283B48CC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da7ce-f6fd-40f4-9978-d2b0dd665447"/>
    <ds:schemaRef ds:uri="f51ad710-171d-4a01-95d8-150e09d6e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2250</Words>
  <Characters>12829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Stephanie Morgan</cp:lastModifiedBy>
  <cp:revision>2</cp:revision>
  <cp:lastPrinted>2004-05-20T20:47:00Z</cp:lastPrinted>
  <dcterms:created xsi:type="dcterms:W3CDTF">2022-08-17T13:57:00Z</dcterms:created>
  <dcterms:modified xsi:type="dcterms:W3CDTF">2022-08-17T13:57:00Z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-1234525863</vt:i4>
  </property>
  <property fmtid="{D5CDD505-2E9C-101B-9397-08002B2CF9AE}" pid="3" name="DocID">
    <vt:lpwstr>CAN: 40416575.1</vt:lpwstr>
  </property>
  <property fmtid="{D5CDD505-2E9C-101B-9397-08002B2CF9AE}" pid="4" name="ContentTypeId">
    <vt:lpwstr>0x0101000A6D1960146A8D44B8E3DF7EEC180126</vt:lpwstr>
  </property>
</Properties>
</file>