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3825" w14:textId="77777777" w:rsidR="007A3D29" w:rsidRDefault="004551F1">
      <w:pPr>
        <w:pStyle w:val="Title"/>
        <w:spacing w:before="0"/>
        <w:rPr>
          <w:sz w:val="28"/>
          <w:lang w:val="en-CA"/>
        </w:rPr>
      </w:pPr>
      <w:r>
        <w:rPr>
          <w:sz w:val="28"/>
          <w:lang w:val="en-CA"/>
        </w:rPr>
        <w:t>FORM 9</w:t>
      </w:r>
    </w:p>
    <w:p w14:paraId="1937B830" w14:textId="77777777" w:rsidR="007A3D29" w:rsidRDefault="004551F1">
      <w:pPr>
        <w:pStyle w:val="Title"/>
        <w:spacing w:before="0" w:after="0"/>
        <w:rPr>
          <w:sz w:val="28"/>
          <w:u w:val="single"/>
          <w:lang w:val="en-CA"/>
        </w:rPr>
      </w:pPr>
      <w:r>
        <w:rPr>
          <w:sz w:val="28"/>
          <w:u w:val="single"/>
          <w:lang w:val="en-CA"/>
        </w:rPr>
        <w:t xml:space="preserve">NOTICE OF ISSUANCE OR PROPOSED ISSUANCE OF LISTED SECURITIES </w:t>
      </w:r>
    </w:p>
    <w:p w14:paraId="09A1CDA0" w14:textId="77777777" w:rsidR="007A3D29" w:rsidRDefault="004551F1">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listed securities</w:t>
      </w:r>
      <w:r>
        <w:rPr>
          <w:rStyle w:val="FootnoteReference"/>
        </w:rPr>
        <w:footnoteRef/>
      </w:r>
      <w:r>
        <w:rPr>
          <w:sz w:val="28"/>
          <w:u w:val="single"/>
          <w:lang w:val="en-CA"/>
        </w:rPr>
        <w:t>)</w:t>
      </w:r>
    </w:p>
    <w:p w14:paraId="1F5A31D8" w14:textId="77777777" w:rsidR="007A3D29" w:rsidRDefault="004551F1">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7A3D29" w14:paraId="58BD4B06" w14:textId="77777777">
        <w:tc>
          <w:tcPr>
            <w:tcW w:w="6487" w:type="dxa"/>
          </w:tcPr>
          <w:p w14:paraId="6236E037" w14:textId="77777777" w:rsidR="007A3D29" w:rsidRDefault="004551F1">
            <w:pPr>
              <w:pStyle w:val="BodyText"/>
              <w:rPr>
                <w:rFonts w:ascii="Arial" w:hAnsi="Arial"/>
                <w:lang w:val="en-CA"/>
              </w:rPr>
            </w:pPr>
            <w:r>
              <w:rPr>
                <w:rFonts w:ascii="Arial" w:hAnsi="Arial"/>
                <w:lang w:val="en-CA"/>
              </w:rPr>
              <w:t xml:space="preserve">Ascend Wellness Holdings, Inc. (the “Issuer”).  </w:t>
            </w:r>
          </w:p>
        </w:tc>
        <w:tc>
          <w:tcPr>
            <w:tcW w:w="3089" w:type="dxa"/>
          </w:tcPr>
          <w:p w14:paraId="6E449963" w14:textId="77777777" w:rsidR="007A3D29" w:rsidRDefault="004551F1">
            <w:pPr>
              <w:pStyle w:val="BodyText"/>
              <w:rPr>
                <w:rFonts w:ascii="Arial" w:hAnsi="Arial"/>
                <w:lang w:val="en-CA"/>
              </w:rPr>
            </w:pPr>
            <w:r>
              <w:rPr>
                <w:rFonts w:ascii="Arial" w:hAnsi="Arial"/>
                <w:lang w:val="en-CA"/>
              </w:rPr>
              <w:t>AAWH</w:t>
            </w:r>
          </w:p>
        </w:tc>
      </w:tr>
    </w:tbl>
    <w:p w14:paraId="70F3F9EC" w14:textId="2F5125D4" w:rsidR="007A3D29" w:rsidRDefault="004551F1">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t>April 2</w:t>
      </w:r>
      <w:r w:rsidR="00B63640">
        <w:rPr>
          <w:rFonts w:ascii="Arial" w:hAnsi="Arial"/>
          <w:u w:val="single"/>
          <w:lang w:val="en-CA"/>
        </w:rPr>
        <w:t>9</w:t>
      </w:r>
      <w:r>
        <w:rPr>
          <w:rFonts w:ascii="Arial" w:hAnsi="Arial"/>
          <w:u w:val="single"/>
          <w:lang w:val="en-CA"/>
        </w:rPr>
        <w:t xml:space="preserve">, </w:t>
      </w:r>
      <w:proofErr w:type="gramStart"/>
      <w:r>
        <w:rPr>
          <w:rFonts w:ascii="Arial" w:hAnsi="Arial"/>
          <w:u w:val="single"/>
          <w:lang w:val="en-CA"/>
        </w:rPr>
        <w:t>2022</w:t>
      </w:r>
      <w:proofErr w:type="gramEnd"/>
      <w:r>
        <w:rPr>
          <w:rFonts w:ascii="Arial" w:hAnsi="Arial"/>
          <w:lang w:val="en-CA"/>
        </w:rPr>
        <w:t xml:space="preserve"> </w:t>
      </w:r>
      <w:r>
        <w:rPr>
          <w:rFonts w:ascii="Arial" w:hAnsi="Arial"/>
          <w:lang w:val="en-CA"/>
        </w:rPr>
        <w:tab/>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Wingdings" w:char="F078"/>
      </w:r>
      <w:r>
        <w:rPr>
          <w:rFonts w:ascii="Arial" w:hAnsi="Arial"/>
          <w:lang w:val="en-CA"/>
        </w:rPr>
        <w:t>No</w:t>
      </w:r>
      <w:r>
        <w:rPr>
          <w:rFonts w:ascii="Arial" w:hAnsi="Arial"/>
          <w:sz w:val="32"/>
          <w:lang w:val="en-CA"/>
        </w:rPr>
        <w:tab/>
      </w:r>
    </w:p>
    <w:p w14:paraId="5AC7BD48"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Pr>
          <w:rFonts w:ascii="Arial" w:hAnsi="Arial"/>
          <w:u w:val="single"/>
          <w:lang w:val="en-CA"/>
        </w:rPr>
        <w:t>N/A.</w:t>
      </w:r>
    </w:p>
    <w:p w14:paraId="3BB55863" w14:textId="36247439" w:rsidR="007A3D29" w:rsidRDefault="004551F1">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Pr="00B63640">
        <w:rPr>
          <w:rFonts w:ascii="Arial" w:hAnsi="Arial"/>
          <w:u w:val="single"/>
          <w:lang w:val="en-CA"/>
        </w:rPr>
        <w:t>175,</w:t>
      </w:r>
      <w:r w:rsidR="00EB17D0" w:rsidRPr="00B63640">
        <w:rPr>
          <w:rFonts w:ascii="Arial" w:hAnsi="Arial"/>
          <w:u w:val="single"/>
          <w:lang w:val="en-CA"/>
        </w:rPr>
        <w:t>961,518</w:t>
      </w:r>
      <w:r>
        <w:rPr>
          <w:rFonts w:ascii="Arial" w:hAnsi="Arial"/>
          <w:u w:val="single"/>
          <w:lang w:val="en-CA"/>
        </w:rPr>
        <w:t xml:space="preserve"> shares of Class A common stock</w:t>
      </w:r>
      <w:r>
        <w:rPr>
          <w:rFonts w:ascii="Arial" w:hAnsi="Arial"/>
          <w:lang w:val="en-CA"/>
        </w:rPr>
        <w:t>.</w:t>
      </w:r>
    </w:p>
    <w:p w14:paraId="370C90A7" w14:textId="77777777" w:rsidR="007A3D29" w:rsidRDefault="004551F1">
      <w:pPr>
        <w:pStyle w:val="BodyText"/>
        <w:tabs>
          <w:tab w:val="left" w:pos="9180"/>
        </w:tabs>
        <w:spacing w:before="0" w:after="120"/>
        <w:rPr>
          <w:rFonts w:ascii="Arial" w:hAnsi="Arial"/>
          <w:b/>
          <w:lang w:val="en-CA"/>
        </w:rPr>
      </w:pPr>
      <w:r>
        <w:rPr>
          <w:rFonts w:ascii="Arial" w:hAnsi="Arial"/>
          <w:b/>
          <w:lang w:val="en-CA"/>
        </w:rPr>
        <w:t>Pricing</w:t>
      </w:r>
    </w:p>
    <w:p w14:paraId="78162377"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softHyphen/>
        <w:t xml:space="preserve">April 20, </w:t>
      </w:r>
      <w:proofErr w:type="gramStart"/>
      <w:r>
        <w:rPr>
          <w:rFonts w:ascii="Arial" w:hAnsi="Arial"/>
          <w:u w:val="single"/>
          <w:lang w:val="en-CA"/>
        </w:rPr>
        <w:t>2022</w:t>
      </w:r>
      <w:proofErr w:type="gramEnd"/>
      <w:r>
        <w:rPr>
          <w:rFonts w:ascii="Arial" w:hAnsi="Arial"/>
          <w:lang w:val="en-CA"/>
        </w:rPr>
        <w:t xml:space="preserve"> or</w:t>
      </w:r>
    </w:p>
    <w:p w14:paraId="045B9368"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u w:val="single"/>
          <w:lang w:val="en-CA"/>
        </w:rPr>
        <w:t>N/A</w:t>
      </w:r>
    </w:p>
    <w:p w14:paraId="4832A3F8"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US$3.33</w:t>
      </w:r>
      <w:r>
        <w:rPr>
          <w:rFonts w:ascii="Arial" w:hAnsi="Arial"/>
          <w:lang w:val="en-CA"/>
        </w:rPr>
        <w:t xml:space="preserve"> or</w:t>
      </w:r>
    </w:p>
    <w:p w14:paraId="59C93ADB"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u w:val="single"/>
          <w:lang w:val="en-CA"/>
        </w:rPr>
        <w:t>N/A</w:t>
      </w:r>
    </w:p>
    <w:p w14:paraId="17E3D4A1" w14:textId="77777777" w:rsidR="007A3D29" w:rsidRDefault="004551F1">
      <w:pPr>
        <w:pStyle w:val="BodyText"/>
        <w:tabs>
          <w:tab w:val="left" w:pos="9180"/>
        </w:tabs>
        <w:spacing w:before="0" w:after="120"/>
        <w:rPr>
          <w:rFonts w:ascii="Arial" w:hAnsi="Arial"/>
          <w:b/>
          <w:lang w:val="en-CA"/>
        </w:rPr>
      </w:pPr>
      <w:r>
        <w:rPr>
          <w:rFonts w:ascii="Arial" w:hAnsi="Arial"/>
          <w:b/>
          <w:lang w:val="en-CA"/>
        </w:rPr>
        <w:t>Closing</w:t>
      </w:r>
    </w:p>
    <w:p w14:paraId="1A60DBA3" w14:textId="77777777" w:rsidR="007A3D29" w:rsidRDefault="004551F1">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12,900,000 shares of Class A common stock</w:t>
      </w:r>
    </w:p>
    <w:p w14:paraId="10D6CA12" w14:textId="13677E0C" w:rsidR="007A3D29" w:rsidRDefault="004551F1">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EB17D0">
        <w:rPr>
          <w:rFonts w:ascii="Arial" w:hAnsi="Arial"/>
          <w:lang w:val="en-CA"/>
        </w:rPr>
        <w:softHyphen/>
      </w:r>
      <w:r w:rsidRPr="00B63640">
        <w:rPr>
          <w:rFonts w:ascii="Arial" w:hAnsi="Arial"/>
          <w:u w:val="single"/>
          <w:lang w:val="en-CA"/>
        </w:rPr>
        <w:t>188,</w:t>
      </w:r>
      <w:r w:rsidR="00EB17D0" w:rsidRPr="00B63640">
        <w:rPr>
          <w:rFonts w:ascii="Arial" w:hAnsi="Arial"/>
          <w:u w:val="single"/>
          <w:lang w:val="en-CA"/>
        </w:rPr>
        <w:t>861,518</w:t>
      </w:r>
      <w:r>
        <w:rPr>
          <w:rFonts w:ascii="Arial" w:hAnsi="Arial"/>
          <w:u w:val="single"/>
          <w:lang w:val="en-CA"/>
        </w:rPr>
        <w:t xml:space="preserve"> shares of Class A common stock</w:t>
      </w:r>
      <w:r>
        <w:rPr>
          <w:rFonts w:ascii="Arial" w:hAnsi="Arial"/>
          <w:lang w:val="en-CA"/>
        </w:rPr>
        <w:t>.</w:t>
      </w:r>
    </w:p>
    <w:p w14:paraId="1B12BD74" w14:textId="77777777" w:rsidR="007A3D29" w:rsidRDefault="004551F1">
      <w:pPr>
        <w:pStyle w:val="BodyText"/>
        <w:tabs>
          <w:tab w:val="left" w:pos="9180"/>
        </w:tabs>
        <w:spacing w:before="0" w:after="120"/>
        <w:rPr>
          <w:rFonts w:ascii="Arial" w:hAnsi="Arial"/>
          <w:b/>
          <w:lang w:val="en-CA"/>
        </w:rPr>
      </w:pPr>
      <w:r>
        <w:rPr>
          <w:rFonts w:ascii="Arial" w:hAnsi="Arial"/>
          <w:b/>
          <w:lang w:val="en-CA"/>
        </w:rPr>
        <w:t>Instructions:</w:t>
      </w:r>
    </w:p>
    <w:p w14:paraId="38FAC55C" w14:textId="77777777" w:rsidR="007A3D29" w:rsidRDefault="004551F1">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0772396F" w14:textId="77777777" w:rsidR="007A3D29" w:rsidRDefault="004551F1">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4121717" w14:textId="77777777" w:rsidR="007A3D29" w:rsidRDefault="004551F1">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50C96F0" w14:textId="77777777" w:rsidR="007A3D29" w:rsidRDefault="004551F1">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F0736E6" w14:textId="77777777" w:rsidR="007A3D29" w:rsidRDefault="004551F1">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62D1FADB" w14:textId="77777777" w:rsidR="007A3D29" w:rsidRDefault="004551F1">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w:t>
      </w:r>
      <w:proofErr w:type="spellStart"/>
      <w:r>
        <w:rPr>
          <w:rFonts w:ascii="Arial" w:hAnsi="Arial"/>
          <w:lang w:val="en-CA"/>
        </w:rPr>
        <w:t>placees</w:t>
      </w:r>
      <w:proofErr w:type="spellEnd"/>
      <w:r>
        <w:rPr>
          <w:rFonts w:ascii="Arial" w:hAnsi="Arial"/>
          <w:lang w:val="en-CA"/>
        </w:rPr>
        <w:t>.</w:t>
      </w:r>
      <w:r>
        <w:rPr>
          <w:rFonts w:ascii="Arial" w:hAnsi="Arial"/>
          <w:b/>
          <w:lang w:val="en-CA"/>
        </w:rPr>
        <w:br w:type="page"/>
      </w:r>
    </w:p>
    <w:p w14:paraId="2C919394" w14:textId="77777777" w:rsidR="007A3D29" w:rsidRDefault="004551F1">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67D75D72" w14:textId="77777777" w:rsidR="007A3D29" w:rsidRDefault="004551F1">
      <w:pPr>
        <w:pStyle w:val="BodyText"/>
        <w:rPr>
          <w:rFonts w:ascii="Arial" w:hAnsi="Arial"/>
          <w:b/>
          <w:u w:val="single"/>
          <w:lang w:val="en-CA"/>
        </w:rPr>
      </w:pPr>
      <w:r>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7A3D29" w14:paraId="79E754EC" w14:textId="77777777">
        <w:tc>
          <w:tcPr>
            <w:tcW w:w="3652" w:type="dxa"/>
          </w:tcPr>
          <w:p w14:paraId="4C28BF98" w14:textId="77777777" w:rsidR="007A3D29" w:rsidRDefault="004551F1">
            <w:pPr>
              <w:pStyle w:val="BodyText"/>
              <w:rPr>
                <w:rFonts w:ascii="Arial" w:hAnsi="Arial"/>
                <w:lang w:val="en-CA"/>
              </w:rPr>
            </w:pPr>
            <w:r>
              <w:rPr>
                <w:rFonts w:ascii="Arial" w:hAnsi="Arial"/>
                <w:lang w:val="en-CA"/>
              </w:rPr>
              <w:t>Each jurisdiction in which purchasers reside</w:t>
            </w:r>
          </w:p>
        </w:tc>
        <w:tc>
          <w:tcPr>
            <w:tcW w:w="1701" w:type="dxa"/>
          </w:tcPr>
          <w:p w14:paraId="524B1A9C" w14:textId="77777777" w:rsidR="007A3D29" w:rsidRDefault="004551F1">
            <w:pPr>
              <w:pStyle w:val="BodyText"/>
              <w:rPr>
                <w:rFonts w:ascii="Arial" w:hAnsi="Arial"/>
                <w:lang w:val="en-CA"/>
              </w:rPr>
            </w:pPr>
            <w:r>
              <w:rPr>
                <w:rFonts w:ascii="Arial" w:hAnsi="Arial"/>
                <w:lang w:val="en-CA"/>
              </w:rPr>
              <w:t>Number of Purchasers</w:t>
            </w:r>
          </w:p>
        </w:tc>
        <w:tc>
          <w:tcPr>
            <w:tcW w:w="1829" w:type="dxa"/>
          </w:tcPr>
          <w:p w14:paraId="2648BE32" w14:textId="77777777" w:rsidR="007A3D29" w:rsidRDefault="004551F1">
            <w:pPr>
              <w:pStyle w:val="BodyText"/>
              <w:rPr>
                <w:rFonts w:ascii="Arial" w:hAnsi="Arial"/>
                <w:lang w:val="en-CA"/>
              </w:rPr>
            </w:pPr>
            <w:r>
              <w:rPr>
                <w:rFonts w:ascii="Arial" w:hAnsi="Arial"/>
                <w:lang w:val="en-CA"/>
              </w:rPr>
              <w:t>Price per Security</w:t>
            </w:r>
          </w:p>
        </w:tc>
        <w:tc>
          <w:tcPr>
            <w:tcW w:w="2394" w:type="dxa"/>
          </w:tcPr>
          <w:p w14:paraId="4FB550BD" w14:textId="77777777" w:rsidR="007A3D29" w:rsidRDefault="004551F1">
            <w:pPr>
              <w:pStyle w:val="BodyText"/>
              <w:rPr>
                <w:rFonts w:ascii="Arial" w:hAnsi="Arial"/>
                <w:lang w:val="en-CA"/>
              </w:rPr>
            </w:pPr>
            <w:r>
              <w:rPr>
                <w:rFonts w:ascii="Arial" w:hAnsi="Arial"/>
                <w:lang w:val="en-CA"/>
              </w:rPr>
              <w:t>Total dollar value (CDN$) raised in the jurisdiction</w:t>
            </w:r>
          </w:p>
        </w:tc>
      </w:tr>
      <w:tr w:rsidR="007A3D29" w14:paraId="5A162B14" w14:textId="77777777">
        <w:tc>
          <w:tcPr>
            <w:tcW w:w="3652" w:type="dxa"/>
          </w:tcPr>
          <w:p w14:paraId="3AB1E203" w14:textId="77777777" w:rsidR="007A3D29" w:rsidRDefault="007A3D29">
            <w:pPr>
              <w:pStyle w:val="BodyText"/>
              <w:rPr>
                <w:rFonts w:ascii="Arial" w:hAnsi="Arial"/>
                <w:lang w:val="en-CA"/>
              </w:rPr>
            </w:pPr>
          </w:p>
        </w:tc>
        <w:tc>
          <w:tcPr>
            <w:tcW w:w="1701" w:type="dxa"/>
          </w:tcPr>
          <w:p w14:paraId="553865BB" w14:textId="77777777" w:rsidR="007A3D29" w:rsidRDefault="007A3D29">
            <w:pPr>
              <w:pStyle w:val="BodyText"/>
              <w:rPr>
                <w:rFonts w:ascii="Arial" w:hAnsi="Arial"/>
                <w:lang w:val="en-CA"/>
              </w:rPr>
            </w:pPr>
          </w:p>
        </w:tc>
        <w:tc>
          <w:tcPr>
            <w:tcW w:w="1829" w:type="dxa"/>
          </w:tcPr>
          <w:p w14:paraId="6FA38C33" w14:textId="77777777" w:rsidR="007A3D29" w:rsidRDefault="007A3D29">
            <w:pPr>
              <w:pStyle w:val="BodyText"/>
              <w:rPr>
                <w:rFonts w:ascii="Arial" w:hAnsi="Arial"/>
                <w:lang w:val="en-CA"/>
              </w:rPr>
            </w:pPr>
          </w:p>
        </w:tc>
        <w:tc>
          <w:tcPr>
            <w:tcW w:w="2394" w:type="dxa"/>
          </w:tcPr>
          <w:p w14:paraId="7046757D" w14:textId="77777777" w:rsidR="007A3D29" w:rsidRDefault="007A3D29">
            <w:pPr>
              <w:pStyle w:val="BodyText"/>
              <w:rPr>
                <w:rFonts w:ascii="Arial" w:hAnsi="Arial"/>
                <w:lang w:val="en-CA"/>
              </w:rPr>
            </w:pPr>
          </w:p>
        </w:tc>
      </w:tr>
      <w:tr w:rsidR="007A3D29" w14:paraId="0155ED7D" w14:textId="77777777">
        <w:tc>
          <w:tcPr>
            <w:tcW w:w="3652" w:type="dxa"/>
          </w:tcPr>
          <w:p w14:paraId="1F7F830C" w14:textId="77777777" w:rsidR="007A3D29" w:rsidRDefault="007A3D29">
            <w:pPr>
              <w:pStyle w:val="BodyText"/>
              <w:rPr>
                <w:rFonts w:ascii="Arial" w:hAnsi="Arial"/>
                <w:lang w:val="en-CA"/>
              </w:rPr>
            </w:pPr>
          </w:p>
        </w:tc>
        <w:tc>
          <w:tcPr>
            <w:tcW w:w="1701" w:type="dxa"/>
          </w:tcPr>
          <w:p w14:paraId="79D32298" w14:textId="77777777" w:rsidR="007A3D29" w:rsidRDefault="007A3D29">
            <w:pPr>
              <w:pStyle w:val="BodyText"/>
              <w:rPr>
                <w:rFonts w:ascii="Arial" w:hAnsi="Arial"/>
                <w:lang w:val="en-CA"/>
              </w:rPr>
            </w:pPr>
          </w:p>
        </w:tc>
        <w:tc>
          <w:tcPr>
            <w:tcW w:w="1829" w:type="dxa"/>
          </w:tcPr>
          <w:p w14:paraId="33E32D1C" w14:textId="77777777" w:rsidR="007A3D29" w:rsidRDefault="007A3D29">
            <w:pPr>
              <w:pStyle w:val="BodyText"/>
              <w:rPr>
                <w:rFonts w:ascii="Arial" w:hAnsi="Arial"/>
                <w:lang w:val="en-CA"/>
              </w:rPr>
            </w:pPr>
          </w:p>
        </w:tc>
        <w:tc>
          <w:tcPr>
            <w:tcW w:w="2394" w:type="dxa"/>
          </w:tcPr>
          <w:p w14:paraId="2D4669CF" w14:textId="77777777" w:rsidR="007A3D29" w:rsidRDefault="007A3D29">
            <w:pPr>
              <w:pStyle w:val="BodyText"/>
              <w:rPr>
                <w:rFonts w:ascii="Arial" w:hAnsi="Arial"/>
                <w:lang w:val="en-CA"/>
              </w:rPr>
            </w:pPr>
          </w:p>
        </w:tc>
      </w:tr>
      <w:tr w:rsidR="007A3D29" w14:paraId="5599A8C5" w14:textId="77777777">
        <w:tc>
          <w:tcPr>
            <w:tcW w:w="3652" w:type="dxa"/>
          </w:tcPr>
          <w:p w14:paraId="58848C3B" w14:textId="77777777" w:rsidR="007A3D29" w:rsidRDefault="004551F1">
            <w:pPr>
              <w:pStyle w:val="BodyText"/>
              <w:rPr>
                <w:rFonts w:ascii="Arial" w:hAnsi="Arial"/>
                <w:lang w:val="en-CA"/>
              </w:rPr>
            </w:pPr>
            <w:r>
              <w:rPr>
                <w:rFonts w:ascii="Arial" w:hAnsi="Arial"/>
                <w:lang w:val="en-CA"/>
              </w:rPr>
              <w:t>Total number of purchasers:</w:t>
            </w:r>
          </w:p>
        </w:tc>
        <w:tc>
          <w:tcPr>
            <w:tcW w:w="1701" w:type="dxa"/>
          </w:tcPr>
          <w:p w14:paraId="700499A2" w14:textId="77777777" w:rsidR="007A3D29" w:rsidRDefault="007A3D29">
            <w:pPr>
              <w:pStyle w:val="BodyText"/>
              <w:rPr>
                <w:rFonts w:ascii="Arial" w:hAnsi="Arial"/>
                <w:lang w:val="en-CA"/>
              </w:rPr>
            </w:pPr>
          </w:p>
        </w:tc>
        <w:tc>
          <w:tcPr>
            <w:tcW w:w="1829" w:type="dxa"/>
          </w:tcPr>
          <w:p w14:paraId="7B86DE39" w14:textId="77777777" w:rsidR="007A3D29" w:rsidRDefault="007A3D29">
            <w:pPr>
              <w:pStyle w:val="BodyText"/>
              <w:rPr>
                <w:rFonts w:ascii="Arial" w:hAnsi="Arial"/>
                <w:lang w:val="en-CA"/>
              </w:rPr>
            </w:pPr>
          </w:p>
        </w:tc>
        <w:tc>
          <w:tcPr>
            <w:tcW w:w="2394" w:type="dxa"/>
          </w:tcPr>
          <w:p w14:paraId="00083303" w14:textId="77777777" w:rsidR="007A3D29" w:rsidRDefault="007A3D29">
            <w:pPr>
              <w:pStyle w:val="BodyText"/>
              <w:rPr>
                <w:rFonts w:ascii="Arial" w:hAnsi="Arial"/>
                <w:lang w:val="en-CA"/>
              </w:rPr>
            </w:pPr>
          </w:p>
        </w:tc>
      </w:tr>
      <w:tr w:rsidR="007A3D29" w14:paraId="1B4102EC" w14:textId="77777777">
        <w:tc>
          <w:tcPr>
            <w:tcW w:w="7182" w:type="dxa"/>
            <w:gridSpan w:val="3"/>
          </w:tcPr>
          <w:p w14:paraId="02EC6DA1" w14:textId="77777777" w:rsidR="007A3D29" w:rsidRDefault="004551F1">
            <w:pPr>
              <w:pStyle w:val="BodyText"/>
              <w:rPr>
                <w:rFonts w:ascii="Arial" w:hAnsi="Arial"/>
                <w:lang w:val="en-CA"/>
              </w:rPr>
            </w:pPr>
            <w:r>
              <w:rPr>
                <w:rFonts w:ascii="Arial" w:hAnsi="Arial"/>
                <w:lang w:val="en-CA"/>
              </w:rPr>
              <w:t>Total dollar value of distribution in all jurisdictions:</w:t>
            </w:r>
          </w:p>
        </w:tc>
        <w:tc>
          <w:tcPr>
            <w:tcW w:w="2394" w:type="dxa"/>
          </w:tcPr>
          <w:p w14:paraId="4336755B" w14:textId="77777777" w:rsidR="007A3D29" w:rsidRDefault="007A3D29">
            <w:pPr>
              <w:pStyle w:val="BodyText"/>
              <w:rPr>
                <w:rFonts w:ascii="Arial" w:hAnsi="Arial"/>
                <w:lang w:val="en-CA"/>
              </w:rPr>
            </w:pPr>
          </w:p>
        </w:tc>
      </w:tr>
    </w:tbl>
    <w:p w14:paraId="2819E091" w14:textId="77777777" w:rsidR="007A3D29" w:rsidRDefault="007A3D29">
      <w:pPr>
        <w:pStyle w:val="BodyText"/>
        <w:rPr>
          <w:rFonts w:ascii="Arial" w:hAnsi="Arial"/>
          <w:b/>
          <w:u w:val="single"/>
          <w:lang w:val="en-CA"/>
        </w:rPr>
      </w:pPr>
    </w:p>
    <w:p w14:paraId="03C8E36F" w14:textId="77777777" w:rsidR="007A3D29" w:rsidRDefault="004551F1">
      <w:pPr>
        <w:pStyle w:val="BodyText"/>
        <w:rPr>
          <w:rFonts w:ascii="Arial" w:hAnsi="Arial"/>
          <w:b/>
          <w:u w:val="single"/>
          <w:lang w:val="en-CA"/>
        </w:rPr>
      </w:pPr>
      <w:r>
        <w:rPr>
          <w:rFonts w:ascii="Arial" w:hAnsi="Arial"/>
          <w:b/>
          <w:u w:val="single"/>
          <w:lang w:val="en-CA"/>
        </w:rPr>
        <w:t>Table 1B – Related Persons</w:t>
      </w:r>
    </w:p>
    <w:p w14:paraId="4CC9DB1C" w14:textId="77777777" w:rsidR="007A3D29" w:rsidRDefault="007A3D29">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7A3D29" w14:paraId="01EE98A1" w14:textId="77777777">
        <w:trPr>
          <w:trHeight w:val="1965"/>
        </w:trPr>
        <w:tc>
          <w:tcPr>
            <w:tcW w:w="1368" w:type="dxa"/>
          </w:tcPr>
          <w:p w14:paraId="76E7AD71" w14:textId="77777777" w:rsidR="007A3D29" w:rsidRDefault="007A3D29">
            <w:pPr>
              <w:pStyle w:val="BodyText"/>
              <w:spacing w:before="0" w:line="280" w:lineRule="exact"/>
              <w:jc w:val="center"/>
              <w:rPr>
                <w:rFonts w:ascii="Arial" w:hAnsi="Arial"/>
                <w:b/>
                <w:sz w:val="20"/>
                <w:lang w:val="en-CA"/>
              </w:rPr>
            </w:pPr>
          </w:p>
          <w:p w14:paraId="30F5B3F3"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14:paraId="5D053A55" w14:textId="77777777" w:rsidR="007A3D29" w:rsidRDefault="007A3D29">
            <w:pPr>
              <w:pStyle w:val="BodyText"/>
              <w:spacing w:before="0" w:line="280" w:lineRule="exact"/>
              <w:jc w:val="center"/>
              <w:rPr>
                <w:rFonts w:ascii="Arial" w:hAnsi="Arial"/>
                <w:b/>
                <w:sz w:val="20"/>
                <w:lang w:val="en-CA"/>
              </w:rPr>
            </w:pPr>
          </w:p>
          <w:p w14:paraId="2C9BAC8A"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6B3705EB" w14:textId="77777777" w:rsidR="007A3D29" w:rsidRDefault="007A3D29">
            <w:pPr>
              <w:pStyle w:val="BodyText"/>
              <w:spacing w:before="0" w:line="280" w:lineRule="exact"/>
              <w:jc w:val="center"/>
              <w:rPr>
                <w:rFonts w:ascii="Arial" w:hAnsi="Arial"/>
                <w:b/>
                <w:sz w:val="20"/>
                <w:lang w:val="en-CA"/>
              </w:rPr>
            </w:pPr>
          </w:p>
          <w:p w14:paraId="38EAF5C4"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8E34189" w14:textId="77777777" w:rsidR="007A3D29" w:rsidRDefault="007A3D29">
            <w:pPr>
              <w:pStyle w:val="BodyText"/>
              <w:spacing w:before="0" w:line="280" w:lineRule="exact"/>
              <w:jc w:val="center"/>
              <w:rPr>
                <w:rFonts w:ascii="Arial" w:hAnsi="Arial"/>
                <w:b/>
                <w:sz w:val="20"/>
                <w:lang w:val="en-CA"/>
              </w:rPr>
            </w:pPr>
          </w:p>
          <w:p w14:paraId="3155FCBD"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Conversion</w:t>
            </w:r>
          </w:p>
          <w:p w14:paraId="4ACD9B94"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Price (if</w:t>
            </w:r>
          </w:p>
          <w:p w14:paraId="4CD64A17"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Applicable)</w:t>
            </w:r>
          </w:p>
          <w:p w14:paraId="53E53F94"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1CC4E7D6" w14:textId="77777777" w:rsidR="007A3D29" w:rsidRDefault="007A3D29">
            <w:pPr>
              <w:pStyle w:val="BodyText"/>
              <w:spacing w:before="0" w:line="280" w:lineRule="exact"/>
              <w:jc w:val="center"/>
              <w:rPr>
                <w:rFonts w:ascii="Arial" w:hAnsi="Arial"/>
                <w:b/>
                <w:sz w:val="20"/>
                <w:lang w:val="en-CA"/>
              </w:rPr>
            </w:pPr>
          </w:p>
          <w:p w14:paraId="48FEB2C4"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6E1CE19E" w14:textId="77777777" w:rsidR="007A3D29" w:rsidRDefault="007A3D29">
            <w:pPr>
              <w:pStyle w:val="BodyText"/>
              <w:spacing w:before="0" w:line="280" w:lineRule="exact"/>
              <w:jc w:val="center"/>
              <w:rPr>
                <w:rFonts w:ascii="Arial" w:hAnsi="Arial"/>
                <w:b/>
                <w:sz w:val="20"/>
              </w:rPr>
            </w:pPr>
          </w:p>
          <w:p w14:paraId="65085120" w14:textId="77777777" w:rsidR="007A3D29" w:rsidRDefault="004551F1">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14:paraId="0B1D13AB" w14:textId="77777777" w:rsidR="007A3D29" w:rsidRDefault="007A3D29">
            <w:pPr>
              <w:pStyle w:val="BodyText"/>
              <w:spacing w:before="0" w:line="280" w:lineRule="exact"/>
              <w:jc w:val="center"/>
              <w:rPr>
                <w:rFonts w:ascii="Arial" w:hAnsi="Arial"/>
                <w:b/>
                <w:sz w:val="20"/>
                <w:lang w:val="en-CA"/>
              </w:rPr>
            </w:pPr>
          </w:p>
          <w:p w14:paraId="75882ED5" w14:textId="77777777" w:rsidR="007A3D29" w:rsidRDefault="004551F1">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04798590" w14:textId="77777777" w:rsidR="007A3D29" w:rsidRDefault="007A3D29">
            <w:pPr>
              <w:pStyle w:val="BodyText"/>
              <w:spacing w:before="0" w:line="280" w:lineRule="exact"/>
              <w:jc w:val="center"/>
              <w:rPr>
                <w:rFonts w:ascii="Arial" w:hAnsi="Arial"/>
                <w:b/>
                <w:color w:val="000000"/>
                <w:sz w:val="20"/>
                <w:lang w:val="en-CA"/>
              </w:rPr>
            </w:pPr>
          </w:p>
          <w:p w14:paraId="4505933E" w14:textId="77777777" w:rsidR="007A3D29" w:rsidRDefault="004551F1">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7A3D29" w14:paraId="319EF40A" w14:textId="77777777">
        <w:trPr>
          <w:trHeight w:val="864"/>
        </w:trPr>
        <w:tc>
          <w:tcPr>
            <w:tcW w:w="1368" w:type="dxa"/>
          </w:tcPr>
          <w:p w14:paraId="39620991" w14:textId="77777777" w:rsidR="007A3D29" w:rsidRDefault="007A3D29">
            <w:pPr>
              <w:pStyle w:val="BodyText"/>
              <w:spacing w:before="0" w:line="280" w:lineRule="exact"/>
              <w:jc w:val="center"/>
              <w:rPr>
                <w:rFonts w:ascii="Arial" w:hAnsi="Arial"/>
                <w:sz w:val="20"/>
                <w:lang w:val="en-CA"/>
              </w:rPr>
            </w:pPr>
          </w:p>
        </w:tc>
        <w:tc>
          <w:tcPr>
            <w:tcW w:w="1350" w:type="dxa"/>
          </w:tcPr>
          <w:p w14:paraId="0115D88C" w14:textId="77777777" w:rsidR="007A3D29" w:rsidRDefault="007A3D29">
            <w:pPr>
              <w:pStyle w:val="BodyText"/>
              <w:spacing w:before="0" w:line="280" w:lineRule="exact"/>
              <w:jc w:val="center"/>
              <w:rPr>
                <w:rFonts w:ascii="Arial" w:hAnsi="Arial"/>
                <w:b/>
                <w:sz w:val="20"/>
                <w:lang w:val="en-CA"/>
              </w:rPr>
            </w:pPr>
          </w:p>
        </w:tc>
        <w:tc>
          <w:tcPr>
            <w:tcW w:w="1170" w:type="dxa"/>
          </w:tcPr>
          <w:p w14:paraId="3E21274F" w14:textId="77777777" w:rsidR="007A3D29" w:rsidRDefault="007A3D29">
            <w:pPr>
              <w:pStyle w:val="BodyText"/>
              <w:spacing w:before="0" w:line="280" w:lineRule="exact"/>
              <w:jc w:val="center"/>
              <w:rPr>
                <w:rFonts w:ascii="Arial" w:hAnsi="Arial"/>
                <w:b/>
                <w:sz w:val="20"/>
                <w:lang w:val="en-CA"/>
              </w:rPr>
            </w:pPr>
          </w:p>
        </w:tc>
        <w:tc>
          <w:tcPr>
            <w:tcW w:w="1350" w:type="dxa"/>
          </w:tcPr>
          <w:p w14:paraId="18EDE13D" w14:textId="77777777" w:rsidR="007A3D29" w:rsidRDefault="007A3D29">
            <w:pPr>
              <w:pStyle w:val="BodyText"/>
              <w:spacing w:before="0" w:line="280" w:lineRule="exact"/>
              <w:jc w:val="center"/>
              <w:rPr>
                <w:rFonts w:ascii="Arial" w:hAnsi="Arial"/>
                <w:b/>
                <w:sz w:val="20"/>
                <w:lang w:val="en-CA"/>
              </w:rPr>
            </w:pPr>
          </w:p>
        </w:tc>
        <w:tc>
          <w:tcPr>
            <w:tcW w:w="1350" w:type="dxa"/>
          </w:tcPr>
          <w:p w14:paraId="78E69070" w14:textId="77777777" w:rsidR="007A3D29" w:rsidRDefault="007A3D29">
            <w:pPr>
              <w:pStyle w:val="BodyText"/>
              <w:spacing w:before="0" w:line="280" w:lineRule="exact"/>
              <w:jc w:val="center"/>
              <w:rPr>
                <w:rFonts w:ascii="Arial" w:hAnsi="Arial"/>
                <w:b/>
                <w:sz w:val="20"/>
                <w:lang w:val="en-CA"/>
              </w:rPr>
            </w:pPr>
          </w:p>
        </w:tc>
        <w:tc>
          <w:tcPr>
            <w:tcW w:w="1710" w:type="dxa"/>
          </w:tcPr>
          <w:p w14:paraId="40400A21" w14:textId="77777777" w:rsidR="007A3D29" w:rsidRDefault="007A3D29">
            <w:pPr>
              <w:pStyle w:val="BodyText"/>
              <w:spacing w:before="0" w:line="280" w:lineRule="exact"/>
              <w:jc w:val="center"/>
              <w:rPr>
                <w:rFonts w:ascii="Arial" w:hAnsi="Arial"/>
                <w:b/>
                <w:sz w:val="20"/>
              </w:rPr>
            </w:pPr>
          </w:p>
        </w:tc>
        <w:tc>
          <w:tcPr>
            <w:tcW w:w="1080" w:type="dxa"/>
          </w:tcPr>
          <w:p w14:paraId="73D16E20" w14:textId="77777777" w:rsidR="007A3D29" w:rsidRDefault="007A3D29">
            <w:pPr>
              <w:pStyle w:val="BodyText"/>
              <w:spacing w:before="0" w:line="280" w:lineRule="exact"/>
              <w:jc w:val="center"/>
              <w:rPr>
                <w:rFonts w:ascii="Arial" w:hAnsi="Arial"/>
                <w:b/>
                <w:sz w:val="20"/>
                <w:lang w:val="en-CA"/>
              </w:rPr>
            </w:pPr>
          </w:p>
        </w:tc>
        <w:tc>
          <w:tcPr>
            <w:tcW w:w="1080" w:type="dxa"/>
          </w:tcPr>
          <w:p w14:paraId="447AAF2C" w14:textId="77777777" w:rsidR="007A3D29" w:rsidRDefault="007A3D29">
            <w:pPr>
              <w:pStyle w:val="BodyText"/>
              <w:spacing w:before="0" w:line="280" w:lineRule="exact"/>
              <w:jc w:val="center"/>
              <w:rPr>
                <w:rFonts w:ascii="Arial" w:hAnsi="Arial"/>
                <w:b/>
                <w:color w:val="000000"/>
                <w:sz w:val="20"/>
                <w:lang w:val="en-CA"/>
              </w:rPr>
            </w:pPr>
          </w:p>
        </w:tc>
      </w:tr>
      <w:tr w:rsidR="007A3D29" w14:paraId="0DCAAD02" w14:textId="77777777">
        <w:trPr>
          <w:trHeight w:val="864"/>
        </w:trPr>
        <w:tc>
          <w:tcPr>
            <w:tcW w:w="1368" w:type="dxa"/>
          </w:tcPr>
          <w:p w14:paraId="3A05014B" w14:textId="77777777" w:rsidR="007A3D29" w:rsidRDefault="007A3D29">
            <w:pPr>
              <w:pStyle w:val="BodyText"/>
              <w:rPr>
                <w:rFonts w:ascii="Arial" w:hAnsi="Arial"/>
                <w:lang w:val="en-CA"/>
              </w:rPr>
            </w:pPr>
          </w:p>
          <w:p w14:paraId="6D0F7608" w14:textId="77777777" w:rsidR="007A3D29" w:rsidRDefault="007A3D29">
            <w:pPr>
              <w:pStyle w:val="BodyText"/>
              <w:rPr>
                <w:rFonts w:ascii="Arial" w:hAnsi="Arial"/>
                <w:lang w:val="en-CA"/>
              </w:rPr>
            </w:pPr>
          </w:p>
        </w:tc>
        <w:tc>
          <w:tcPr>
            <w:tcW w:w="1350" w:type="dxa"/>
          </w:tcPr>
          <w:p w14:paraId="052FFE4E" w14:textId="77777777" w:rsidR="007A3D29" w:rsidRDefault="007A3D29">
            <w:pPr>
              <w:pStyle w:val="BodyText"/>
              <w:rPr>
                <w:rFonts w:ascii="Arial" w:hAnsi="Arial"/>
                <w:lang w:val="en-CA"/>
              </w:rPr>
            </w:pPr>
          </w:p>
        </w:tc>
        <w:tc>
          <w:tcPr>
            <w:tcW w:w="1170" w:type="dxa"/>
          </w:tcPr>
          <w:p w14:paraId="1D3BB14F" w14:textId="77777777" w:rsidR="007A3D29" w:rsidRDefault="007A3D29">
            <w:pPr>
              <w:pStyle w:val="BodyText"/>
              <w:rPr>
                <w:rFonts w:ascii="Arial" w:hAnsi="Arial"/>
                <w:lang w:val="en-CA"/>
              </w:rPr>
            </w:pPr>
          </w:p>
        </w:tc>
        <w:tc>
          <w:tcPr>
            <w:tcW w:w="1350" w:type="dxa"/>
          </w:tcPr>
          <w:p w14:paraId="160DD54E" w14:textId="77777777" w:rsidR="007A3D29" w:rsidRDefault="007A3D29">
            <w:pPr>
              <w:pStyle w:val="BodyText"/>
              <w:rPr>
                <w:rFonts w:ascii="Arial" w:hAnsi="Arial"/>
                <w:lang w:val="en-CA"/>
              </w:rPr>
            </w:pPr>
          </w:p>
        </w:tc>
        <w:tc>
          <w:tcPr>
            <w:tcW w:w="1350" w:type="dxa"/>
          </w:tcPr>
          <w:p w14:paraId="2BBCCE41" w14:textId="77777777" w:rsidR="007A3D29" w:rsidRDefault="007A3D29">
            <w:pPr>
              <w:pStyle w:val="BodyText"/>
              <w:rPr>
                <w:rFonts w:ascii="Arial" w:hAnsi="Arial"/>
                <w:lang w:val="en-CA"/>
              </w:rPr>
            </w:pPr>
          </w:p>
        </w:tc>
        <w:tc>
          <w:tcPr>
            <w:tcW w:w="1710" w:type="dxa"/>
          </w:tcPr>
          <w:p w14:paraId="054160F1" w14:textId="77777777" w:rsidR="007A3D29" w:rsidRDefault="007A3D29">
            <w:pPr>
              <w:pStyle w:val="BodyText"/>
              <w:rPr>
                <w:rFonts w:ascii="Arial" w:hAnsi="Arial"/>
                <w:lang w:val="en-CA"/>
              </w:rPr>
            </w:pPr>
          </w:p>
        </w:tc>
        <w:tc>
          <w:tcPr>
            <w:tcW w:w="1080" w:type="dxa"/>
          </w:tcPr>
          <w:p w14:paraId="3830C269" w14:textId="77777777" w:rsidR="007A3D29" w:rsidRDefault="007A3D29">
            <w:pPr>
              <w:pStyle w:val="BodyText"/>
              <w:rPr>
                <w:rFonts w:ascii="Arial" w:hAnsi="Arial"/>
                <w:lang w:val="en-CA"/>
              </w:rPr>
            </w:pPr>
          </w:p>
        </w:tc>
        <w:tc>
          <w:tcPr>
            <w:tcW w:w="1080" w:type="dxa"/>
          </w:tcPr>
          <w:p w14:paraId="419F0D36" w14:textId="77777777" w:rsidR="007A3D29" w:rsidRDefault="007A3D29">
            <w:pPr>
              <w:pStyle w:val="BodyText"/>
              <w:rPr>
                <w:rFonts w:ascii="Arial" w:hAnsi="Arial"/>
                <w:lang w:val="en-CA"/>
              </w:rPr>
            </w:pPr>
          </w:p>
        </w:tc>
      </w:tr>
      <w:tr w:rsidR="007A3D29" w14:paraId="3A41300B" w14:textId="77777777">
        <w:trPr>
          <w:trHeight w:val="864"/>
        </w:trPr>
        <w:tc>
          <w:tcPr>
            <w:tcW w:w="1368" w:type="dxa"/>
          </w:tcPr>
          <w:p w14:paraId="335BD7C8" w14:textId="77777777" w:rsidR="007A3D29" w:rsidRDefault="007A3D29">
            <w:pPr>
              <w:pStyle w:val="BodyText"/>
              <w:rPr>
                <w:rFonts w:ascii="Arial" w:hAnsi="Arial"/>
                <w:lang w:val="en-CA"/>
              </w:rPr>
            </w:pPr>
          </w:p>
        </w:tc>
        <w:tc>
          <w:tcPr>
            <w:tcW w:w="1350" w:type="dxa"/>
          </w:tcPr>
          <w:p w14:paraId="6571D405" w14:textId="77777777" w:rsidR="007A3D29" w:rsidRDefault="007A3D29">
            <w:pPr>
              <w:pStyle w:val="BodyText"/>
              <w:rPr>
                <w:rFonts w:ascii="Arial" w:hAnsi="Arial"/>
                <w:lang w:val="en-CA"/>
              </w:rPr>
            </w:pPr>
          </w:p>
        </w:tc>
        <w:tc>
          <w:tcPr>
            <w:tcW w:w="1170" w:type="dxa"/>
          </w:tcPr>
          <w:p w14:paraId="5ADF9EC7" w14:textId="77777777" w:rsidR="007A3D29" w:rsidRDefault="007A3D29">
            <w:pPr>
              <w:pStyle w:val="BodyText"/>
              <w:rPr>
                <w:rFonts w:ascii="Arial" w:hAnsi="Arial"/>
                <w:lang w:val="en-CA"/>
              </w:rPr>
            </w:pPr>
          </w:p>
        </w:tc>
        <w:tc>
          <w:tcPr>
            <w:tcW w:w="1350" w:type="dxa"/>
          </w:tcPr>
          <w:p w14:paraId="4FDB25C3" w14:textId="77777777" w:rsidR="007A3D29" w:rsidRDefault="007A3D29">
            <w:pPr>
              <w:pStyle w:val="BodyText"/>
              <w:rPr>
                <w:rFonts w:ascii="Arial" w:hAnsi="Arial"/>
                <w:lang w:val="en-CA"/>
              </w:rPr>
            </w:pPr>
          </w:p>
        </w:tc>
        <w:tc>
          <w:tcPr>
            <w:tcW w:w="1350" w:type="dxa"/>
          </w:tcPr>
          <w:p w14:paraId="25449224" w14:textId="77777777" w:rsidR="007A3D29" w:rsidRDefault="007A3D29">
            <w:pPr>
              <w:pStyle w:val="BodyText"/>
              <w:rPr>
                <w:rFonts w:ascii="Arial" w:hAnsi="Arial"/>
                <w:lang w:val="en-CA"/>
              </w:rPr>
            </w:pPr>
          </w:p>
        </w:tc>
        <w:tc>
          <w:tcPr>
            <w:tcW w:w="1710" w:type="dxa"/>
          </w:tcPr>
          <w:p w14:paraId="52A742EC" w14:textId="77777777" w:rsidR="007A3D29" w:rsidRDefault="007A3D29">
            <w:pPr>
              <w:pStyle w:val="BodyText"/>
              <w:rPr>
                <w:rFonts w:ascii="Arial" w:hAnsi="Arial"/>
                <w:lang w:val="en-CA"/>
              </w:rPr>
            </w:pPr>
          </w:p>
        </w:tc>
        <w:tc>
          <w:tcPr>
            <w:tcW w:w="1080" w:type="dxa"/>
          </w:tcPr>
          <w:p w14:paraId="75BF3B63" w14:textId="77777777" w:rsidR="007A3D29" w:rsidRDefault="007A3D29">
            <w:pPr>
              <w:pStyle w:val="BodyText"/>
              <w:rPr>
                <w:rFonts w:ascii="Arial" w:hAnsi="Arial"/>
                <w:lang w:val="en-CA"/>
              </w:rPr>
            </w:pPr>
          </w:p>
        </w:tc>
        <w:tc>
          <w:tcPr>
            <w:tcW w:w="1080" w:type="dxa"/>
          </w:tcPr>
          <w:p w14:paraId="44563522" w14:textId="77777777" w:rsidR="007A3D29" w:rsidRDefault="007A3D29">
            <w:pPr>
              <w:pStyle w:val="BodyText"/>
              <w:rPr>
                <w:rFonts w:ascii="Arial" w:hAnsi="Arial"/>
                <w:lang w:val="en-CA"/>
              </w:rPr>
            </w:pPr>
          </w:p>
        </w:tc>
      </w:tr>
    </w:tbl>
    <w:p w14:paraId="71DCF5E7" w14:textId="77777777" w:rsidR="007A3D29" w:rsidRDefault="007A3D29">
      <w:pPr>
        <w:pStyle w:val="BodyText"/>
        <w:rPr>
          <w:rFonts w:ascii="Arial" w:hAnsi="Arial" w:cs="Arial"/>
          <w:sz w:val="20"/>
        </w:rPr>
      </w:pPr>
    </w:p>
    <w:p w14:paraId="44D28BF0" w14:textId="77777777" w:rsidR="007A3D29" w:rsidRDefault="004551F1">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14:paraId="5C4F5B1D" w14:textId="77777777" w:rsidR="007A3D29" w:rsidRDefault="004551F1">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14:paraId="6B675B12" w14:textId="77777777" w:rsidR="007A3D29" w:rsidRDefault="004551F1">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14:paraId="771DC52F" w14:textId="77777777" w:rsidR="007A3D29" w:rsidRDefault="004551F1">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4C22A1D2" w14:textId="77777777" w:rsidR="007A3D29" w:rsidRDefault="004551F1">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14:paraId="67A6D7F8" w14:textId="77777777" w:rsidR="007A3D29" w:rsidRDefault="004551F1">
      <w:pPr>
        <w:pStyle w:val="BodyText"/>
        <w:numPr>
          <w:ilvl w:val="0"/>
          <w:numId w:val="10"/>
        </w:numPr>
        <w:tabs>
          <w:tab w:val="left" w:pos="9180"/>
        </w:tabs>
        <w:rPr>
          <w:rFonts w:ascii="Arial" w:hAnsi="Arial"/>
        </w:rPr>
      </w:pPr>
      <w:r>
        <w:rPr>
          <w:rFonts w:ascii="Arial" w:hAnsi="Arial"/>
        </w:rPr>
        <w:t>Description of securities to be issued:</w:t>
      </w:r>
    </w:p>
    <w:p w14:paraId="06B82767" w14:textId="77777777" w:rsidR="007A3D29" w:rsidRDefault="004551F1">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14:paraId="61CC59E1"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77A1072B"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14:paraId="779CF52D"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5B76C997" w14:textId="77777777" w:rsidR="007A3D29" w:rsidRDefault="004551F1">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72084A3" w14:textId="77777777" w:rsidR="007A3D29" w:rsidRDefault="004551F1">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358D58CD" w14:textId="77777777" w:rsidR="007A3D29" w:rsidRDefault="004551F1">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14:paraId="0A94866B" w14:textId="77777777" w:rsidR="007A3D29" w:rsidRDefault="004551F1">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EF57775" w14:textId="77777777" w:rsidR="007A3D29" w:rsidRDefault="004551F1">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29F4B360" w14:textId="77777777" w:rsidR="007A3D29" w:rsidRDefault="004551F1">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2B9224B2" w14:textId="77777777" w:rsidR="007A3D29" w:rsidRDefault="004551F1">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20968AB2" w14:textId="77777777" w:rsidR="007A3D29" w:rsidRDefault="004551F1">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4A5393D3" w14:textId="77777777" w:rsidR="007A3D29" w:rsidRDefault="004551F1">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035AD23C"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4E3FED56"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0580D629" w14:textId="77777777" w:rsidR="007A3D29" w:rsidRDefault="007A3D29">
      <w:pPr>
        <w:pStyle w:val="BodyText"/>
        <w:tabs>
          <w:tab w:val="left" w:pos="1080"/>
          <w:tab w:val="left" w:pos="1440"/>
          <w:tab w:val="left" w:pos="2160"/>
          <w:tab w:val="left" w:pos="9180"/>
        </w:tabs>
        <w:rPr>
          <w:rFonts w:ascii="Arial" w:hAnsi="Arial"/>
        </w:rPr>
      </w:pPr>
    </w:p>
    <w:p w14:paraId="3AA4952C" w14:textId="77777777" w:rsidR="007A3D29" w:rsidRDefault="004551F1">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56FB8E40" w14:textId="77777777" w:rsidR="007A3D29" w:rsidRDefault="004551F1">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B8D2237" w14:textId="77777777" w:rsidR="007A3D29" w:rsidRDefault="004551F1">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40666036" w14:textId="77777777" w:rsidR="007A3D29" w:rsidRDefault="004551F1">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285D55B" w14:textId="77777777" w:rsidR="007A3D29" w:rsidRDefault="004551F1">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356C073" w14:textId="77777777" w:rsidR="007A3D29" w:rsidRDefault="004551F1">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221E50D" w14:textId="77777777" w:rsidR="007A3D29" w:rsidRDefault="004551F1">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295D056E" w14:textId="77777777" w:rsidR="007A3D29" w:rsidRDefault="004551F1">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70A62167" w14:textId="77777777" w:rsidR="007A3D29" w:rsidRDefault="004551F1">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305C6175" w14:textId="77777777" w:rsidR="007A3D29" w:rsidRDefault="004551F1">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31394DA" w14:textId="77777777" w:rsidR="007A3D29" w:rsidRDefault="007A3D29">
      <w:pPr>
        <w:pStyle w:val="List"/>
        <w:tabs>
          <w:tab w:val="left" w:pos="1080"/>
          <w:tab w:val="left" w:pos="9180"/>
        </w:tabs>
        <w:ind w:left="0" w:firstLine="0"/>
        <w:jc w:val="both"/>
        <w:rPr>
          <w:rFonts w:ascii="Arial" w:hAnsi="Arial"/>
        </w:rPr>
      </w:pPr>
    </w:p>
    <w:p w14:paraId="014256C0" w14:textId="77777777" w:rsidR="007A3D29" w:rsidRDefault="004551F1">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906B846" w14:textId="77777777" w:rsidR="007A3D29" w:rsidRDefault="004551F1">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1D83BEF" w14:textId="77777777" w:rsidR="007A3D29" w:rsidRDefault="004551F1">
      <w:pPr>
        <w:pStyle w:val="List"/>
        <w:numPr>
          <w:ilvl w:val="0"/>
          <w:numId w:val="10"/>
        </w:numPr>
        <w:rPr>
          <w:rFonts w:ascii="Arial" w:hAnsi="Arial"/>
        </w:rPr>
      </w:pPr>
      <w:r>
        <w:rPr>
          <w:rFonts w:ascii="Arial" w:hAnsi="Arial"/>
        </w:rPr>
        <w:t>State whether the private placement will result in a change of control.</w:t>
      </w:r>
    </w:p>
    <w:p w14:paraId="1F801159" w14:textId="77777777" w:rsidR="007A3D29" w:rsidRDefault="004551F1">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F264ECA" w14:textId="77777777" w:rsidR="007A3D29" w:rsidRDefault="007A3D29">
      <w:pPr>
        <w:pStyle w:val="List"/>
        <w:tabs>
          <w:tab w:val="left" w:pos="9180"/>
        </w:tabs>
        <w:spacing w:before="0"/>
        <w:jc w:val="both"/>
        <w:rPr>
          <w:rFonts w:ascii="Arial" w:hAnsi="Arial"/>
        </w:rPr>
      </w:pPr>
    </w:p>
    <w:p w14:paraId="4BA94B7D" w14:textId="77777777" w:rsidR="007A3D29" w:rsidRDefault="004551F1">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38C1C56A" w14:textId="77777777" w:rsidR="007A3D29" w:rsidRDefault="004551F1">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CBF4686" w14:textId="77777777" w:rsidR="007A3D29" w:rsidRDefault="004551F1">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1018CC6" w14:textId="77777777" w:rsidR="007A3D29" w:rsidRDefault="004551F1">
      <w:pPr>
        <w:pStyle w:val="List"/>
        <w:tabs>
          <w:tab w:val="left" w:pos="1080"/>
          <w:tab w:val="left" w:pos="9180"/>
        </w:tabs>
        <w:spacing w:before="0"/>
        <w:ind w:left="0" w:firstLine="0"/>
        <w:jc w:val="both"/>
        <w:rPr>
          <w:rFonts w:ascii="Arial" w:hAnsi="Arial"/>
        </w:rPr>
      </w:pPr>
      <w:r>
        <w:rPr>
          <w:rFonts w:ascii="Arial" w:hAnsi="Arial"/>
        </w:rPr>
        <w:tab/>
      </w:r>
    </w:p>
    <w:p w14:paraId="438258C7" w14:textId="77777777" w:rsidR="007A3D29" w:rsidRDefault="004551F1">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7A94A3C1" w14:textId="77777777" w:rsidR="007A3D29" w:rsidRDefault="004551F1">
      <w:pPr>
        <w:rPr>
          <w:rFonts w:ascii="Arial" w:hAnsi="Arial"/>
          <w:b/>
          <w:color w:val="000000"/>
          <w:sz w:val="24"/>
          <w:lang w:val="en-GB"/>
        </w:rPr>
      </w:pPr>
      <w:r>
        <w:rPr>
          <w:rFonts w:ascii="Arial" w:hAnsi="Arial"/>
          <w:b/>
          <w:color w:val="000000"/>
        </w:rPr>
        <w:br w:type="page"/>
      </w:r>
    </w:p>
    <w:p w14:paraId="335B1EAC" w14:textId="77777777" w:rsidR="007A3D29" w:rsidRDefault="004551F1">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49B47431" w14:textId="77777777" w:rsidR="007A3D29" w:rsidRDefault="007A3D29">
      <w:pPr>
        <w:pStyle w:val="List"/>
        <w:tabs>
          <w:tab w:val="left" w:pos="9180"/>
        </w:tabs>
        <w:spacing w:before="0"/>
        <w:ind w:left="0" w:firstLine="0"/>
        <w:jc w:val="both"/>
        <w:rPr>
          <w:rFonts w:ascii="Arial" w:hAnsi="Arial"/>
          <w:color w:val="000000"/>
        </w:rPr>
      </w:pPr>
    </w:p>
    <w:p w14:paraId="2ADA4F1F" w14:textId="77777777" w:rsidR="007A3D29" w:rsidRDefault="004551F1">
      <w:pPr>
        <w:pStyle w:val="List"/>
        <w:numPr>
          <w:ilvl w:val="0"/>
          <w:numId w:val="14"/>
        </w:numPr>
        <w:tabs>
          <w:tab w:val="left" w:pos="9180"/>
        </w:tabs>
        <w:spacing w:before="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bookmarkStart w:id="4" w:name="_Hlk101945429"/>
      <w:r>
        <w:rPr>
          <w:rFonts w:ascii="Arial" w:hAnsi="Arial"/>
          <w:color w:val="000000"/>
          <w:u w:val="single"/>
        </w:rPr>
        <w:t>The Issuer completed its acquisition of Story of PA CR, LLC (“Story”). Story received a Clinical Registrant permit ("Permit") from the Pennsylvania Department of Health on March 1, and Story will remain the Permit holder and operator of the Permit.</w:t>
      </w:r>
      <w:r>
        <w:t xml:space="preserve"> </w:t>
      </w:r>
      <w:r>
        <w:rPr>
          <w:rFonts w:ascii="Arial" w:hAnsi="Arial"/>
          <w:color w:val="000000"/>
          <w:u w:val="single"/>
        </w:rPr>
        <w:t xml:space="preserve">Story is expected to, through a research collaboration agreement with the Geisinger Commonwealth School of Medicine ("Geisinger"), a Pennsylvania Department of Health-Certified Medical Marijuana Academic Clinical Research </w:t>
      </w:r>
      <w:proofErr w:type="spellStart"/>
      <w:r>
        <w:rPr>
          <w:rFonts w:ascii="Arial" w:hAnsi="Arial"/>
          <w:color w:val="000000"/>
          <w:u w:val="single"/>
        </w:rPr>
        <w:t>Center</w:t>
      </w:r>
      <w:proofErr w:type="spellEnd"/>
      <w:r>
        <w:rPr>
          <w:rFonts w:ascii="Arial" w:hAnsi="Arial"/>
          <w:color w:val="000000"/>
          <w:u w:val="single"/>
        </w:rPr>
        <w:t xml:space="preserve">, open a cultivation and processing facility and up to six medical dispensaries throughout the Commonwealth of Pennsylvania while contributing to </w:t>
      </w:r>
      <w:proofErr w:type="spellStart"/>
      <w:r>
        <w:rPr>
          <w:rFonts w:ascii="Arial" w:hAnsi="Arial"/>
          <w:color w:val="000000"/>
          <w:u w:val="single"/>
        </w:rPr>
        <w:t>groundbreaking</w:t>
      </w:r>
      <w:proofErr w:type="spellEnd"/>
      <w:r>
        <w:rPr>
          <w:rFonts w:ascii="Arial" w:hAnsi="Arial"/>
          <w:color w:val="000000"/>
          <w:u w:val="single"/>
        </w:rPr>
        <w:t xml:space="preserve"> clinical research to benefit the patients of Pennsylvania.  </w:t>
      </w:r>
      <w:bookmarkEnd w:id="4"/>
    </w:p>
    <w:p w14:paraId="141A3181" w14:textId="77777777" w:rsidR="007A3D29" w:rsidRDefault="004551F1">
      <w:pPr>
        <w:pStyle w:val="List"/>
        <w:numPr>
          <w:ilvl w:val="0"/>
          <w:numId w:val="14"/>
        </w:numPr>
        <w:tabs>
          <w:tab w:val="left" w:pos="9180"/>
        </w:tabs>
        <w:jc w:val="both"/>
        <w:rPr>
          <w:rFonts w:ascii="Arial" w:hAnsi="Arial"/>
          <w:color w:val="000000"/>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 xml:space="preserve">The Issuer completed its acquisition of Story pursuant to that certain Agreement and Plan of Merger among the Issuer, AWH Pennsylvania, LLC, a wholly-owned subsidiary of the Company (“AWH Pennsylvania”), Ascend PA Merger Sub, LLC, a wholly-owned subsidiary of AWH Pennsylvania (“Merger Sub”), Story, the Members of Story named therein (the “Sellers”) and KGF PACR </w:t>
      </w:r>
      <w:proofErr w:type="spellStart"/>
      <w:r>
        <w:rPr>
          <w:rFonts w:ascii="Arial" w:hAnsi="Arial"/>
          <w:color w:val="000000"/>
          <w:u w:val="single"/>
        </w:rPr>
        <w:t>HoldCo</w:t>
      </w:r>
      <w:proofErr w:type="spellEnd"/>
      <w:r>
        <w:rPr>
          <w:rFonts w:ascii="Arial" w:hAnsi="Arial"/>
          <w:color w:val="000000"/>
          <w:u w:val="single"/>
        </w:rPr>
        <w:t>, LLC, dated April 19, 2022 (the “Merger Agreement”), whereby Merger Sub merged with and into Story, with Story surviving as a wholly-owned subsidiary of AWH Pennsylvania (the “Transaction”).</w:t>
      </w:r>
      <w:r>
        <w:t xml:space="preserve"> </w:t>
      </w:r>
      <w:r>
        <w:rPr>
          <w:rFonts w:ascii="Arial" w:hAnsi="Arial"/>
          <w:color w:val="000000"/>
          <w:u w:val="single"/>
        </w:rPr>
        <w:t xml:space="preserve">Prior to the completion of the Transaction, AWH Pennsylvania owned 1% of the membership interests of Story. Pursuant to the Merger Agreement, the Issuer acquired </w:t>
      </w:r>
      <w:proofErr w:type="gramStart"/>
      <w:r>
        <w:rPr>
          <w:rFonts w:ascii="Arial" w:hAnsi="Arial"/>
          <w:color w:val="000000"/>
          <w:u w:val="single"/>
        </w:rPr>
        <w:t>all of</w:t>
      </w:r>
      <w:proofErr w:type="gramEnd"/>
      <w:r>
        <w:rPr>
          <w:rFonts w:ascii="Arial" w:hAnsi="Arial"/>
          <w:color w:val="000000"/>
          <w:u w:val="single"/>
        </w:rPr>
        <w:t xml:space="preserve"> the remaining outstanding equity interests of Story for total consideration of approximately $53 million, consisting of approximately US$10.2 million in cash and 12.9 million shares of Class A common stock.</w:t>
      </w:r>
    </w:p>
    <w:p w14:paraId="4BE9E227" w14:textId="77777777" w:rsidR="007A3D29" w:rsidRDefault="004551F1">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6695C629" w14:textId="77777777" w:rsidR="007A3D29" w:rsidRDefault="004551F1">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approximately US$53 million (approximately C$67 million</w:t>
      </w:r>
      <w:proofErr w:type="gramStart"/>
      <w:r>
        <w:rPr>
          <w:rFonts w:ascii="Arial" w:hAnsi="Arial"/>
          <w:color w:val="000000"/>
          <w:u w:val="single"/>
        </w:rPr>
        <w:t>)</w:t>
      </w:r>
      <w:r>
        <w:rPr>
          <w:rFonts w:ascii="Arial" w:hAnsi="Arial"/>
          <w:color w:val="000000"/>
        </w:rPr>
        <w:t xml:space="preserve"> .</w:t>
      </w:r>
      <w:proofErr w:type="gramEnd"/>
    </w:p>
    <w:p w14:paraId="1AE0047D" w14:textId="77777777"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approximately US$10.2 million (approximately C$12.9 million)</w:t>
      </w:r>
      <w:r>
        <w:rPr>
          <w:rFonts w:ascii="Arial" w:hAnsi="Arial"/>
          <w:color w:val="000000"/>
        </w:rPr>
        <w:t>.</w:t>
      </w:r>
    </w:p>
    <w:p w14:paraId="1F18F0FA" w14:textId="045B57E6"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US$4</w:t>
      </w:r>
      <w:r w:rsidR="00E83A87">
        <w:rPr>
          <w:rFonts w:ascii="Arial" w:hAnsi="Arial"/>
          <w:color w:val="000000"/>
          <w:u w:val="single"/>
        </w:rPr>
        <w:t>3</w:t>
      </w:r>
      <w:r>
        <w:rPr>
          <w:rFonts w:ascii="Arial" w:hAnsi="Arial"/>
          <w:color w:val="000000"/>
          <w:u w:val="single"/>
        </w:rPr>
        <w:t xml:space="preserve"> million (approximately C$54 million). The shares of Class A common stock issued are subject to the terms of an escrow agreement.</w:t>
      </w:r>
    </w:p>
    <w:p w14:paraId="1AE157D3" w14:textId="77777777"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Other: </w:t>
      </w:r>
      <w:proofErr w:type="gramStart"/>
      <w:r>
        <w:rPr>
          <w:rFonts w:ascii="Arial" w:hAnsi="Arial"/>
          <w:color w:val="000000"/>
          <w:u w:val="single"/>
        </w:rPr>
        <w:tab/>
      </w:r>
      <w:r>
        <w:rPr>
          <w:rFonts w:ascii="Arial" w:hAnsi="Arial"/>
          <w:color w:val="000000"/>
        </w:rPr>
        <w:t xml:space="preserve"> .</w:t>
      </w:r>
      <w:proofErr w:type="gramEnd"/>
    </w:p>
    <w:p w14:paraId="51F30B8C" w14:textId="77777777"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p>
    <w:p w14:paraId="740EE827" w14:textId="77777777"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p>
    <w:p w14:paraId="7AED0864" w14:textId="77777777" w:rsidR="007A3D29" w:rsidRDefault="004551F1">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p>
    <w:p w14:paraId="7267D7A4" w14:textId="77777777" w:rsidR="007A3D29" w:rsidRDefault="004551F1">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 </w:t>
      </w:r>
      <w:r>
        <w:rPr>
          <w:rFonts w:ascii="Arial" w:hAnsi="Arial"/>
          <w:color w:val="000000"/>
          <w:u w:val="single"/>
        </w:rPr>
        <w:t xml:space="preserve">The purchase price was determined by arm’s length negotiation among the parties. </w:t>
      </w:r>
    </w:p>
    <w:p w14:paraId="14C89D66" w14:textId="77777777" w:rsidR="007A3D29" w:rsidRDefault="004551F1">
      <w:pPr>
        <w:pStyle w:val="List"/>
        <w:numPr>
          <w:ilvl w:val="0"/>
          <w:numId w:val="16"/>
        </w:numPr>
        <w:tabs>
          <w:tab w:val="left" w:pos="9180"/>
        </w:tabs>
        <w:rPr>
          <w:rFonts w:ascii="Arial" w:hAnsi="Arial"/>
          <w:color w:val="000000"/>
        </w:rPr>
      </w:pPr>
      <w:r>
        <w:rPr>
          <w:rFonts w:ascii="Arial" w:hAnsi="Arial"/>
          <w:color w:val="000000"/>
        </w:rPr>
        <w:t xml:space="preserve">Provide details of any appraisal or valuation of the subject of the acquisition known to management of the Issuer: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p>
    <w:p w14:paraId="6F4B1E67" w14:textId="77777777" w:rsidR="007A3D29" w:rsidRDefault="004551F1">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350"/>
        <w:gridCol w:w="1440"/>
        <w:gridCol w:w="1350"/>
        <w:gridCol w:w="1620"/>
        <w:gridCol w:w="1530"/>
      </w:tblGrid>
      <w:tr w:rsidR="007A3D29" w14:paraId="37CEEF14" w14:textId="77777777">
        <w:tc>
          <w:tcPr>
            <w:tcW w:w="1440" w:type="dxa"/>
          </w:tcPr>
          <w:p w14:paraId="2FDA5925" w14:textId="77777777" w:rsidR="007A3D29" w:rsidRDefault="007A3D29">
            <w:pPr>
              <w:pStyle w:val="BodyText"/>
              <w:keepNext/>
              <w:keepLines/>
              <w:spacing w:before="0"/>
              <w:jc w:val="center"/>
              <w:rPr>
                <w:rFonts w:ascii="Arial" w:hAnsi="Arial"/>
                <w:b/>
                <w:sz w:val="16"/>
                <w:szCs w:val="16"/>
                <w:lang w:val="en-CA"/>
              </w:rPr>
            </w:pPr>
          </w:p>
          <w:p w14:paraId="669AA081"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lang w:val="en-CA"/>
              </w:rPr>
              <w:t>Name of Party (If not an individual, name all insiders of the Party)</w:t>
            </w:r>
          </w:p>
        </w:tc>
        <w:tc>
          <w:tcPr>
            <w:tcW w:w="1260" w:type="dxa"/>
          </w:tcPr>
          <w:p w14:paraId="550C5A51" w14:textId="77777777" w:rsidR="007A3D29" w:rsidRDefault="007A3D29">
            <w:pPr>
              <w:pStyle w:val="BodyText"/>
              <w:keepNext/>
              <w:keepLines/>
              <w:spacing w:before="0"/>
              <w:jc w:val="center"/>
              <w:rPr>
                <w:rFonts w:ascii="Arial" w:hAnsi="Arial"/>
                <w:b/>
                <w:sz w:val="16"/>
                <w:szCs w:val="16"/>
                <w:lang w:val="en-CA"/>
              </w:rPr>
            </w:pPr>
          </w:p>
          <w:p w14:paraId="55F1AD04"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lang w:val="en-CA"/>
              </w:rPr>
              <w:t>Number and Type of Securities to be Issued</w:t>
            </w:r>
          </w:p>
        </w:tc>
        <w:tc>
          <w:tcPr>
            <w:tcW w:w="1350" w:type="dxa"/>
          </w:tcPr>
          <w:p w14:paraId="33875941" w14:textId="77777777" w:rsidR="007A3D29" w:rsidRDefault="007A3D29">
            <w:pPr>
              <w:pStyle w:val="BodyText"/>
              <w:keepNext/>
              <w:keepLines/>
              <w:spacing w:before="0"/>
              <w:jc w:val="center"/>
              <w:rPr>
                <w:rFonts w:ascii="Arial" w:hAnsi="Arial"/>
                <w:b/>
                <w:sz w:val="16"/>
                <w:szCs w:val="16"/>
                <w:lang w:val="en-CA"/>
              </w:rPr>
            </w:pPr>
          </w:p>
          <w:p w14:paraId="6A77F48B"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lang w:val="en-CA"/>
              </w:rPr>
              <w:t>Dollar value per Security (CDN$)</w:t>
            </w:r>
          </w:p>
        </w:tc>
        <w:tc>
          <w:tcPr>
            <w:tcW w:w="1440" w:type="dxa"/>
          </w:tcPr>
          <w:p w14:paraId="16ED61D9" w14:textId="77777777" w:rsidR="007A3D29" w:rsidRDefault="007A3D29">
            <w:pPr>
              <w:pStyle w:val="BodyText"/>
              <w:keepNext/>
              <w:keepLines/>
              <w:spacing w:before="0"/>
              <w:jc w:val="center"/>
              <w:rPr>
                <w:rFonts w:ascii="Arial" w:hAnsi="Arial"/>
                <w:b/>
                <w:sz w:val="16"/>
                <w:szCs w:val="16"/>
                <w:lang w:val="en-CA"/>
              </w:rPr>
            </w:pPr>
          </w:p>
          <w:p w14:paraId="2BCF8425"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lang w:val="en-CA"/>
              </w:rPr>
              <w:t>Conversion price (if applicable)</w:t>
            </w:r>
          </w:p>
        </w:tc>
        <w:tc>
          <w:tcPr>
            <w:tcW w:w="1350" w:type="dxa"/>
          </w:tcPr>
          <w:p w14:paraId="530D4FC4" w14:textId="77777777" w:rsidR="007A3D29" w:rsidRDefault="007A3D29">
            <w:pPr>
              <w:pStyle w:val="BodyText"/>
              <w:keepNext/>
              <w:keepLines/>
              <w:spacing w:before="0"/>
              <w:jc w:val="center"/>
              <w:rPr>
                <w:rFonts w:ascii="Arial" w:hAnsi="Arial"/>
                <w:b/>
                <w:sz w:val="16"/>
                <w:szCs w:val="16"/>
                <w:lang w:val="en-CA"/>
              </w:rPr>
            </w:pPr>
          </w:p>
          <w:p w14:paraId="40B9E141"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lang w:val="en-CA"/>
              </w:rPr>
              <w:t>Prospectus Exemption</w:t>
            </w:r>
          </w:p>
        </w:tc>
        <w:tc>
          <w:tcPr>
            <w:tcW w:w="1620" w:type="dxa"/>
          </w:tcPr>
          <w:p w14:paraId="3603464B" w14:textId="77777777" w:rsidR="007A3D29" w:rsidRDefault="007A3D29">
            <w:pPr>
              <w:pStyle w:val="BodyText"/>
              <w:keepNext/>
              <w:keepLines/>
              <w:spacing w:before="0"/>
              <w:jc w:val="center"/>
              <w:rPr>
                <w:rFonts w:ascii="Arial" w:hAnsi="Arial"/>
                <w:b/>
                <w:sz w:val="16"/>
                <w:szCs w:val="16"/>
              </w:rPr>
            </w:pPr>
          </w:p>
          <w:p w14:paraId="36AC7042" w14:textId="77777777" w:rsidR="007A3D29" w:rsidRDefault="004551F1">
            <w:pPr>
              <w:pStyle w:val="BodyText"/>
              <w:keepNext/>
              <w:keepLines/>
              <w:spacing w:before="0"/>
              <w:jc w:val="center"/>
              <w:rPr>
                <w:rFonts w:ascii="Arial" w:hAnsi="Arial"/>
                <w:b/>
                <w:sz w:val="16"/>
                <w:szCs w:val="16"/>
                <w:lang w:val="en-CA"/>
              </w:rPr>
            </w:pPr>
            <w:r>
              <w:rPr>
                <w:rFonts w:ascii="Arial" w:hAnsi="Arial"/>
                <w:b/>
                <w:sz w:val="16"/>
                <w:szCs w:val="16"/>
              </w:rPr>
              <w:t>Total Securities, Previously Owned, Controlled or Directed by Party</w:t>
            </w:r>
          </w:p>
        </w:tc>
        <w:tc>
          <w:tcPr>
            <w:tcW w:w="1530" w:type="dxa"/>
          </w:tcPr>
          <w:p w14:paraId="105B529F" w14:textId="77777777" w:rsidR="007A3D29" w:rsidRDefault="007A3D29">
            <w:pPr>
              <w:pStyle w:val="BodyText"/>
              <w:keepNext/>
              <w:keepLines/>
              <w:spacing w:before="0"/>
              <w:jc w:val="center"/>
              <w:rPr>
                <w:rFonts w:ascii="Arial" w:hAnsi="Arial"/>
                <w:b/>
                <w:color w:val="000000"/>
                <w:sz w:val="16"/>
                <w:szCs w:val="16"/>
                <w:lang w:val="en-CA"/>
              </w:rPr>
            </w:pPr>
          </w:p>
          <w:p w14:paraId="1A7D4B8C" w14:textId="77777777" w:rsidR="007A3D29" w:rsidRDefault="004551F1">
            <w:pPr>
              <w:pStyle w:val="BodyText"/>
              <w:keepNext/>
              <w:keepLines/>
              <w:spacing w:before="0"/>
              <w:jc w:val="center"/>
              <w:rPr>
                <w:rFonts w:ascii="Arial" w:hAnsi="Arial"/>
                <w:b/>
                <w:color w:val="000000"/>
                <w:sz w:val="16"/>
                <w:szCs w:val="16"/>
                <w:lang w:val="en-CA"/>
              </w:rPr>
            </w:pPr>
            <w:r>
              <w:rPr>
                <w:rFonts w:ascii="Arial" w:hAnsi="Arial"/>
                <w:b/>
                <w:color w:val="000000"/>
                <w:sz w:val="16"/>
                <w:szCs w:val="16"/>
                <w:lang w:val="en-CA"/>
              </w:rPr>
              <w:t xml:space="preserve">Describe relationship </w:t>
            </w:r>
          </w:p>
          <w:p w14:paraId="53C7ECA9" w14:textId="77777777" w:rsidR="007A3D29" w:rsidRDefault="004551F1">
            <w:pPr>
              <w:pStyle w:val="BodyText"/>
              <w:keepNext/>
              <w:keepLines/>
              <w:spacing w:before="0"/>
              <w:jc w:val="center"/>
              <w:rPr>
                <w:rFonts w:ascii="Arial" w:hAnsi="Arial"/>
                <w:b/>
                <w:color w:val="000000"/>
                <w:sz w:val="16"/>
                <w:szCs w:val="16"/>
                <w:lang w:val="en-CA"/>
              </w:rPr>
            </w:pPr>
            <w:r>
              <w:rPr>
                <w:rFonts w:ascii="Arial" w:hAnsi="Arial"/>
                <w:b/>
                <w:color w:val="000000"/>
                <w:sz w:val="16"/>
                <w:szCs w:val="16"/>
                <w:lang w:val="en-CA"/>
              </w:rPr>
              <w:t xml:space="preserve">to </w:t>
            </w:r>
            <w:proofErr w:type="gramStart"/>
            <w:r>
              <w:rPr>
                <w:rFonts w:ascii="Arial" w:hAnsi="Arial"/>
                <w:b/>
                <w:color w:val="000000"/>
                <w:sz w:val="16"/>
                <w:szCs w:val="16"/>
                <w:lang w:val="en-CA"/>
              </w:rPr>
              <w:t>Issuer</w:t>
            </w:r>
            <w:r>
              <w:rPr>
                <w:rFonts w:ascii="Arial" w:hAnsi="Arial"/>
                <w:b/>
                <w:color w:val="000000"/>
                <w:sz w:val="16"/>
                <w:szCs w:val="16"/>
                <w:vertAlign w:val="superscript"/>
                <w:lang w:val="en-CA"/>
              </w:rPr>
              <w:t>(</w:t>
            </w:r>
            <w:proofErr w:type="gramEnd"/>
            <w:r>
              <w:rPr>
                <w:rFonts w:ascii="Arial" w:hAnsi="Arial"/>
                <w:b/>
                <w:color w:val="000000"/>
                <w:sz w:val="16"/>
                <w:szCs w:val="16"/>
                <w:vertAlign w:val="superscript"/>
                <w:lang w:val="en-CA"/>
              </w:rPr>
              <w:t>1)</w:t>
            </w:r>
          </w:p>
        </w:tc>
      </w:tr>
      <w:tr w:rsidR="007A3D29" w14:paraId="042E240F" w14:textId="77777777">
        <w:trPr>
          <w:trHeight w:hRule="exact" w:val="2728"/>
        </w:trPr>
        <w:tc>
          <w:tcPr>
            <w:tcW w:w="1440" w:type="dxa"/>
          </w:tcPr>
          <w:p w14:paraId="18B6AA62" w14:textId="77777777" w:rsidR="007A3D29" w:rsidRDefault="004551F1">
            <w:pPr>
              <w:pStyle w:val="BodyText"/>
              <w:keepNext/>
              <w:keepLines/>
              <w:spacing w:before="0"/>
              <w:rPr>
                <w:rFonts w:ascii="Arial" w:hAnsi="Arial"/>
                <w:sz w:val="16"/>
                <w:szCs w:val="16"/>
                <w:lang w:val="en-CA"/>
              </w:rPr>
            </w:pPr>
            <w:r>
              <w:rPr>
                <w:rFonts w:ascii="Arial" w:hAnsi="Arial"/>
                <w:sz w:val="16"/>
                <w:szCs w:val="16"/>
                <w:lang w:val="en-CA"/>
              </w:rPr>
              <w:t>KGF PACR HOLDCO LLC</w:t>
            </w:r>
          </w:p>
        </w:tc>
        <w:tc>
          <w:tcPr>
            <w:tcW w:w="1260" w:type="dxa"/>
          </w:tcPr>
          <w:p w14:paraId="32B33C75" w14:textId="3D010F8C" w:rsidR="007A3D29" w:rsidRDefault="004551F1">
            <w:pPr>
              <w:pStyle w:val="BodyText"/>
              <w:keepNext/>
              <w:keepLines/>
              <w:spacing w:before="0"/>
              <w:rPr>
                <w:rFonts w:ascii="Arial" w:hAnsi="Arial"/>
                <w:sz w:val="16"/>
                <w:szCs w:val="16"/>
                <w:lang w:val="en-CA"/>
              </w:rPr>
            </w:pPr>
            <w:r w:rsidRPr="00B63640">
              <w:rPr>
                <w:rFonts w:ascii="Arial" w:hAnsi="Arial"/>
                <w:b/>
                <w:sz w:val="16"/>
                <w:szCs w:val="16"/>
                <w:lang w:val="en-CA"/>
              </w:rPr>
              <w:t>6,059,130</w:t>
            </w:r>
            <w:r w:rsidRPr="00E83A87">
              <w:rPr>
                <w:rFonts w:ascii="Arial" w:hAnsi="Arial"/>
                <w:sz w:val="16"/>
                <w:szCs w:val="16"/>
                <w:lang w:val="en-CA"/>
              </w:rPr>
              <w:t xml:space="preserve"> shares of</w:t>
            </w:r>
            <w:r>
              <w:rPr>
                <w:rFonts w:ascii="Arial" w:hAnsi="Arial"/>
                <w:sz w:val="16"/>
                <w:szCs w:val="16"/>
                <w:lang w:val="en-CA"/>
              </w:rPr>
              <w:t xml:space="preserve"> Class A common stock</w:t>
            </w:r>
          </w:p>
        </w:tc>
        <w:tc>
          <w:tcPr>
            <w:tcW w:w="1350" w:type="dxa"/>
            <w:vMerge w:val="restart"/>
          </w:tcPr>
          <w:p w14:paraId="21231997" w14:textId="70319F5E" w:rsidR="007A3D29" w:rsidRDefault="004551F1">
            <w:pPr>
              <w:pStyle w:val="BodyText"/>
              <w:keepNext/>
              <w:keepLines/>
              <w:spacing w:before="0"/>
              <w:rPr>
                <w:rFonts w:ascii="Arial" w:hAnsi="Arial"/>
                <w:sz w:val="16"/>
                <w:szCs w:val="16"/>
                <w:lang w:val="en-CA"/>
              </w:rPr>
            </w:pPr>
            <w:r>
              <w:rPr>
                <w:rFonts w:ascii="Arial" w:hAnsi="Arial"/>
                <w:color w:val="000000"/>
                <w:sz w:val="16"/>
                <w:szCs w:val="16"/>
              </w:rPr>
              <w:t>Approximately US</w:t>
            </w:r>
            <w:r w:rsidRPr="00E83A87">
              <w:rPr>
                <w:rFonts w:ascii="Arial" w:hAnsi="Arial"/>
                <w:color w:val="000000"/>
                <w:sz w:val="16"/>
                <w:szCs w:val="16"/>
              </w:rPr>
              <w:t>$</w:t>
            </w:r>
            <w:r w:rsidRPr="00B63640">
              <w:rPr>
                <w:rFonts w:ascii="Arial" w:hAnsi="Arial"/>
                <w:b/>
                <w:color w:val="000000"/>
                <w:sz w:val="16"/>
                <w:szCs w:val="16"/>
              </w:rPr>
              <w:t>3.</w:t>
            </w:r>
            <w:r w:rsidR="00E83A87" w:rsidRPr="00B63640">
              <w:rPr>
                <w:rFonts w:ascii="Arial" w:hAnsi="Arial"/>
                <w:b/>
                <w:color w:val="000000"/>
                <w:sz w:val="16"/>
                <w:szCs w:val="16"/>
              </w:rPr>
              <w:t>33</w:t>
            </w:r>
            <w:r>
              <w:rPr>
                <w:rFonts w:ascii="Arial" w:hAnsi="Arial"/>
                <w:color w:val="000000"/>
                <w:sz w:val="16"/>
                <w:szCs w:val="16"/>
              </w:rPr>
              <w:t xml:space="preserve"> per share (approximately C$4.</w:t>
            </w:r>
            <w:r w:rsidR="00E83A87">
              <w:rPr>
                <w:rFonts w:ascii="Arial" w:hAnsi="Arial"/>
                <w:color w:val="000000"/>
                <w:sz w:val="16"/>
                <w:szCs w:val="16"/>
              </w:rPr>
              <w:t>20</w:t>
            </w:r>
            <w:r>
              <w:rPr>
                <w:rFonts w:ascii="Arial" w:hAnsi="Arial"/>
                <w:color w:val="000000"/>
                <w:sz w:val="16"/>
                <w:szCs w:val="16"/>
              </w:rPr>
              <w:t xml:space="preserve"> per share)</w:t>
            </w:r>
          </w:p>
        </w:tc>
        <w:tc>
          <w:tcPr>
            <w:tcW w:w="1440" w:type="dxa"/>
            <w:vMerge w:val="restart"/>
          </w:tcPr>
          <w:p w14:paraId="5A997B76" w14:textId="77777777" w:rsidR="007A3D29" w:rsidRDefault="004551F1">
            <w:pPr>
              <w:pStyle w:val="BodyText"/>
              <w:keepNext/>
              <w:keepLines/>
              <w:spacing w:before="0"/>
              <w:rPr>
                <w:rFonts w:ascii="Arial" w:hAnsi="Arial"/>
                <w:sz w:val="16"/>
                <w:szCs w:val="16"/>
                <w:lang w:val="en-CA"/>
              </w:rPr>
            </w:pPr>
            <w:r>
              <w:rPr>
                <w:rFonts w:ascii="Arial" w:hAnsi="Arial"/>
                <w:sz w:val="16"/>
                <w:szCs w:val="16"/>
                <w:lang w:val="en-CA"/>
              </w:rPr>
              <w:t>N/A</w:t>
            </w:r>
          </w:p>
        </w:tc>
        <w:tc>
          <w:tcPr>
            <w:tcW w:w="1350" w:type="dxa"/>
            <w:vMerge w:val="restart"/>
          </w:tcPr>
          <w:p w14:paraId="4D225441" w14:textId="77777777" w:rsidR="007A3D29" w:rsidRPr="00FE2ABA" w:rsidRDefault="004551F1">
            <w:pPr>
              <w:pStyle w:val="BodyText"/>
              <w:keepNext/>
              <w:keepLines/>
              <w:spacing w:before="0"/>
              <w:rPr>
                <w:rFonts w:ascii="Arial" w:hAnsi="Arial"/>
                <w:sz w:val="16"/>
                <w:szCs w:val="16"/>
                <w:lang w:val="en-CA"/>
              </w:rPr>
            </w:pPr>
            <w:r w:rsidRPr="00FE2ABA">
              <w:rPr>
                <w:rFonts w:ascii="Arial" w:hAnsi="Arial"/>
                <w:sz w:val="16"/>
                <w:szCs w:val="16"/>
                <w:lang w:val="en-CA"/>
              </w:rPr>
              <w:t>The Company issued the shares pursuant to the exemption from registration provided by Rule 506(b)</w:t>
            </w:r>
          </w:p>
          <w:p w14:paraId="39071B27" w14:textId="77777777" w:rsidR="007A3D29" w:rsidRPr="00FE2ABA" w:rsidRDefault="004551F1">
            <w:pPr>
              <w:pStyle w:val="BodyText"/>
              <w:keepNext/>
              <w:keepLines/>
              <w:spacing w:before="0"/>
              <w:rPr>
                <w:rFonts w:ascii="Arial" w:hAnsi="Arial"/>
                <w:sz w:val="16"/>
                <w:szCs w:val="16"/>
                <w:lang w:val="en-CA"/>
              </w:rPr>
            </w:pPr>
            <w:r w:rsidRPr="00FE2ABA">
              <w:rPr>
                <w:rFonts w:ascii="Arial" w:hAnsi="Arial"/>
                <w:sz w:val="16"/>
                <w:szCs w:val="16"/>
                <w:lang w:val="en-CA"/>
              </w:rPr>
              <w:t>under Regulation D promulgated under the Securities Act of 1933</w:t>
            </w:r>
          </w:p>
        </w:tc>
        <w:tc>
          <w:tcPr>
            <w:tcW w:w="1620" w:type="dxa"/>
          </w:tcPr>
          <w:p w14:paraId="60A98354" w14:textId="48C6DC9D" w:rsidR="007A3D29" w:rsidRPr="00B63640" w:rsidRDefault="00E83A87">
            <w:pPr>
              <w:pStyle w:val="BodyText"/>
              <w:keepNext/>
              <w:keepLines/>
              <w:spacing w:before="0"/>
              <w:rPr>
                <w:rFonts w:ascii="Arial" w:hAnsi="Arial"/>
                <w:sz w:val="16"/>
                <w:szCs w:val="16"/>
                <w:lang w:val="en-CA"/>
              </w:rPr>
            </w:pPr>
            <w:r w:rsidRPr="00B63640">
              <w:rPr>
                <w:rFonts w:ascii="Arial" w:hAnsi="Arial"/>
                <w:sz w:val="16"/>
                <w:szCs w:val="16"/>
                <w:lang w:val="en-CA"/>
              </w:rPr>
              <w:t>None</w:t>
            </w:r>
          </w:p>
        </w:tc>
        <w:tc>
          <w:tcPr>
            <w:tcW w:w="1530" w:type="dxa"/>
          </w:tcPr>
          <w:p w14:paraId="62201763" w14:textId="752B8AF1" w:rsidR="007A3D29" w:rsidRPr="00B63640" w:rsidRDefault="004551F1">
            <w:pPr>
              <w:pStyle w:val="BodyText"/>
              <w:keepNext/>
              <w:keepLines/>
              <w:spacing w:before="0"/>
              <w:rPr>
                <w:rFonts w:ascii="Arial" w:hAnsi="Arial"/>
                <w:sz w:val="16"/>
                <w:szCs w:val="16"/>
                <w:lang w:val="en-CA"/>
              </w:rPr>
            </w:pPr>
            <w:r w:rsidRPr="00B63640">
              <w:rPr>
                <w:rFonts w:ascii="Arial" w:hAnsi="Arial"/>
                <w:sz w:val="16"/>
                <w:szCs w:val="16"/>
                <w:lang w:val="en-CA"/>
              </w:rPr>
              <w:t>Arm’s length</w:t>
            </w:r>
          </w:p>
        </w:tc>
      </w:tr>
      <w:tr w:rsidR="007A3D29" w14:paraId="3ED267A9" w14:textId="77777777">
        <w:trPr>
          <w:trHeight w:hRule="exact" w:val="1441"/>
        </w:trPr>
        <w:tc>
          <w:tcPr>
            <w:tcW w:w="1440" w:type="dxa"/>
          </w:tcPr>
          <w:p w14:paraId="792A06EC" w14:textId="77777777" w:rsidR="007A3D29" w:rsidRDefault="004551F1">
            <w:pPr>
              <w:pStyle w:val="BodyText"/>
              <w:keepNext/>
              <w:keepLines/>
              <w:spacing w:before="0"/>
              <w:rPr>
                <w:rFonts w:ascii="Arial" w:hAnsi="Arial"/>
                <w:sz w:val="16"/>
                <w:szCs w:val="16"/>
                <w:lang w:val="en-CA"/>
              </w:rPr>
            </w:pPr>
            <w:r>
              <w:rPr>
                <w:rFonts w:ascii="Arial" w:hAnsi="Arial"/>
                <w:sz w:val="16"/>
                <w:szCs w:val="16"/>
                <w:lang w:val="en-CA"/>
              </w:rPr>
              <w:t>JACARANDA TH LLC</w:t>
            </w:r>
          </w:p>
        </w:tc>
        <w:tc>
          <w:tcPr>
            <w:tcW w:w="1260" w:type="dxa"/>
          </w:tcPr>
          <w:p w14:paraId="5C5883C5" w14:textId="5FA2E965" w:rsidR="007A3D29" w:rsidRDefault="004551F1">
            <w:pPr>
              <w:pStyle w:val="BodyText"/>
              <w:keepNext/>
              <w:keepLines/>
              <w:spacing w:before="0"/>
              <w:rPr>
                <w:rFonts w:ascii="Arial" w:hAnsi="Arial"/>
                <w:sz w:val="16"/>
                <w:szCs w:val="16"/>
                <w:lang w:val="en-CA"/>
              </w:rPr>
            </w:pPr>
            <w:r w:rsidRPr="00B63640">
              <w:rPr>
                <w:rFonts w:ascii="Arial" w:hAnsi="Arial"/>
                <w:b/>
                <w:bCs/>
                <w:sz w:val="16"/>
                <w:szCs w:val="16"/>
                <w:lang w:val="en-CA"/>
              </w:rPr>
              <w:t>9</w:t>
            </w:r>
            <w:r w:rsidRPr="00B63640">
              <w:rPr>
                <w:rFonts w:ascii="Arial" w:hAnsi="Arial"/>
                <w:b/>
                <w:sz w:val="16"/>
                <w:szCs w:val="16"/>
                <w:lang w:val="en-CA"/>
              </w:rPr>
              <w:t>12,030</w:t>
            </w:r>
            <w:r>
              <w:rPr>
                <w:rFonts w:ascii="Arial" w:hAnsi="Arial"/>
                <w:sz w:val="16"/>
                <w:szCs w:val="16"/>
                <w:lang w:val="en-CA"/>
              </w:rPr>
              <w:t xml:space="preserve"> shares of Class A common stock</w:t>
            </w:r>
          </w:p>
        </w:tc>
        <w:tc>
          <w:tcPr>
            <w:tcW w:w="1350" w:type="dxa"/>
            <w:vMerge/>
          </w:tcPr>
          <w:p w14:paraId="4AC3F61B" w14:textId="77777777" w:rsidR="007A3D29" w:rsidRDefault="007A3D29">
            <w:pPr>
              <w:pStyle w:val="BodyText"/>
              <w:keepNext/>
              <w:keepLines/>
              <w:spacing w:before="0"/>
              <w:rPr>
                <w:rFonts w:ascii="Arial" w:hAnsi="Arial"/>
                <w:sz w:val="16"/>
                <w:szCs w:val="16"/>
                <w:lang w:val="en-CA"/>
              </w:rPr>
            </w:pPr>
          </w:p>
        </w:tc>
        <w:tc>
          <w:tcPr>
            <w:tcW w:w="1440" w:type="dxa"/>
            <w:vMerge/>
          </w:tcPr>
          <w:p w14:paraId="5AC545F8" w14:textId="77777777" w:rsidR="007A3D29" w:rsidRDefault="007A3D29">
            <w:pPr>
              <w:pStyle w:val="BodyText"/>
              <w:keepNext/>
              <w:keepLines/>
              <w:spacing w:before="0"/>
              <w:rPr>
                <w:rFonts w:ascii="Arial" w:hAnsi="Arial"/>
                <w:sz w:val="16"/>
                <w:szCs w:val="16"/>
                <w:lang w:val="en-CA"/>
              </w:rPr>
            </w:pPr>
          </w:p>
        </w:tc>
        <w:tc>
          <w:tcPr>
            <w:tcW w:w="1350" w:type="dxa"/>
            <w:vMerge/>
          </w:tcPr>
          <w:p w14:paraId="5D1A24F7" w14:textId="77777777" w:rsidR="007A3D29" w:rsidRPr="00FE2ABA" w:rsidRDefault="007A3D29">
            <w:pPr>
              <w:pStyle w:val="BodyText"/>
              <w:keepNext/>
              <w:keepLines/>
              <w:spacing w:before="0"/>
              <w:rPr>
                <w:rFonts w:ascii="Arial" w:hAnsi="Arial"/>
                <w:sz w:val="16"/>
                <w:szCs w:val="16"/>
                <w:lang w:val="en-CA"/>
              </w:rPr>
            </w:pPr>
          </w:p>
        </w:tc>
        <w:tc>
          <w:tcPr>
            <w:tcW w:w="1620" w:type="dxa"/>
          </w:tcPr>
          <w:p w14:paraId="4F090AD2" w14:textId="5381CC1D" w:rsidR="007A3D29" w:rsidRPr="00B63640" w:rsidRDefault="00DF0A46">
            <w:pPr>
              <w:pStyle w:val="BodyText"/>
              <w:keepNext/>
              <w:keepLines/>
              <w:spacing w:before="0"/>
              <w:rPr>
                <w:rFonts w:ascii="Arial" w:hAnsi="Arial"/>
                <w:sz w:val="16"/>
                <w:szCs w:val="16"/>
                <w:lang w:val="en-CA"/>
              </w:rPr>
            </w:pPr>
            <w:r w:rsidRPr="00B63640">
              <w:rPr>
                <w:rFonts w:ascii="Arial" w:hAnsi="Arial"/>
                <w:sz w:val="16"/>
                <w:szCs w:val="16"/>
                <w:lang w:val="en-CA"/>
              </w:rPr>
              <w:t>None</w:t>
            </w:r>
          </w:p>
        </w:tc>
        <w:tc>
          <w:tcPr>
            <w:tcW w:w="1530" w:type="dxa"/>
          </w:tcPr>
          <w:p w14:paraId="28F0F421" w14:textId="1645CACF" w:rsidR="007A3D29" w:rsidRPr="00B63640" w:rsidRDefault="004551F1">
            <w:pPr>
              <w:pStyle w:val="BodyText"/>
              <w:keepNext/>
              <w:keepLines/>
              <w:spacing w:before="0"/>
              <w:rPr>
                <w:rFonts w:ascii="Arial" w:hAnsi="Arial"/>
                <w:sz w:val="16"/>
                <w:szCs w:val="16"/>
                <w:lang w:val="en-CA"/>
              </w:rPr>
            </w:pPr>
            <w:r w:rsidRPr="00B63640">
              <w:rPr>
                <w:rFonts w:ascii="Arial" w:hAnsi="Arial"/>
                <w:sz w:val="16"/>
                <w:szCs w:val="16"/>
                <w:lang w:val="en-CA"/>
              </w:rPr>
              <w:t>Arm’s length</w:t>
            </w:r>
          </w:p>
        </w:tc>
      </w:tr>
      <w:tr w:rsidR="007A3D29" w14:paraId="2BE420CA" w14:textId="77777777">
        <w:trPr>
          <w:trHeight w:hRule="exact" w:val="1441"/>
        </w:trPr>
        <w:tc>
          <w:tcPr>
            <w:tcW w:w="1440" w:type="dxa"/>
          </w:tcPr>
          <w:p w14:paraId="28DF97C9" w14:textId="77777777" w:rsidR="007A3D29" w:rsidRDefault="004551F1">
            <w:pPr>
              <w:pStyle w:val="BodyText"/>
              <w:keepNext/>
              <w:keepLines/>
              <w:spacing w:before="0"/>
              <w:rPr>
                <w:rFonts w:ascii="Arial" w:hAnsi="Arial"/>
                <w:sz w:val="16"/>
                <w:szCs w:val="16"/>
                <w:lang w:val="en-CA"/>
              </w:rPr>
            </w:pPr>
            <w:r>
              <w:rPr>
                <w:rFonts w:ascii="Arial" w:hAnsi="Arial"/>
                <w:sz w:val="16"/>
                <w:szCs w:val="16"/>
                <w:lang w:val="en-CA"/>
              </w:rPr>
              <w:t>EXIT 25, LLC</w:t>
            </w:r>
          </w:p>
        </w:tc>
        <w:tc>
          <w:tcPr>
            <w:tcW w:w="1260" w:type="dxa"/>
          </w:tcPr>
          <w:p w14:paraId="24CEC83F" w14:textId="31712312" w:rsidR="007A3D29" w:rsidRDefault="004551F1">
            <w:pPr>
              <w:pStyle w:val="BodyText"/>
              <w:keepNext/>
              <w:keepLines/>
              <w:spacing w:before="0"/>
              <w:rPr>
                <w:rFonts w:ascii="Arial" w:hAnsi="Arial"/>
                <w:sz w:val="16"/>
                <w:szCs w:val="16"/>
                <w:lang w:val="en-CA"/>
              </w:rPr>
            </w:pPr>
            <w:r w:rsidRPr="00B63640">
              <w:rPr>
                <w:rFonts w:ascii="Arial" w:hAnsi="Arial"/>
                <w:b/>
                <w:sz w:val="16"/>
                <w:szCs w:val="16"/>
                <w:lang w:val="en-CA"/>
              </w:rPr>
              <w:t>5,928,840</w:t>
            </w:r>
            <w:r>
              <w:rPr>
                <w:rFonts w:ascii="Arial" w:hAnsi="Arial"/>
                <w:sz w:val="16"/>
                <w:szCs w:val="16"/>
                <w:lang w:val="en-CA"/>
              </w:rPr>
              <w:t xml:space="preserve"> shares of Class A common stock</w:t>
            </w:r>
          </w:p>
        </w:tc>
        <w:tc>
          <w:tcPr>
            <w:tcW w:w="1350" w:type="dxa"/>
            <w:vMerge/>
          </w:tcPr>
          <w:p w14:paraId="2BE4E4A4" w14:textId="77777777" w:rsidR="007A3D29" w:rsidRDefault="007A3D29">
            <w:pPr>
              <w:pStyle w:val="BodyText"/>
              <w:keepNext/>
              <w:keepLines/>
              <w:spacing w:before="0"/>
              <w:rPr>
                <w:rFonts w:ascii="Arial" w:hAnsi="Arial"/>
                <w:sz w:val="16"/>
                <w:szCs w:val="16"/>
                <w:lang w:val="en-CA"/>
              </w:rPr>
            </w:pPr>
          </w:p>
        </w:tc>
        <w:tc>
          <w:tcPr>
            <w:tcW w:w="1440" w:type="dxa"/>
            <w:vMerge/>
          </w:tcPr>
          <w:p w14:paraId="0724338F" w14:textId="77777777" w:rsidR="007A3D29" w:rsidRDefault="007A3D29">
            <w:pPr>
              <w:pStyle w:val="BodyText"/>
              <w:keepNext/>
              <w:keepLines/>
              <w:spacing w:before="0"/>
              <w:rPr>
                <w:rFonts w:ascii="Arial" w:hAnsi="Arial"/>
                <w:sz w:val="16"/>
                <w:szCs w:val="16"/>
                <w:lang w:val="en-CA"/>
              </w:rPr>
            </w:pPr>
          </w:p>
        </w:tc>
        <w:tc>
          <w:tcPr>
            <w:tcW w:w="1350" w:type="dxa"/>
            <w:vMerge/>
          </w:tcPr>
          <w:p w14:paraId="12DAAF79" w14:textId="77777777" w:rsidR="007A3D29" w:rsidRPr="00FE2ABA" w:rsidRDefault="007A3D29">
            <w:pPr>
              <w:pStyle w:val="BodyText"/>
              <w:keepNext/>
              <w:keepLines/>
              <w:spacing w:before="0"/>
              <w:rPr>
                <w:rFonts w:ascii="Arial" w:hAnsi="Arial"/>
                <w:sz w:val="16"/>
                <w:szCs w:val="16"/>
                <w:lang w:val="en-CA"/>
              </w:rPr>
            </w:pPr>
          </w:p>
        </w:tc>
        <w:tc>
          <w:tcPr>
            <w:tcW w:w="1620" w:type="dxa"/>
          </w:tcPr>
          <w:p w14:paraId="6A8A631C" w14:textId="66BF2F4F" w:rsidR="007A3D29" w:rsidRPr="00B63640" w:rsidRDefault="00FE2ABA">
            <w:pPr>
              <w:pStyle w:val="BodyText"/>
              <w:keepNext/>
              <w:keepLines/>
              <w:spacing w:before="0"/>
              <w:rPr>
                <w:rFonts w:ascii="Arial" w:hAnsi="Arial"/>
                <w:sz w:val="16"/>
                <w:szCs w:val="16"/>
                <w:lang w:val="en-CA"/>
              </w:rPr>
            </w:pPr>
            <w:r w:rsidRPr="00B63640">
              <w:rPr>
                <w:rFonts w:ascii="Arial" w:hAnsi="Arial"/>
                <w:sz w:val="16"/>
                <w:szCs w:val="16"/>
                <w:lang w:val="en-CA"/>
              </w:rPr>
              <w:t>None</w:t>
            </w:r>
          </w:p>
        </w:tc>
        <w:tc>
          <w:tcPr>
            <w:tcW w:w="1530" w:type="dxa"/>
          </w:tcPr>
          <w:p w14:paraId="5A09252D" w14:textId="04834335" w:rsidR="007A3D29" w:rsidRPr="00B63640" w:rsidRDefault="004551F1">
            <w:pPr>
              <w:pStyle w:val="BodyText"/>
              <w:keepNext/>
              <w:keepLines/>
              <w:spacing w:before="0"/>
              <w:rPr>
                <w:rFonts w:ascii="Arial" w:hAnsi="Arial"/>
                <w:sz w:val="16"/>
                <w:szCs w:val="16"/>
                <w:lang w:val="en-CA"/>
              </w:rPr>
            </w:pPr>
            <w:r w:rsidRPr="00B63640">
              <w:rPr>
                <w:rFonts w:ascii="Arial" w:hAnsi="Arial"/>
                <w:sz w:val="16"/>
                <w:szCs w:val="16"/>
                <w:lang w:val="en-CA"/>
              </w:rPr>
              <w:t>Arm’s length</w:t>
            </w:r>
          </w:p>
        </w:tc>
      </w:tr>
    </w:tbl>
    <w:p w14:paraId="69CABF5F" w14:textId="77777777" w:rsidR="007A3D29" w:rsidRDefault="004551F1">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21C7F1F" w14:textId="3AB6009A" w:rsidR="007A3D29" w:rsidRDefault="004551F1">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Details of the steps taken by the Issuer to ensure that the vendor has good title to the assets being acquired: </w:t>
      </w:r>
      <w:r>
        <w:rPr>
          <w:rFonts w:ascii="Arial" w:hAnsi="Arial"/>
          <w:color w:val="000000"/>
          <w:u w:val="single"/>
        </w:rPr>
        <w:t>Customary representations and warranties of title under the Merger Agreement and management due diligence</w:t>
      </w:r>
      <w:r>
        <w:rPr>
          <w:rFonts w:ascii="Arial" w:hAnsi="Arial"/>
          <w:color w:val="000000"/>
        </w:rPr>
        <w:t xml:space="preserve">. </w:t>
      </w:r>
    </w:p>
    <w:p w14:paraId="3A459969" w14:textId="77777777" w:rsidR="007A3D29" w:rsidRDefault="004551F1">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B1B201F" w14:textId="77777777" w:rsidR="007A3D29" w:rsidRDefault="004551F1">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N/A</w:t>
      </w:r>
      <w:r>
        <w:rPr>
          <w:rFonts w:ascii="Arial" w:hAnsi="Arial"/>
        </w:rPr>
        <w:t>.</w:t>
      </w:r>
    </w:p>
    <w:p w14:paraId="7AAC09F8" w14:textId="77777777" w:rsidR="007A3D29" w:rsidRDefault="004551F1">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5075E97" w14:textId="77777777" w:rsidR="007A3D29" w:rsidRDefault="004551F1">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6C4851E" w14:textId="77777777" w:rsidR="007A3D29" w:rsidRDefault="004551F1">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C33CDED" w14:textId="77777777" w:rsidR="007A3D29" w:rsidRDefault="004551F1">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1A6FEB05" w14:textId="77777777" w:rsidR="007A3D29" w:rsidRDefault="004551F1">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5297E446" w14:textId="77777777" w:rsidR="007A3D29" w:rsidRDefault="007A3D29">
      <w:pPr>
        <w:pStyle w:val="List"/>
        <w:tabs>
          <w:tab w:val="left" w:pos="9180"/>
        </w:tabs>
        <w:ind w:left="0" w:firstLine="0"/>
        <w:rPr>
          <w:rFonts w:ascii="Arial" w:hAnsi="Arial"/>
          <w:color w:val="000000"/>
        </w:rPr>
      </w:pPr>
    </w:p>
    <w:p w14:paraId="281D39E2" w14:textId="77777777" w:rsidR="007A3D29" w:rsidRDefault="004551F1">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r>
        <w:rPr>
          <w:rFonts w:ascii="Arial" w:hAnsi="Arial"/>
          <w:color w:val="000000"/>
        </w:rPr>
        <w:t xml:space="preserve"> </w:t>
      </w:r>
    </w:p>
    <w:p w14:paraId="04424E86" w14:textId="77777777" w:rsidR="007A3D29" w:rsidRDefault="004551F1">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N/</w:t>
      </w:r>
      <w:proofErr w:type="gramStart"/>
      <w:r>
        <w:rPr>
          <w:rFonts w:ascii="Arial" w:hAnsi="Arial"/>
          <w:color w:val="000000"/>
          <w:u w:val="single"/>
        </w:rPr>
        <w:t>A</w:t>
      </w:r>
      <w:r>
        <w:rPr>
          <w:rFonts w:ascii="Arial" w:hAnsi="Arial"/>
          <w:color w:val="000000"/>
        </w:rPr>
        <w:t xml:space="preserve"> .</w:t>
      </w:r>
      <w:proofErr w:type="gramEnd"/>
    </w:p>
    <w:p w14:paraId="7ECB1FBA" w14:textId="77777777" w:rsidR="007A3D29" w:rsidRDefault="004551F1">
      <w:pPr>
        <w:pStyle w:val="List"/>
        <w:tabs>
          <w:tab w:val="left" w:pos="1080"/>
        </w:tabs>
        <w:ind w:left="0" w:firstLine="0"/>
        <w:rPr>
          <w:rFonts w:ascii="Arial" w:hAnsi="Arial"/>
        </w:rPr>
      </w:pPr>
      <w:r>
        <w:rPr>
          <w:rFonts w:ascii="Arial" w:hAnsi="Arial"/>
          <w:b/>
        </w:rPr>
        <w:t>Certificate Of Compliance</w:t>
      </w:r>
    </w:p>
    <w:p w14:paraId="518D137D" w14:textId="77777777" w:rsidR="007A3D29" w:rsidRDefault="004551F1">
      <w:pPr>
        <w:pStyle w:val="BodyText"/>
        <w:rPr>
          <w:rFonts w:ascii="Arial" w:hAnsi="Arial"/>
        </w:rPr>
      </w:pPr>
      <w:r>
        <w:rPr>
          <w:rFonts w:ascii="Arial" w:hAnsi="Arial"/>
        </w:rPr>
        <w:t>The undersigned hereby certifies that:</w:t>
      </w:r>
    </w:p>
    <w:p w14:paraId="2C31720F" w14:textId="77777777" w:rsidR="007A3D29" w:rsidRDefault="004551F1">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FF18682" w14:textId="77777777" w:rsidR="007A3D29" w:rsidRDefault="004551F1">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FC219FE" w14:textId="77777777" w:rsidR="007A3D29" w:rsidRDefault="007A3D29">
      <w:pPr>
        <w:pStyle w:val="List"/>
        <w:ind w:firstLine="0"/>
        <w:jc w:val="both"/>
        <w:rPr>
          <w:rFonts w:ascii="Arial" w:hAnsi="Arial"/>
        </w:rPr>
      </w:pPr>
    </w:p>
    <w:p w14:paraId="046C0D5A" w14:textId="77777777" w:rsidR="007A3D29" w:rsidRDefault="004551F1">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4048F4B6" w14:textId="77777777" w:rsidR="007A3D29" w:rsidRDefault="007A3D29">
      <w:pPr>
        <w:pStyle w:val="ListParagraph"/>
        <w:rPr>
          <w:rFonts w:ascii="Arial" w:hAnsi="Arial" w:cs="Arial"/>
          <w:sz w:val="24"/>
          <w:szCs w:val="24"/>
        </w:rPr>
      </w:pPr>
    </w:p>
    <w:p w14:paraId="49E0BABD" w14:textId="77777777" w:rsidR="007A3D29" w:rsidRDefault="004551F1">
      <w:pPr>
        <w:pStyle w:val="ListParagraph"/>
        <w:ind w:left="1440" w:hanging="360"/>
        <w:rPr>
          <w:rFonts w:ascii="Arial" w:hAnsi="Arial" w:cs="Arial"/>
          <w:sz w:val="24"/>
          <w:szCs w:val="24"/>
        </w:rPr>
      </w:pPr>
      <w:r>
        <w:rPr>
          <w:rFonts w:ascii="Arial" w:hAnsi="Arial" w:cs="Arial"/>
          <w:sz w:val="24"/>
          <w:szCs w:val="24"/>
        </w:rPr>
        <w:lastRenderedPageBreak/>
        <w:t>(a)</w:t>
      </w:r>
      <w:r>
        <w:rPr>
          <w:rFonts w:ascii="Arial" w:hAnsi="Arial" w:cs="Arial"/>
          <w:sz w:val="24"/>
          <w:szCs w:val="24"/>
        </w:rPr>
        <w:tab/>
        <w:t>the disclosure of their information to the Exchange pursuant to this Form or otherwise pursuant to this filing; and</w:t>
      </w:r>
    </w:p>
    <w:p w14:paraId="4D68CF95" w14:textId="77777777" w:rsidR="007A3D29" w:rsidRDefault="004551F1">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8F068AF" w14:textId="77777777" w:rsidR="007A3D29" w:rsidRDefault="004551F1">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49ECEE72" w14:textId="77777777" w:rsidR="007A3D29" w:rsidRDefault="004551F1">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21846255" w14:textId="40491F7C" w:rsidR="007A3D29" w:rsidRDefault="004551F1">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April 2</w:t>
      </w:r>
      <w:r w:rsidR="00B63640">
        <w:rPr>
          <w:rFonts w:ascii="Arial" w:hAnsi="Arial"/>
          <w:u w:val="single"/>
        </w:rPr>
        <w:t>9</w:t>
      </w:r>
      <w:r>
        <w:rPr>
          <w:rFonts w:ascii="Arial" w:hAnsi="Arial"/>
          <w:u w:val="single"/>
        </w:rPr>
        <w:t>, 2022</w:t>
      </w:r>
      <w:r>
        <w:rPr>
          <w:rFonts w:ascii="Arial" w:hAnsi="Arial"/>
        </w:rPr>
        <w:t>.</w:t>
      </w:r>
    </w:p>
    <w:p w14:paraId="6EBD2554" w14:textId="77777777" w:rsidR="007A3D29" w:rsidRDefault="004551F1">
      <w:pPr>
        <w:pStyle w:val="List"/>
        <w:tabs>
          <w:tab w:val="left" w:pos="9180"/>
        </w:tabs>
        <w:ind w:left="5760" w:hanging="5760"/>
        <w:rPr>
          <w:rFonts w:ascii="Arial" w:hAnsi="Arial"/>
        </w:rPr>
      </w:pPr>
      <w:r>
        <w:rPr>
          <w:rFonts w:ascii="Arial" w:hAnsi="Arial"/>
        </w:rPr>
        <w:tab/>
      </w:r>
      <w:r>
        <w:rPr>
          <w:rFonts w:ascii="Arial" w:hAnsi="Arial"/>
          <w:u w:val="single"/>
        </w:rPr>
        <w:t>Daniel Neville</w:t>
      </w:r>
      <w:r>
        <w:rPr>
          <w:rFonts w:ascii="Arial" w:hAnsi="Arial"/>
          <w:u w:val="single"/>
        </w:rPr>
        <w:tab/>
      </w:r>
      <w:r>
        <w:rPr>
          <w:rFonts w:ascii="Arial" w:hAnsi="Arial"/>
          <w:u w:val="single"/>
        </w:rPr>
        <w:br/>
      </w:r>
      <w:r>
        <w:rPr>
          <w:rFonts w:ascii="Arial" w:hAnsi="Arial"/>
        </w:rPr>
        <w:t>Name of Director or Senior Officer</w:t>
      </w:r>
    </w:p>
    <w:p w14:paraId="694DE82C" w14:textId="4E5BD9B9" w:rsidR="007A3D29" w:rsidRDefault="004551F1">
      <w:pPr>
        <w:pStyle w:val="List"/>
        <w:tabs>
          <w:tab w:val="left" w:pos="9180"/>
          <w:tab w:val="left" w:pos="9360"/>
        </w:tabs>
        <w:ind w:left="5760" w:hanging="5760"/>
        <w:rPr>
          <w:rFonts w:ascii="Arial" w:hAnsi="Arial"/>
        </w:rPr>
      </w:pPr>
      <w:r>
        <w:rPr>
          <w:rFonts w:ascii="Arial" w:hAnsi="Arial"/>
        </w:rPr>
        <w:tab/>
      </w:r>
      <w:r w:rsidR="00FE2ABA" w:rsidRPr="00B63640">
        <w:rPr>
          <w:rFonts w:ascii="Arial" w:hAnsi="Arial"/>
          <w:u w:val="single"/>
        </w:rPr>
        <w:t>/s/ Daniel Neville</w:t>
      </w:r>
      <w:r>
        <w:rPr>
          <w:rFonts w:ascii="Arial" w:hAnsi="Arial"/>
          <w:u w:val="single"/>
        </w:rPr>
        <w:tab/>
      </w:r>
      <w:r>
        <w:rPr>
          <w:rFonts w:ascii="Arial" w:hAnsi="Arial"/>
        </w:rPr>
        <w:br/>
        <w:t>Signature</w:t>
      </w:r>
    </w:p>
    <w:p w14:paraId="6CD0C61C" w14:textId="77777777" w:rsidR="007A3D29" w:rsidRDefault="004551F1">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204D101E" w14:textId="77777777" w:rsidR="007A3D29" w:rsidRDefault="007A3D29">
      <w:pPr>
        <w:pStyle w:val="List"/>
        <w:tabs>
          <w:tab w:val="left" w:pos="9180"/>
          <w:tab w:val="left" w:pos="9360"/>
        </w:tabs>
        <w:ind w:left="5760" w:hanging="5760"/>
        <w:rPr>
          <w:rFonts w:ascii="Arial" w:hAnsi="Arial"/>
        </w:rPr>
      </w:pPr>
    </w:p>
    <w:p w14:paraId="477010C3" w14:textId="77777777" w:rsidR="007A3D29" w:rsidRDefault="007A3D29">
      <w:pPr>
        <w:pStyle w:val="List"/>
        <w:tabs>
          <w:tab w:val="left" w:pos="9180"/>
          <w:tab w:val="left" w:pos="9360"/>
        </w:tabs>
        <w:ind w:left="5760" w:hanging="5760"/>
        <w:rPr>
          <w:rFonts w:ascii="Arial" w:hAnsi="Arial"/>
        </w:rPr>
      </w:pPr>
    </w:p>
    <w:p w14:paraId="313FD5B8" w14:textId="77777777" w:rsidR="007A3D29" w:rsidRDefault="004551F1">
      <w:pPr>
        <w:keepNext/>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78F6B541" w14:textId="77777777" w:rsidR="007A3D29" w:rsidRDefault="004551F1">
      <w:pPr>
        <w:keepNext/>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785C65EB" w14:textId="3DE69B95" w:rsidR="007A3D29" w:rsidRDefault="004551F1" w:rsidP="00B63640">
      <w:pPr>
        <w:keepNext/>
        <w:spacing w:before="120"/>
        <w:ind w:left="720"/>
        <w:jc w:val="both"/>
        <w:rPr>
          <w:rFonts w:ascii="Arial" w:eastAsia="Calibri" w:hAnsi="Arial" w:cs="Arial"/>
          <w:sz w:val="24"/>
          <w:szCs w:val="24"/>
        </w:rPr>
      </w:pPr>
      <w:r>
        <w:rPr>
          <w:rFonts w:ascii="Arial" w:eastAsia="Calibri" w:hAnsi="Arial" w:cs="Arial"/>
          <w:sz w:val="24"/>
          <w:szCs w:val="24"/>
        </w:rPr>
        <w:t xml:space="preserve">The Canadian Securities Exchange and its subsidiaries, affiliates, </w:t>
      </w:r>
      <w:proofErr w:type="gramStart"/>
      <w:r>
        <w:rPr>
          <w:rFonts w:ascii="Arial" w:eastAsia="Calibri" w:hAnsi="Arial" w:cs="Arial"/>
          <w:sz w:val="24"/>
          <w:szCs w:val="24"/>
        </w:rPr>
        <w:t>regulators</w:t>
      </w:r>
      <w:proofErr w:type="gramEnd"/>
      <w:r>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0BBED5EB" w14:textId="77777777" w:rsidR="007A3D29" w:rsidRDefault="004551F1">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an individual is suitable to be associated with a Listed </w:t>
      </w:r>
      <w:proofErr w:type="gramStart"/>
      <w:r>
        <w:rPr>
          <w:rFonts w:ascii="Arial" w:eastAsia="Calibri" w:hAnsi="Arial" w:cs="Arial"/>
          <w:sz w:val="24"/>
          <w:szCs w:val="24"/>
        </w:rPr>
        <w:t>Issuer;</w:t>
      </w:r>
      <w:proofErr w:type="gramEnd"/>
    </w:p>
    <w:p w14:paraId="3321616D" w14:textId="77777777" w:rsidR="007A3D29" w:rsidRDefault="004551F1">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an issuer is suitable for </w:t>
      </w:r>
      <w:proofErr w:type="gramStart"/>
      <w:r>
        <w:rPr>
          <w:rFonts w:ascii="Arial" w:eastAsia="Calibri" w:hAnsi="Arial" w:cs="Arial"/>
          <w:sz w:val="24"/>
          <w:szCs w:val="24"/>
        </w:rPr>
        <w:t>listing;</w:t>
      </w:r>
      <w:proofErr w:type="gramEnd"/>
    </w:p>
    <w:p w14:paraId="22A37043" w14:textId="77777777" w:rsidR="007A3D29" w:rsidRDefault="004551F1">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Pr>
          <w:rFonts w:ascii="Arial" w:eastAsia="Calibri" w:hAnsi="Arial" w:cs="Arial"/>
          <w:sz w:val="24"/>
          <w:szCs w:val="24"/>
        </w:rPr>
        <w:t>disrepute;</w:t>
      </w:r>
      <w:proofErr w:type="gramEnd"/>
    </w:p>
    <w:p w14:paraId="73166FC3" w14:textId="77777777" w:rsidR="007A3D29" w:rsidRDefault="004551F1">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w:t>
      </w:r>
      <w:proofErr w:type="gramStart"/>
      <w:r>
        <w:rPr>
          <w:rFonts w:ascii="Arial" w:eastAsia="Calibri" w:hAnsi="Arial" w:cs="Arial"/>
          <w:sz w:val="24"/>
          <w:szCs w:val="24"/>
        </w:rPr>
        <w:t>proceedings;</w:t>
      </w:r>
      <w:proofErr w:type="gramEnd"/>
      <w:r>
        <w:rPr>
          <w:rFonts w:ascii="Arial" w:eastAsia="Calibri" w:hAnsi="Arial" w:cs="Arial"/>
          <w:sz w:val="24"/>
          <w:szCs w:val="24"/>
        </w:rPr>
        <w:t xml:space="preserve"> </w:t>
      </w:r>
    </w:p>
    <w:p w14:paraId="3ECA793C" w14:textId="77777777" w:rsidR="007A3D29" w:rsidRDefault="004551F1">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7899D420" w14:textId="77777777" w:rsidR="007A3D29" w:rsidRDefault="004551F1">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406BCDF4" w14:textId="77777777" w:rsidR="007A3D29" w:rsidRDefault="004551F1">
      <w:pPr>
        <w:spacing w:before="120"/>
        <w:ind w:left="720"/>
        <w:jc w:val="both"/>
        <w:rPr>
          <w:rFonts w:ascii="Arial" w:eastAsia="Calibri" w:hAnsi="Arial" w:cs="Arial"/>
          <w:sz w:val="24"/>
          <w:szCs w:val="24"/>
        </w:rPr>
      </w:pPr>
      <w:r>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Pr>
          <w:rFonts w:ascii="Arial" w:eastAsia="Calibri" w:hAnsi="Arial" w:cs="Arial"/>
          <w:sz w:val="24"/>
          <w:szCs w:val="24"/>
        </w:rPr>
        <w:t>regulators</w:t>
      </w:r>
      <w:proofErr w:type="gramEnd"/>
      <w:r>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02C8ED13" w14:textId="77777777" w:rsidR="007A3D29" w:rsidRDefault="004551F1">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13BA6CD" w14:textId="77777777" w:rsidR="007A3D29" w:rsidRDefault="004551F1">
      <w:pPr>
        <w:spacing w:before="120"/>
        <w:ind w:left="720"/>
        <w:jc w:val="both"/>
        <w:rPr>
          <w:rFonts w:ascii="Arial" w:eastAsia="Calibri" w:hAnsi="Arial" w:cs="Arial"/>
          <w:sz w:val="24"/>
          <w:szCs w:val="24"/>
        </w:rPr>
      </w:pPr>
      <w:r>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Pr>
          <w:rFonts w:ascii="Arial" w:eastAsia="Calibri" w:hAnsi="Arial" w:cs="Arial"/>
          <w:sz w:val="24"/>
          <w:szCs w:val="24"/>
        </w:rPr>
        <w:t>keep the information confidential at all times</w:t>
      </w:r>
      <w:proofErr w:type="gramEnd"/>
      <w:r>
        <w:rPr>
          <w:rFonts w:ascii="Arial" w:eastAsia="Calibri" w:hAnsi="Arial" w:cs="Arial"/>
          <w:sz w:val="24"/>
          <w:szCs w:val="24"/>
        </w:rPr>
        <w:t>.</w:t>
      </w:r>
    </w:p>
    <w:p w14:paraId="187AE975" w14:textId="77777777" w:rsidR="007A3D29" w:rsidRDefault="004551F1">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3E5AF5F6" w14:textId="77777777" w:rsidR="007A3D29" w:rsidRDefault="004551F1">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29AAAA5" w14:textId="77777777" w:rsidR="007A3D29" w:rsidRDefault="007A3D29">
      <w:pPr>
        <w:pStyle w:val="List"/>
        <w:tabs>
          <w:tab w:val="left" w:pos="9180"/>
          <w:tab w:val="left" w:pos="9360"/>
        </w:tabs>
        <w:ind w:left="5760" w:hanging="5760"/>
        <w:jc w:val="both"/>
        <w:rPr>
          <w:rFonts w:ascii="Arial" w:hAnsi="Arial"/>
          <w:szCs w:val="24"/>
        </w:rPr>
      </w:pPr>
    </w:p>
    <w:sectPr w:rsidR="007A3D2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66B0" w14:textId="77777777" w:rsidR="003F3866" w:rsidRDefault="003F3866">
      <w:r>
        <w:separator/>
      </w:r>
    </w:p>
  </w:endnote>
  <w:endnote w:type="continuationSeparator" w:id="0">
    <w:p w14:paraId="65FC2988" w14:textId="77777777" w:rsidR="003F3866" w:rsidRDefault="003F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4A7" w14:textId="77777777" w:rsidR="007A3D29" w:rsidRDefault="007A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DC61" w14:textId="77777777" w:rsidR="007A3D29" w:rsidRDefault="003F3866">
    <w:pPr>
      <w:tabs>
        <w:tab w:val="center" w:pos="4674"/>
        <w:tab w:val="left" w:pos="8460"/>
      </w:tabs>
      <w:jc w:val="center"/>
      <w:rPr>
        <w:rStyle w:val="PageNumber"/>
        <w:rFonts w:ascii="Arial" w:hAnsi="Arial" w:cs="Arial"/>
        <w:b/>
      </w:rPr>
    </w:pPr>
    <w:r>
      <w:rPr>
        <w:b/>
        <w:noProof/>
        <w:lang w:val="en-CA" w:eastAsia="en-CA"/>
      </w:rPr>
      <w:pict w14:anchorId="270AAD3E">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4551F1">
      <w:rPr>
        <w:rFonts w:ascii="Arial" w:hAnsi="Arial" w:cs="Arial"/>
        <w:b/>
      </w:rPr>
      <w:t>FORM 9 – NOTICE OF ISSUANCE OR PROPOSED ISSUANCE OF</w:t>
    </w:r>
  </w:p>
  <w:p w14:paraId="179B34A1" w14:textId="77777777" w:rsidR="007A3D29" w:rsidRDefault="004551F1">
    <w:pPr>
      <w:tabs>
        <w:tab w:val="center" w:pos="4674"/>
        <w:tab w:val="left" w:pos="8460"/>
      </w:tabs>
      <w:jc w:val="center"/>
      <w:rPr>
        <w:rStyle w:val="PageNumber"/>
        <w:rFonts w:ascii="Arial" w:hAnsi="Arial" w:cs="Arial"/>
        <w:b/>
      </w:rPr>
    </w:pPr>
    <w:r>
      <w:rPr>
        <w:rFonts w:ascii="Arial" w:hAnsi="Arial" w:cs="Arial"/>
        <w:b/>
      </w:rPr>
      <w:t>LISTED SECURITIES</w:t>
    </w:r>
  </w:p>
  <w:p w14:paraId="383ED197" w14:textId="77777777" w:rsidR="007A3D29" w:rsidRDefault="004551F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CFB6FAC" w14:textId="77777777" w:rsidR="007A3D29" w:rsidRDefault="004551F1">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5B7" w14:textId="77777777" w:rsidR="007A3D29" w:rsidRDefault="004551F1">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CAN: 40416575.1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0F75" w14:textId="77777777" w:rsidR="003F3866" w:rsidRDefault="003F3866">
      <w:r>
        <w:separator/>
      </w:r>
    </w:p>
  </w:footnote>
  <w:footnote w:type="continuationSeparator" w:id="0">
    <w:p w14:paraId="2A368F4D" w14:textId="77777777" w:rsidR="003F3866" w:rsidRDefault="003F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DB3F" w14:textId="77777777" w:rsidR="007A3D29" w:rsidRDefault="007A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D3E4" w14:textId="77777777" w:rsidR="007A3D29" w:rsidRDefault="007A3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FF0E" w14:textId="77777777" w:rsidR="007A3D29" w:rsidRDefault="007A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193156239">
    <w:abstractNumId w:val="2"/>
  </w:num>
  <w:num w:numId="2" w16cid:durableId="582301514">
    <w:abstractNumId w:val="12"/>
  </w:num>
  <w:num w:numId="3" w16cid:durableId="563377714">
    <w:abstractNumId w:val="9"/>
  </w:num>
  <w:num w:numId="4" w16cid:durableId="1457718014">
    <w:abstractNumId w:val="13"/>
  </w:num>
  <w:num w:numId="5" w16cid:durableId="171262217">
    <w:abstractNumId w:val="11"/>
  </w:num>
  <w:num w:numId="6" w16cid:durableId="1755468917">
    <w:abstractNumId w:val="0"/>
  </w:num>
  <w:num w:numId="7" w16cid:durableId="929192653">
    <w:abstractNumId w:val="10"/>
  </w:num>
  <w:num w:numId="8" w16cid:durableId="1226649950">
    <w:abstractNumId w:val="5"/>
  </w:num>
  <w:num w:numId="9" w16cid:durableId="117840828">
    <w:abstractNumId w:val="7"/>
  </w:num>
  <w:num w:numId="10" w16cid:durableId="1937666959">
    <w:abstractNumId w:val="4"/>
  </w:num>
  <w:num w:numId="11" w16cid:durableId="357662424">
    <w:abstractNumId w:val="14"/>
  </w:num>
  <w:num w:numId="12" w16cid:durableId="33048490">
    <w:abstractNumId w:val="17"/>
  </w:num>
  <w:num w:numId="13" w16cid:durableId="289216272">
    <w:abstractNumId w:val="3"/>
  </w:num>
  <w:num w:numId="14" w16cid:durableId="1575240555">
    <w:abstractNumId w:val="8"/>
  </w:num>
  <w:num w:numId="15" w16cid:durableId="380372566">
    <w:abstractNumId w:val="1"/>
  </w:num>
  <w:num w:numId="16" w16cid:durableId="1084305146">
    <w:abstractNumId w:val="15"/>
  </w:num>
  <w:num w:numId="17" w16cid:durableId="277838685">
    <w:abstractNumId w:val="6"/>
  </w:num>
  <w:num w:numId="18" w16cid:durableId="258678977">
    <w:abstractNumId w:val="16"/>
  </w:num>
  <w:num w:numId="19" w16cid:durableId="1042822687">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IDClientMatter" w:val="False"/>
    <w:docVar w:name="DocIDLibrary" w:val="True"/>
    <w:docVar w:name="DocIDType" w:val="AllPages"/>
    <w:docVar w:name="LegacyDocIDRemoved" w:val="True"/>
  </w:docVars>
  <w:rsids>
    <w:rsidRoot w:val="007A3D29"/>
    <w:rsid w:val="000F71E0"/>
    <w:rsid w:val="001939BA"/>
    <w:rsid w:val="003F3866"/>
    <w:rsid w:val="004551F1"/>
    <w:rsid w:val="007A3D29"/>
    <w:rsid w:val="00B63640"/>
    <w:rsid w:val="00DF0A46"/>
    <w:rsid w:val="00E83A87"/>
    <w:rsid w:val="00EB17D0"/>
    <w:rsid w:val="00FE2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9C452"/>
  <w15:docId w15:val="{41CCBD66-F5C1-4E71-947A-63C331C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907C-5376-4363-B3B8-F283B48CC40C}"/>
</file>

<file path=customXml/itemProps2.xml><?xml version="1.0" encoding="utf-8"?>
<ds:datastoreItem xmlns:ds="http://schemas.openxmlformats.org/officeDocument/2006/customXml" ds:itemID="{70EC3F62-5907-437F-B475-66C27070C48A}"/>
</file>

<file path=customXml/itemProps3.xml><?xml version="1.0" encoding="utf-8"?>
<ds:datastoreItem xmlns:ds="http://schemas.openxmlformats.org/officeDocument/2006/customXml" ds:itemID="{AD87C8A9-2262-4B03-B4B7-D1DD37D191C4}"/>
</file>

<file path=docProps/app.xml><?xml version="1.0" encoding="utf-8"?>
<Properties xmlns="http://schemas.openxmlformats.org/officeDocument/2006/extended-properties" xmlns:vt="http://schemas.openxmlformats.org/officeDocument/2006/docPropsVTypes">
  <Template>Normal</Template>
  <TotalTime>3</TotalTime>
  <Pages>9</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Laura Warren</cp:lastModifiedBy>
  <cp:revision>2</cp:revision>
  <cp:lastPrinted>2004-05-20T20:47:00Z</cp:lastPrinted>
  <dcterms:created xsi:type="dcterms:W3CDTF">2022-04-29T13:44:00Z</dcterms:created>
  <dcterms:modified xsi:type="dcterms:W3CDTF">2022-04-29T13:44:00Z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40416575.1</vt:lpwstr>
  </property>
  <property fmtid="{D5CDD505-2E9C-101B-9397-08002B2CF9AE}" pid="4" name="ContentTypeId">
    <vt:lpwstr>0x0101000A6D1960146A8D44B8E3DF7EEC180126</vt:lpwstr>
  </property>
</Properties>
</file>