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Please complete the following:</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Pr>
          <w:rFonts w:ascii="Arial" w:hAnsi="Arial"/>
          <w:u w:val="single"/>
          <w:lang w:val="en-CA"/>
        </w:rPr>
        <w:tab/>
      </w:r>
      <w:r w:rsidR="00760000" w:rsidRPr="008E65D8">
        <w:rPr>
          <w:rFonts w:ascii="Arial" w:hAnsi="Arial"/>
          <w:color w:val="FF0000"/>
          <w:u w:val="single"/>
          <w:lang w:val="en-CA"/>
        </w:rPr>
        <w:t>Taiga Gold Corp.</w:t>
      </w:r>
      <w:r>
        <w:rPr>
          <w:rFonts w:ascii="Arial" w:hAnsi="Arial"/>
          <w:u w:val="single"/>
          <w:lang w:val="en-CA"/>
        </w:rPr>
        <w:tab/>
      </w:r>
      <w:r>
        <w:rPr>
          <w:rFonts w:ascii="Arial" w:hAnsi="Arial"/>
          <w:u w:val="single"/>
          <w:lang w:val="en-CA"/>
        </w:rPr>
        <w:tab/>
      </w:r>
      <w:r>
        <w:rPr>
          <w:rFonts w:ascii="Arial" w:hAnsi="Arial"/>
          <w:lang w:val="en-CA"/>
        </w:rPr>
        <w:t>(</w:t>
      </w:r>
      <w:proofErr w:type="gramStart"/>
      <w:r>
        <w:rPr>
          <w:rFonts w:ascii="Arial" w:hAnsi="Arial"/>
          <w:lang w:val="en-CA"/>
        </w:rPr>
        <w:t>the</w:t>
      </w:r>
      <w:proofErr w:type="gramEnd"/>
      <w:r>
        <w:rPr>
          <w:rFonts w:ascii="Arial" w:hAnsi="Arial"/>
          <w:lang w:val="en-CA"/>
        </w:rPr>
        <w:t xml:space="preserve"> “Issuer”).  </w:t>
      </w:r>
    </w:p>
    <w:p w:rsidR="00EA4133" w:rsidRDefault="00EA4133">
      <w:pPr>
        <w:pStyle w:val="BodyText"/>
        <w:rPr>
          <w:rFonts w:ascii="Arial" w:hAnsi="Arial"/>
          <w:lang w:val="en-CA"/>
        </w:rPr>
      </w:pPr>
      <w:proofErr w:type="gramStart"/>
      <w:r>
        <w:rPr>
          <w:rFonts w:ascii="Arial" w:hAnsi="Arial"/>
          <w:lang w:val="en-CA"/>
        </w:rPr>
        <w:t xml:space="preserve">Trading Symbol:  </w:t>
      </w:r>
      <w:r>
        <w:rPr>
          <w:rFonts w:ascii="Arial" w:hAnsi="Arial"/>
          <w:u w:val="single"/>
          <w:lang w:val="en-CA"/>
        </w:rPr>
        <w:tab/>
      </w:r>
      <w:r w:rsidR="00760000" w:rsidRPr="008E65D8">
        <w:rPr>
          <w:rFonts w:ascii="Arial" w:hAnsi="Arial"/>
          <w:color w:val="FF0000"/>
          <w:u w:val="single"/>
          <w:lang w:val="en-CA"/>
        </w:rPr>
        <w:t>TGC</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roofErr w:type="gramEnd"/>
    </w:p>
    <w:p w:rsidR="00EA4133" w:rsidRDefault="00EA4133">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760000" w:rsidRPr="008E65D8">
        <w:rPr>
          <w:rFonts w:ascii="Arial" w:hAnsi="Arial"/>
          <w:color w:val="FF0000"/>
          <w:u w:val="single"/>
          <w:lang w:val="en-CA"/>
        </w:rPr>
        <w:t>October 29, 2018</w:t>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u w:val="single"/>
          <w:lang w:val="en-CA"/>
        </w:rPr>
        <w:tab/>
      </w:r>
      <w:r>
        <w:rPr>
          <w:rFonts w:ascii="Arial" w:hAnsi="Arial"/>
          <w:lang w:val="en-CA"/>
        </w:rPr>
        <w:t xml:space="preserve"> .</w:t>
      </w:r>
    </w:p>
    <w:p w:rsidR="00EA4133" w:rsidRDefault="00EA4133">
      <w:pPr>
        <w:pStyle w:val="BodyText"/>
        <w:tabs>
          <w:tab w:val="left" w:pos="2160"/>
        </w:tabs>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proofErr w:type="spellStart"/>
      <w:proofErr w:type="gramStart"/>
      <w:r w:rsidR="00760000">
        <w:rPr>
          <w:rFonts w:ascii="Arial" w:hAnsi="Arial"/>
          <w:lang w:val="en-CA"/>
        </w:rPr>
        <w:t>x</w:t>
      </w:r>
      <w:r>
        <w:rPr>
          <w:rFonts w:ascii="Arial" w:hAnsi="Arial"/>
          <w:lang w:val="en-CA"/>
        </w:rPr>
        <w:t>No</w:t>
      </w:r>
      <w:proofErr w:type="spellEnd"/>
      <w:proofErr w:type="gramEnd"/>
      <w:r>
        <w:rPr>
          <w:rFonts w:ascii="Arial" w:hAnsi="Arial"/>
          <w:sz w:val="32"/>
          <w:lang w:val="en-CA"/>
        </w:rPr>
        <w:tab/>
      </w:r>
    </w:p>
    <w:p w:rsidR="00EA4133" w:rsidRDefault="00EA4133">
      <w:pPr>
        <w:pStyle w:val="BodyText"/>
        <w:tabs>
          <w:tab w:val="left" w:pos="9180"/>
        </w:tabs>
        <w:spacing w:before="0" w:after="240"/>
        <w:rPr>
          <w:rFonts w:ascii="Arial" w:hAnsi="Arial"/>
          <w:lang w:val="en-CA"/>
        </w:rPr>
      </w:pPr>
      <w:r>
        <w:rPr>
          <w:rFonts w:ascii="Arial" w:hAnsi="Arial"/>
          <w:lang w:val="en-CA"/>
        </w:rPr>
        <w:t>If yes provide date(s) of prior Notices:  ________________________.</w:t>
      </w:r>
    </w:p>
    <w:p w:rsidR="00EA4133" w:rsidRDefault="00EA4133">
      <w:pPr>
        <w:pStyle w:val="BodyText"/>
        <w:tabs>
          <w:tab w:val="left" w:pos="9180"/>
        </w:tabs>
        <w:spacing w:before="0" w:after="240"/>
        <w:rPr>
          <w:rFonts w:ascii="Arial" w:hAnsi="Arial"/>
          <w:lang w:val="en-CA"/>
        </w:rPr>
      </w:pPr>
      <w:r>
        <w:rPr>
          <w:rFonts w:ascii="Arial" w:hAnsi="Arial"/>
          <w:lang w:val="en-CA"/>
        </w:rPr>
        <w:t xml:space="preserve">Issued and Outstanding Securities of Issuer Prior to Issuance:  </w:t>
      </w:r>
      <w:r w:rsidR="00760000" w:rsidRPr="008E65D8">
        <w:rPr>
          <w:rFonts w:ascii="Arial" w:hAnsi="Arial"/>
          <w:color w:val="FF0000"/>
          <w:lang w:val="en-CA"/>
        </w:rPr>
        <w:t>60,274,050</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 xml:space="preserve">Date of News Release Announcing Private Placement:  </w:t>
      </w:r>
      <w:r w:rsidR="00760000" w:rsidRPr="008E65D8">
        <w:rPr>
          <w:rFonts w:ascii="Arial" w:hAnsi="Arial"/>
          <w:color w:val="FF0000"/>
          <w:lang w:val="en-CA"/>
        </w:rPr>
        <w:t>October 29, 2018</w:t>
      </w:r>
      <w:r>
        <w:rPr>
          <w:rFonts w:ascii="Arial" w:hAnsi="Arial"/>
          <w:u w:val="single"/>
          <w:lang w:val="en-CA"/>
        </w:rPr>
        <w:tab/>
      </w:r>
      <w:r>
        <w:rPr>
          <w:rFonts w:ascii="Arial" w:hAnsi="Arial"/>
          <w:lang w:val="en-CA"/>
        </w:rPr>
        <w:t xml:space="preserve"> .</w:t>
      </w:r>
    </w:p>
    <w:p w:rsidR="00EA4133" w:rsidRDefault="00EA4133">
      <w:pPr>
        <w:pStyle w:val="BodyText"/>
        <w:tabs>
          <w:tab w:val="left" w:pos="9180"/>
        </w:tabs>
        <w:spacing w:before="0" w:after="240"/>
        <w:rPr>
          <w:rFonts w:ascii="Arial" w:hAnsi="Arial"/>
          <w:lang w:val="en-CA"/>
        </w:rPr>
      </w:pPr>
      <w:r>
        <w:rPr>
          <w:rFonts w:ascii="Arial" w:hAnsi="Arial"/>
          <w:lang w:val="en-CA"/>
        </w:rPr>
        <w:t>Closing Market Price on Day Preceding the Issuance of the News Release: _</w:t>
      </w:r>
      <w:r w:rsidR="00760000" w:rsidRPr="008E65D8">
        <w:rPr>
          <w:rFonts w:ascii="Arial" w:hAnsi="Arial"/>
          <w:color w:val="FF0000"/>
          <w:lang w:val="en-CA"/>
        </w:rPr>
        <w:t>0.09</w:t>
      </w:r>
      <w:r>
        <w:rPr>
          <w:rFonts w:ascii="Arial" w:hAnsi="Arial"/>
          <w:lang w:val="en-CA"/>
        </w:rPr>
        <w:t>_____</w:t>
      </w:r>
    </w:p>
    <w:p w:rsidR="00A90670" w:rsidRDefault="00EA4133">
      <w:pPr>
        <w:pStyle w:val="BodyText"/>
        <w:spacing w:before="0" w:after="240"/>
        <w:rPr>
          <w:rFonts w:ascii="Arial" w:hAnsi="Arial"/>
          <w:b/>
          <w:lang w:val="en-CA"/>
        </w:rPr>
      </w:pPr>
      <w:r>
        <w:rPr>
          <w:rFonts w:ascii="Arial" w:hAnsi="Arial"/>
          <w:b/>
          <w:lang w:val="en-CA"/>
        </w:rPr>
        <w:t>1.</w:t>
      </w:r>
      <w:r>
        <w:rPr>
          <w:rFonts w:ascii="Arial" w:hAnsi="Arial"/>
          <w:b/>
          <w:lang w:val="en-CA"/>
        </w:rPr>
        <w:tab/>
        <w:t>Private Placement (if shares are being issued in connection with an acquisition (either as consideration or to raise funds for a cash acquisition), proceed to Part 2 of this form)</w:t>
      </w: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trPr>
          <w:trHeight w:val="1965"/>
        </w:trPr>
        <w:tc>
          <w:tcPr>
            <w:tcW w:w="136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 xml:space="preserve">Full Name &amp; Residential Address of </w:t>
            </w:r>
            <w:proofErr w:type="spellStart"/>
            <w:r>
              <w:rPr>
                <w:rFonts w:ascii="Arial" w:hAnsi="Arial"/>
                <w:b/>
                <w:sz w:val="20"/>
                <w:lang w:val="en-CA"/>
              </w:rPr>
              <w:t>Placee</w:t>
            </w:r>
            <w:proofErr w:type="spellEnd"/>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10" w:type="dxa"/>
          </w:tcPr>
          <w:p w:rsidR="00EA4133" w:rsidRDefault="00EA4133">
            <w:pPr>
              <w:pStyle w:val="BodyText"/>
              <w:spacing w:before="0" w:line="280" w:lineRule="exact"/>
              <w:jc w:val="center"/>
              <w:rPr>
                <w:rFonts w:ascii="Arial" w:hAnsi="Arial"/>
                <w:b/>
                <w:sz w:val="20"/>
                <w:lang w:val="en-CA"/>
              </w:rPr>
            </w:pPr>
            <w:r>
              <w:rPr>
                <w:rFonts w:ascii="Arial" w:hAnsi="Arial"/>
                <w:b/>
                <w:sz w:val="20"/>
              </w:rPr>
              <w:t>No. of Securities, directly or indirectly, Owned, Controlled or Directed</w:t>
            </w:r>
          </w:p>
        </w:tc>
        <w:tc>
          <w:tcPr>
            <w:tcW w:w="108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8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trPr>
          <w:trHeight w:val="864"/>
        </w:trPr>
        <w:tc>
          <w:tcPr>
            <w:tcW w:w="1368" w:type="dxa"/>
          </w:tcPr>
          <w:p w:rsidR="00A90670" w:rsidRPr="00A90670"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17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710" w:type="dxa"/>
          </w:tcPr>
          <w:p w:rsidR="00A90670" w:rsidRDefault="00A90670">
            <w:pPr>
              <w:pStyle w:val="BodyText"/>
              <w:spacing w:before="0" w:line="280" w:lineRule="exact"/>
              <w:jc w:val="center"/>
              <w:rPr>
                <w:rFonts w:ascii="Arial" w:hAnsi="Arial"/>
                <w:b/>
                <w:sz w:val="20"/>
              </w:rPr>
            </w:pPr>
          </w:p>
        </w:tc>
        <w:tc>
          <w:tcPr>
            <w:tcW w:w="1080" w:type="dxa"/>
          </w:tcPr>
          <w:p w:rsidR="00A90670" w:rsidRDefault="00A90670">
            <w:pPr>
              <w:pStyle w:val="BodyText"/>
              <w:spacing w:before="0" w:line="280" w:lineRule="exact"/>
              <w:jc w:val="center"/>
              <w:rPr>
                <w:rFonts w:ascii="Arial" w:hAnsi="Arial"/>
                <w:b/>
                <w:sz w:val="20"/>
                <w:lang w:val="en-CA"/>
              </w:rPr>
            </w:pPr>
          </w:p>
        </w:tc>
        <w:tc>
          <w:tcPr>
            <w:tcW w:w="1080" w:type="dxa"/>
          </w:tcPr>
          <w:p w:rsidR="00A90670" w:rsidRDefault="00A90670">
            <w:pPr>
              <w:pStyle w:val="BodyText"/>
              <w:spacing w:before="0" w:line="280" w:lineRule="exact"/>
              <w:jc w:val="center"/>
              <w:rPr>
                <w:rFonts w:ascii="Arial" w:hAnsi="Arial"/>
                <w:b/>
                <w:color w:val="000000"/>
                <w:sz w:val="20"/>
                <w:lang w:val="en-CA"/>
              </w:rPr>
            </w:pPr>
          </w:p>
        </w:tc>
      </w:tr>
      <w:tr w:rsidR="00A90670">
        <w:trPr>
          <w:trHeight w:val="864"/>
        </w:trPr>
        <w:tc>
          <w:tcPr>
            <w:tcW w:w="1368" w:type="dxa"/>
          </w:tcPr>
          <w:p w:rsidR="00A90670" w:rsidRDefault="00A90670">
            <w:pPr>
              <w:pStyle w:val="BodyText"/>
              <w:rPr>
                <w:rFonts w:ascii="Arial" w:hAnsi="Arial"/>
                <w:lang w:val="en-CA"/>
              </w:rPr>
            </w:pPr>
          </w:p>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r w:rsidR="00A90670">
        <w:trPr>
          <w:trHeight w:val="864"/>
        </w:trPr>
        <w:tc>
          <w:tcPr>
            <w:tcW w:w="1368"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17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350" w:type="dxa"/>
          </w:tcPr>
          <w:p w:rsidR="00A90670" w:rsidRDefault="00A90670">
            <w:pPr>
              <w:pStyle w:val="BodyText"/>
              <w:rPr>
                <w:rFonts w:ascii="Arial" w:hAnsi="Arial"/>
                <w:lang w:val="en-CA"/>
              </w:rPr>
            </w:pPr>
          </w:p>
        </w:tc>
        <w:tc>
          <w:tcPr>
            <w:tcW w:w="171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c>
          <w:tcPr>
            <w:tcW w:w="1080" w:type="dxa"/>
          </w:tcPr>
          <w:p w:rsidR="00A90670" w:rsidRDefault="00A90670">
            <w:pPr>
              <w:pStyle w:val="BodyText"/>
              <w:rPr>
                <w:rFonts w:ascii="Arial" w:hAnsi="Arial"/>
                <w:lang w:val="en-CA"/>
              </w:rPr>
            </w:pPr>
          </w:p>
        </w:tc>
      </w:tr>
    </w:tbl>
    <w:p w:rsidR="00EA4133" w:rsidRPr="008003B9" w:rsidRDefault="00EA4133">
      <w:pPr>
        <w:pStyle w:val="BodyText"/>
        <w:numPr>
          <w:ilvl w:val="0"/>
          <w:numId w:val="8"/>
        </w:numPr>
        <w:jc w:val="both"/>
        <w:rPr>
          <w:rFonts w:ascii="Arial" w:hAnsi="Arial" w:cs="Arial"/>
          <w:sz w:val="20"/>
        </w:rPr>
      </w:pPr>
      <w:r w:rsidRPr="008003B9">
        <w:rPr>
          <w:rFonts w:ascii="Arial" w:hAnsi="Arial" w:cs="Arial"/>
          <w:sz w:val="20"/>
        </w:rPr>
        <w:lastRenderedPageBreak/>
        <w:t xml:space="preserve">Indicate date each </w:t>
      </w:r>
      <w:proofErr w:type="spellStart"/>
      <w:r w:rsidRPr="008003B9">
        <w:rPr>
          <w:rFonts w:ascii="Arial" w:hAnsi="Arial" w:cs="Arial"/>
          <w:sz w:val="20"/>
        </w:rPr>
        <w:t>placee</w:t>
      </w:r>
      <w:proofErr w:type="spellEnd"/>
      <w:r w:rsidRPr="008003B9">
        <w:rPr>
          <w:rFonts w:ascii="Arial" w:hAnsi="Arial" w:cs="Arial"/>
          <w:sz w:val="20"/>
        </w:rPr>
        <w:t xml:space="preserve"> advanced or is expected to advance payment for securities.  Provide details of expected payment date, conditions to release of funds etc.  Indicate if the placement </w:t>
      </w:r>
      <w:proofErr w:type="gramStart"/>
      <w:r w:rsidRPr="008003B9">
        <w:rPr>
          <w:rFonts w:ascii="Arial" w:hAnsi="Arial" w:cs="Arial"/>
          <w:sz w:val="20"/>
        </w:rPr>
        <w:t>funds been</w:t>
      </w:r>
      <w:proofErr w:type="gramEnd"/>
      <w:r w:rsidRPr="008003B9">
        <w:rPr>
          <w:rFonts w:ascii="Arial" w:hAnsi="Arial" w:cs="Arial"/>
          <w:sz w:val="20"/>
        </w:rPr>
        <w:t xml:space="preserve"> placed in trust pending receipt of all necessary approvals.</w:t>
      </w:r>
    </w:p>
    <w:p w:rsidR="00EA4133" w:rsidRPr="008003B9" w:rsidRDefault="00EA4133">
      <w:pPr>
        <w:pStyle w:val="BodyText"/>
        <w:numPr>
          <w:ilvl w:val="0"/>
          <w:numId w:val="8"/>
        </w:numPr>
        <w:rPr>
          <w:rFonts w:ascii="Arial" w:hAnsi="Arial" w:cs="Arial"/>
          <w:sz w:val="20"/>
        </w:rPr>
      </w:pPr>
      <w:r w:rsidRPr="008003B9">
        <w:rPr>
          <w:rFonts w:ascii="Arial" w:hAnsi="Arial" w:cs="Arial"/>
          <w:sz w:val="20"/>
        </w:rPr>
        <w:t>Indicate if Related Person.</w:t>
      </w:r>
    </w:p>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Provide particulars of any proceeds which are to be paid to Related Persons of the Issuer</w:t>
      </w:r>
      <w:proofErr w:type="gramStart"/>
      <w:r>
        <w:rPr>
          <w:rFonts w:ascii="Arial" w:hAnsi="Arial"/>
        </w:rPr>
        <w:t xml:space="preserve">: </w:t>
      </w:r>
      <w:r>
        <w:rPr>
          <w:rFonts w:ascii="Arial" w:hAnsi="Arial"/>
          <w:u w:val="single"/>
        </w:rPr>
        <w:tab/>
      </w:r>
      <w:r>
        <w:rPr>
          <w:rFonts w:ascii="Arial" w:hAnsi="Arial"/>
        </w:rPr>
        <w:tab/>
      </w:r>
      <w:r>
        <w:rPr>
          <w:rFonts w:ascii="Arial" w:hAnsi="Arial"/>
          <w:u w:val="single"/>
        </w:rPr>
        <w:tab/>
      </w:r>
      <w:r>
        <w:rPr>
          <w:rFonts w:ascii="Arial" w:hAnsi="Arial"/>
        </w:rPr>
        <w:t xml:space="preserve"> .</w:t>
      </w:r>
      <w:proofErr w:type="gramEnd"/>
    </w:p>
    <w:p w:rsidR="00EA4133" w:rsidRDefault="00EA4133">
      <w:pPr>
        <w:pStyle w:val="BodyText"/>
        <w:numPr>
          <w:ilvl w:val="0"/>
          <w:numId w:val="10"/>
        </w:numPr>
        <w:tabs>
          <w:tab w:val="left" w:pos="9180"/>
        </w:tabs>
        <w:rPr>
          <w:rFonts w:ascii="Arial" w:hAnsi="Arial"/>
        </w:rPr>
      </w:pPr>
      <w:r>
        <w:rPr>
          <w:rFonts w:ascii="Arial" w:hAnsi="Arial"/>
        </w:rPr>
        <w:t>If securities are issued in forgiveness of indebtedness, provide details and attach the debt agreement(s) or other documentation evidencing the debt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r>
        <w:rPr>
          <w:rFonts w:ascii="Arial" w:hAnsi="Arial"/>
        </w:rPr>
        <w:t xml:space="preserve"> </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Provide the following information if Warrants,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Warrants (or options)  </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lastRenderedPageBreak/>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 address. If a corporation, identify persons owning or exercising voting control over 20% or more of the voting shares if known to the Issuer)</w:t>
      </w:r>
      <w:proofErr w:type="gramStart"/>
      <w:r>
        <w:rPr>
          <w:rFonts w:ascii="Arial" w:hAnsi="Arial"/>
        </w:rPr>
        <w:t xml:space="preserve">: </w:t>
      </w:r>
      <w:r>
        <w:rPr>
          <w:rFonts w:ascii="Arial" w:hAnsi="Arial"/>
          <w:u w:val="single"/>
        </w:rPr>
        <w:tab/>
      </w:r>
      <w:r>
        <w:rPr>
          <w:rFonts w:ascii="Arial" w:hAnsi="Arial"/>
        </w:rPr>
        <w:t xml:space="preserve"> .</w:t>
      </w:r>
      <w:proofErr w:type="gramEnd"/>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8E65D8">
        <w:rPr>
          <w:rFonts w:ascii="Arial" w:hAnsi="Arial"/>
        </w:rPr>
        <w:t>Instrument 45-102.</w:t>
      </w:r>
    </w:p>
    <w:p w:rsidR="00EA4133" w:rsidRDefault="00EA4133">
      <w:pPr>
        <w:pStyle w:val="BodyText"/>
        <w:tabs>
          <w:tab w:val="left" w:pos="1080"/>
          <w:tab w:val="left" w:pos="4230"/>
        </w:tabs>
        <w:rPr>
          <w:rFonts w:ascii="Arial" w:hAnsi="Arial"/>
          <w:color w:val="000000"/>
        </w:rPr>
      </w:pPr>
      <w:r>
        <w:rPr>
          <w:rFonts w:ascii="Arial" w:hAnsi="Arial"/>
          <w:b/>
          <w:color w:val="000000"/>
        </w:rPr>
        <w:t>2.</w:t>
      </w:r>
      <w:r>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r w:rsidRPr="00760000">
        <w:rPr>
          <w:rFonts w:ascii="Arial" w:hAnsi="Arial"/>
          <w:color w:val="FF0000"/>
        </w:rPr>
        <w:t xml:space="preserve">:  </w:t>
      </w:r>
      <w:r w:rsidR="00760000" w:rsidRPr="00760000">
        <w:rPr>
          <w:rFonts w:ascii="Arial" w:hAnsi="Arial"/>
          <w:color w:val="FF0000"/>
        </w:rPr>
        <w:t>NSR on the Fisher property in Saskatchewan</w:t>
      </w:r>
      <w:r w:rsidRPr="00760000">
        <w:rPr>
          <w:rFonts w:ascii="Arial" w:hAnsi="Arial"/>
          <w:color w:val="FF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Pr="00A57D7A">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8E65D8" w:rsidP="00760000">
      <w:pPr>
        <w:pStyle w:val="List"/>
        <w:tabs>
          <w:tab w:val="left" w:pos="1080"/>
          <w:tab w:val="left" w:pos="9180"/>
        </w:tabs>
        <w:spacing w:before="0"/>
        <w:ind w:firstLine="0"/>
        <w:jc w:val="both"/>
        <w:rPr>
          <w:rFonts w:ascii="Arial" w:hAnsi="Arial"/>
          <w:color w:val="000000"/>
        </w:rPr>
      </w:pPr>
      <w:r>
        <w:rPr>
          <w:rFonts w:ascii="Arial" w:hAnsi="Arial"/>
          <w:color w:val="FF0000"/>
        </w:rPr>
        <w:t xml:space="preserve">Purchase Agreement is dated October 15, 2018 and </w:t>
      </w:r>
      <w:r w:rsidR="00760000" w:rsidRPr="00760000">
        <w:rPr>
          <w:rFonts w:ascii="Arial" w:hAnsi="Arial"/>
          <w:color w:val="FF0000"/>
        </w:rPr>
        <w:t xml:space="preserve">Expected to </w:t>
      </w:r>
      <w:r>
        <w:rPr>
          <w:rFonts w:ascii="Arial" w:hAnsi="Arial"/>
          <w:color w:val="FF0000"/>
        </w:rPr>
        <w:t>complete</w:t>
      </w:r>
      <w:r w:rsidR="00760000" w:rsidRPr="00760000">
        <w:rPr>
          <w:rFonts w:ascii="Arial" w:hAnsi="Arial"/>
          <w:color w:val="FF0000"/>
        </w:rPr>
        <w:t xml:space="preserve"> </w:t>
      </w:r>
      <w:r>
        <w:rPr>
          <w:rFonts w:ascii="Arial" w:hAnsi="Arial"/>
          <w:color w:val="FF0000"/>
        </w:rPr>
        <w:t>on</w:t>
      </w:r>
      <w:r w:rsidR="00760000" w:rsidRPr="00760000">
        <w:rPr>
          <w:rFonts w:ascii="Arial" w:hAnsi="Arial"/>
          <w:color w:val="FF0000"/>
        </w:rPr>
        <w:t xml:space="preserve"> October</w:t>
      </w:r>
      <w:r>
        <w:rPr>
          <w:rFonts w:ascii="Arial" w:hAnsi="Arial"/>
          <w:color w:val="FF0000"/>
        </w:rPr>
        <w:t xml:space="preserve"> 31,</w:t>
      </w:r>
      <w:r w:rsidR="00760000" w:rsidRPr="00760000">
        <w:rPr>
          <w:rFonts w:ascii="Arial" w:hAnsi="Arial"/>
          <w:color w:val="FF0000"/>
        </w:rPr>
        <w:t xml:space="preserve"> 2018.  Taiga Gold Corp. to purchase NSR from Eagle Plains Resources Ltd.</w:t>
      </w:r>
      <w:r w:rsidR="00760000">
        <w:rPr>
          <w:rFonts w:ascii="Arial" w:hAnsi="Arial"/>
          <w:color w:val="FF0000"/>
        </w:rPr>
        <w:t xml:space="preserve"> (a company related through common directors)</w:t>
      </w:r>
      <w:r w:rsidR="00EA4133">
        <w:rPr>
          <w:rFonts w:ascii="Arial" w:hAnsi="Arial"/>
          <w:color w:val="000000"/>
          <w:u w:val="single"/>
        </w:rPr>
        <w:tab/>
      </w:r>
      <w:r w:rsidR="00EA4133">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760000" w:rsidRPr="00760000">
        <w:rPr>
          <w:rFonts w:ascii="Arial" w:hAnsi="Arial"/>
          <w:color w:val="FF0000"/>
        </w:rPr>
        <w:t>$110,000</w:t>
      </w:r>
      <w:r>
        <w:rPr>
          <w:rFonts w:ascii="Arial" w:hAnsi="Arial"/>
          <w:color w:val="000000"/>
          <w:u w:val="single"/>
        </w:rPr>
        <w:tab/>
      </w:r>
      <w:r>
        <w:rPr>
          <w:rFonts w:ascii="Arial" w:hAnsi="Arial"/>
          <w:color w:val="000000"/>
        </w:rPr>
        <w:t xml:space="preserve"> .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760000" w:rsidRPr="00760000">
        <w:rPr>
          <w:rFonts w:ascii="Arial" w:hAnsi="Arial"/>
          <w:color w:val="FF0000"/>
        </w:rPr>
        <w:t>nil</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760000" w:rsidP="00760000">
      <w:pPr>
        <w:pStyle w:val="List"/>
        <w:tabs>
          <w:tab w:val="left" w:pos="1080"/>
          <w:tab w:val="left" w:pos="2160"/>
          <w:tab w:val="left" w:pos="9180"/>
        </w:tabs>
        <w:spacing w:before="0"/>
        <w:ind w:left="2160" w:firstLine="0"/>
        <w:rPr>
          <w:rFonts w:ascii="Arial" w:hAnsi="Arial"/>
          <w:color w:val="000000"/>
        </w:rPr>
      </w:pPr>
      <w:r w:rsidRPr="00760000">
        <w:rPr>
          <w:rFonts w:ascii="Arial" w:hAnsi="Arial"/>
          <w:color w:val="FF0000"/>
        </w:rPr>
        <w:t>1,000,000 shares deemed value of $110,000</w:t>
      </w:r>
      <w:r w:rsidR="00EA4133">
        <w:rPr>
          <w:rFonts w:ascii="Arial" w:hAnsi="Arial"/>
          <w:color w:val="000000"/>
          <w:u w:val="single"/>
        </w:rPr>
        <w:tab/>
      </w:r>
      <w:r w:rsidR="00EA4133">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760000" w:rsidRPr="00760000">
        <w:rPr>
          <w:rFonts w:ascii="Arial" w:hAnsi="Arial"/>
          <w:color w:val="FF0000"/>
        </w:rPr>
        <w:t>nil</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760000" w:rsidRPr="00760000">
        <w:rPr>
          <w:rFonts w:ascii="Arial" w:hAnsi="Arial"/>
          <w:color w:val="FF0000"/>
        </w:rPr>
        <w:t>nil</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760000" w:rsidRPr="00760000">
        <w:rPr>
          <w:rFonts w:ascii="Arial" w:hAnsi="Arial"/>
          <w:color w:val="FF0000"/>
        </w:rPr>
        <w:t>nil</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lastRenderedPageBreak/>
        <w:t xml:space="preserve">Work commitments: </w:t>
      </w:r>
      <w:r w:rsidR="00760000">
        <w:rPr>
          <w:rFonts w:ascii="Arial" w:hAnsi="Arial"/>
          <w:color w:val="FF0000"/>
        </w:rPr>
        <w:t>Nil</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760000" w:rsidRPr="00973871" w:rsidRDefault="00760000" w:rsidP="00760000">
      <w:pPr>
        <w:pStyle w:val="List"/>
        <w:tabs>
          <w:tab w:val="left" w:pos="9180"/>
        </w:tabs>
        <w:ind w:firstLine="0"/>
        <w:rPr>
          <w:rFonts w:ascii="Arial" w:hAnsi="Arial"/>
          <w:color w:val="FF0000"/>
        </w:rPr>
      </w:pPr>
      <w:r w:rsidRPr="00973871">
        <w:rPr>
          <w:rFonts w:ascii="Arial" w:hAnsi="Arial"/>
          <w:color w:val="FF0000"/>
        </w:rPr>
        <w:t>The purchase price was determined</w:t>
      </w:r>
      <w:r w:rsidR="00973871">
        <w:rPr>
          <w:rFonts w:ascii="Arial" w:hAnsi="Arial"/>
          <w:color w:val="FF0000"/>
        </w:rPr>
        <w:t xml:space="preserve"> and agreed to</w:t>
      </w:r>
      <w:r w:rsidR="00973871" w:rsidRPr="00973871">
        <w:rPr>
          <w:rFonts w:ascii="Arial" w:hAnsi="Arial"/>
          <w:color w:val="FF0000"/>
        </w:rPr>
        <w:t xml:space="preserve"> by management of both companies.</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Pr="00A57D7A">
        <w:rPr>
          <w:rFonts w:ascii="Arial" w:hAnsi="Arial"/>
          <w:color w:val="000000"/>
          <w:u w:val="single"/>
        </w:rPr>
        <w:t xml:space="preserve"> </w:t>
      </w:r>
      <w:r w:rsidR="00973871" w:rsidRPr="00973871">
        <w:rPr>
          <w:rFonts w:ascii="Arial" w:hAnsi="Arial"/>
          <w:color w:val="FF0000"/>
          <w:u w:val="single"/>
        </w:rPr>
        <w:t>none</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rPr>
              <w:t>No. of Securities, directly or indirectly,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20"/>
                <w:vertAlign w:val="superscript"/>
                <w:lang w:val="en-CA"/>
              </w:rPr>
              <w:t xml:space="preserve"> </w:t>
            </w:r>
            <w:r>
              <w:rPr>
                <w:rFonts w:ascii="Arial" w:hAnsi="Arial"/>
                <w:b/>
                <w:color w:val="000000"/>
                <w:sz w:val="16"/>
                <w:vertAlign w:val="superscript"/>
                <w:lang w:val="en-CA"/>
              </w:rPr>
              <w:t>(1)</w:t>
            </w:r>
          </w:p>
        </w:tc>
      </w:tr>
      <w:tr w:rsidR="00973871">
        <w:tc>
          <w:tcPr>
            <w:tcW w:w="1440" w:type="dxa"/>
          </w:tcPr>
          <w:p w:rsidR="00973871" w:rsidRDefault="00973871">
            <w:pPr>
              <w:pStyle w:val="BodyText"/>
              <w:keepNext/>
              <w:keepLines/>
              <w:spacing w:before="0" w:line="280" w:lineRule="exact"/>
              <w:jc w:val="center"/>
              <w:rPr>
                <w:rFonts w:ascii="Arial" w:hAnsi="Arial"/>
                <w:b/>
                <w:sz w:val="20"/>
                <w:lang w:val="en-CA"/>
              </w:rPr>
            </w:pPr>
            <w:r>
              <w:rPr>
                <w:rFonts w:ascii="Arial" w:hAnsi="Arial"/>
                <w:b/>
                <w:sz w:val="20"/>
                <w:lang w:val="en-CA"/>
              </w:rPr>
              <w:t>Eagle Plains Resources Ltd.</w:t>
            </w:r>
          </w:p>
        </w:tc>
        <w:tc>
          <w:tcPr>
            <w:tcW w:w="1260" w:type="dxa"/>
          </w:tcPr>
          <w:p w:rsidR="00973871" w:rsidRDefault="00973871">
            <w:pPr>
              <w:pStyle w:val="BodyText"/>
              <w:keepNext/>
              <w:keepLines/>
              <w:spacing w:before="0" w:line="280" w:lineRule="exact"/>
              <w:jc w:val="center"/>
              <w:rPr>
                <w:rFonts w:ascii="Arial" w:hAnsi="Arial"/>
                <w:b/>
                <w:sz w:val="20"/>
                <w:lang w:val="en-CA"/>
              </w:rPr>
            </w:pPr>
            <w:r>
              <w:rPr>
                <w:rFonts w:ascii="Arial" w:hAnsi="Arial"/>
                <w:b/>
                <w:sz w:val="20"/>
                <w:lang w:val="en-CA"/>
              </w:rPr>
              <w:t>1,000,000 common shares</w:t>
            </w:r>
          </w:p>
        </w:tc>
        <w:tc>
          <w:tcPr>
            <w:tcW w:w="1260" w:type="dxa"/>
          </w:tcPr>
          <w:p w:rsidR="00973871" w:rsidRDefault="00973871">
            <w:pPr>
              <w:pStyle w:val="BodyText"/>
              <w:keepNext/>
              <w:keepLines/>
              <w:spacing w:before="0" w:line="280" w:lineRule="exact"/>
              <w:jc w:val="center"/>
              <w:rPr>
                <w:rFonts w:ascii="Arial" w:hAnsi="Arial"/>
                <w:b/>
                <w:sz w:val="20"/>
                <w:lang w:val="en-CA"/>
              </w:rPr>
            </w:pPr>
            <w:r>
              <w:rPr>
                <w:rFonts w:ascii="Arial" w:hAnsi="Arial"/>
                <w:b/>
                <w:sz w:val="20"/>
                <w:lang w:val="en-CA"/>
              </w:rPr>
              <w:t>110,000</w:t>
            </w:r>
          </w:p>
        </w:tc>
        <w:tc>
          <w:tcPr>
            <w:tcW w:w="1440" w:type="dxa"/>
          </w:tcPr>
          <w:p w:rsidR="00973871" w:rsidRDefault="00973871">
            <w:pPr>
              <w:pStyle w:val="BodyText"/>
              <w:keepNext/>
              <w:keepLines/>
              <w:spacing w:before="0" w:line="280" w:lineRule="exact"/>
              <w:jc w:val="center"/>
              <w:rPr>
                <w:rFonts w:ascii="Arial" w:hAnsi="Arial"/>
                <w:b/>
                <w:sz w:val="20"/>
                <w:lang w:val="en-CA"/>
              </w:rPr>
            </w:pPr>
          </w:p>
        </w:tc>
        <w:tc>
          <w:tcPr>
            <w:tcW w:w="1440" w:type="dxa"/>
          </w:tcPr>
          <w:p w:rsidR="00973871" w:rsidRDefault="008E65D8">
            <w:pPr>
              <w:pStyle w:val="BodyText"/>
              <w:keepNext/>
              <w:keepLines/>
              <w:spacing w:before="0" w:line="280" w:lineRule="exact"/>
              <w:jc w:val="center"/>
              <w:rPr>
                <w:rFonts w:ascii="Arial" w:hAnsi="Arial"/>
                <w:b/>
                <w:sz w:val="20"/>
                <w:lang w:val="en-CA"/>
              </w:rPr>
            </w:pPr>
            <w:r>
              <w:rPr>
                <w:rFonts w:ascii="Arial" w:hAnsi="Arial"/>
                <w:b/>
                <w:sz w:val="20"/>
                <w:lang w:val="en-CA"/>
              </w:rPr>
              <w:t>61-101</w:t>
            </w:r>
          </w:p>
        </w:tc>
        <w:tc>
          <w:tcPr>
            <w:tcW w:w="1620" w:type="dxa"/>
          </w:tcPr>
          <w:p w:rsidR="00973871" w:rsidRDefault="00973871">
            <w:pPr>
              <w:pStyle w:val="BodyText"/>
              <w:keepNext/>
              <w:keepLines/>
              <w:spacing w:before="0" w:line="280" w:lineRule="exact"/>
              <w:jc w:val="center"/>
              <w:rPr>
                <w:rFonts w:ascii="Arial" w:hAnsi="Arial"/>
                <w:b/>
                <w:sz w:val="20"/>
              </w:rPr>
            </w:pPr>
            <w:r>
              <w:rPr>
                <w:rFonts w:ascii="Arial" w:hAnsi="Arial"/>
                <w:b/>
                <w:sz w:val="20"/>
              </w:rPr>
              <w:t>11,162,716</w:t>
            </w:r>
          </w:p>
        </w:tc>
        <w:tc>
          <w:tcPr>
            <w:tcW w:w="1530" w:type="dxa"/>
          </w:tcPr>
          <w:p w:rsidR="00973871" w:rsidRDefault="00973871">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Related through common directors</w:t>
            </w:r>
          </w:p>
        </w:tc>
      </w:tr>
      <w:tr w:rsidR="00EA4133">
        <w:trPr>
          <w:trHeight w:hRule="exact" w:val="280"/>
        </w:trPr>
        <w:tc>
          <w:tcPr>
            <w:tcW w:w="1440" w:type="dxa"/>
          </w:tcPr>
          <w:p w:rsidR="00EA4133" w:rsidRDefault="00973871">
            <w:pPr>
              <w:pStyle w:val="BodyText"/>
              <w:keepNext/>
              <w:keepLines/>
              <w:rPr>
                <w:rFonts w:ascii="Arial" w:hAnsi="Arial"/>
                <w:lang w:val="en-CA"/>
              </w:rPr>
            </w:pPr>
            <w:r>
              <w:rPr>
                <w:rFonts w:ascii="Arial" w:hAnsi="Arial"/>
                <w:lang w:val="en-CA"/>
              </w:rPr>
              <w:t>Eagle</w:t>
            </w: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8E65D8" w:rsidRPr="008E65D8">
        <w:rPr>
          <w:rFonts w:ascii="Arial" w:hAnsi="Arial"/>
          <w:color w:val="FF0000"/>
        </w:rPr>
        <w:t>The issuer was party to a Plan of Arrangem</w:t>
      </w:r>
      <w:r w:rsidR="008E65D8">
        <w:rPr>
          <w:rFonts w:ascii="Arial" w:hAnsi="Arial"/>
          <w:color w:val="FF0000"/>
        </w:rPr>
        <w:t>e</w:t>
      </w:r>
      <w:r w:rsidR="008E65D8" w:rsidRPr="008E65D8">
        <w:rPr>
          <w:rFonts w:ascii="Arial" w:hAnsi="Arial"/>
          <w:color w:val="FF0000"/>
        </w:rPr>
        <w:t>nt effective April 12, 2018 wherein title was confirmed</w:t>
      </w:r>
      <w:r w:rsidR="008E65D8">
        <w:rPr>
          <w:rFonts w:ascii="Arial" w:hAnsi="Arial"/>
          <w:color w:val="000000"/>
        </w:rPr>
        <w:t xml:space="preserve">.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address. If a corporation, identify persons owning or exercising voting control </w:t>
      </w:r>
      <w:r>
        <w:rPr>
          <w:rFonts w:ascii="Arial" w:hAnsi="Arial"/>
        </w:rPr>
        <w:lastRenderedPageBreak/>
        <w:t>over 20% or more of the voting shares if known to the Issuer):</w:t>
      </w:r>
      <w:r>
        <w:rPr>
          <w:rFonts w:ascii="Arial" w:hAnsi="Arial"/>
          <w:u w:val="single"/>
        </w:rPr>
        <w:tab/>
      </w:r>
      <w:r>
        <w:rPr>
          <w:rFonts w:ascii="Arial" w:hAnsi="Arial"/>
        </w:rPr>
        <w:t xml:space="preserve"> </w:t>
      </w:r>
      <w:proofErr w:type="gramStart"/>
      <w:r w:rsidR="008E65D8" w:rsidRPr="008E65D8">
        <w:rPr>
          <w:rFonts w:ascii="Arial" w:hAnsi="Arial"/>
          <w:color w:val="FF0000"/>
        </w:rPr>
        <w:t>n/a</w:t>
      </w:r>
      <w:proofErr w:type="gramEnd"/>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8E65D8" w:rsidRPr="008E65D8">
        <w:rPr>
          <w:rFonts w:ascii="Arial" w:hAnsi="Arial"/>
          <w:color w:val="FF0000"/>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If applicable, indicate whether the acquisition is the acquisition of an interest in property contiguous to or otherwise related to any other asset acquired in the last 12 months</w:t>
      </w:r>
      <w:r w:rsidRPr="008E65D8">
        <w:rPr>
          <w:rFonts w:ascii="Arial" w:hAnsi="Arial"/>
          <w:color w:val="FF0000"/>
        </w:rPr>
        <w:t xml:space="preserve">. </w:t>
      </w:r>
      <w:r w:rsidR="008E65D8" w:rsidRPr="008E65D8">
        <w:rPr>
          <w:color w:val="FF0000"/>
        </w:rPr>
        <w:t xml:space="preserve">This transaction follows the plan of arrangement completed effective April 12, 2018 </w:t>
      </w:r>
      <w:proofErr w:type="spellStart"/>
      <w:r w:rsidR="008E65D8" w:rsidRPr="008E65D8">
        <w:rPr>
          <w:color w:val="FF0000"/>
        </w:rPr>
        <w:t>whereunder</w:t>
      </w:r>
      <w:proofErr w:type="spellEnd"/>
      <w:r w:rsidR="008E65D8" w:rsidRPr="008E65D8">
        <w:rPr>
          <w:color w:val="FF0000"/>
        </w:rPr>
        <w:t xml:space="preserve"> Taiga Gold was spun-out of Eagle Plains, and</w:t>
      </w:r>
      <w:r w:rsidR="008E65D8" w:rsidRPr="008E65D8">
        <w:rPr>
          <w:b/>
          <w:color w:val="FF0000"/>
        </w:rPr>
        <w:t xml:space="preserve"> </w:t>
      </w:r>
      <w:r w:rsidR="008E65D8" w:rsidRPr="008E65D8">
        <w:rPr>
          <w:color w:val="FF0000"/>
        </w:rPr>
        <w:t>is an exempt ‘related party transaction’ under Multilateral Instrument 61-101.</w:t>
      </w:r>
      <w:r w:rsidRPr="008E65D8">
        <w:rPr>
          <w:rFonts w:ascii="Arial" w:hAnsi="Arial"/>
          <w:color w:val="FF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proofErr w:type="gramStart"/>
      <w:r>
        <w:rPr>
          <w:rFonts w:ascii="Arial" w:hAnsi="Arial"/>
        </w:rPr>
        <w:lastRenderedPageBreak/>
        <w:t xml:space="preserve">Dated </w:t>
      </w:r>
      <w:r w:rsidR="008E65D8">
        <w:rPr>
          <w:rFonts w:ascii="Arial" w:hAnsi="Arial"/>
        </w:rPr>
        <w:t xml:space="preserve"> </w:t>
      </w:r>
      <w:r w:rsidR="008E65D8" w:rsidRPr="008E65D8">
        <w:rPr>
          <w:rFonts w:ascii="Arial" w:hAnsi="Arial"/>
          <w:color w:val="FF0000"/>
        </w:rPr>
        <w:t>October</w:t>
      </w:r>
      <w:proofErr w:type="gramEnd"/>
      <w:r w:rsidR="008E65D8" w:rsidRPr="008E65D8">
        <w:rPr>
          <w:rFonts w:ascii="Arial" w:hAnsi="Arial"/>
          <w:color w:val="FF0000"/>
        </w:rPr>
        <w:t xml:space="preserve"> 29, 2018</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8E65D8" w:rsidRPr="008E65D8">
        <w:rPr>
          <w:rFonts w:ascii="Arial" w:hAnsi="Arial"/>
          <w:u w:val="single"/>
        </w:rPr>
        <w:t>Charles Downie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894F08" w:rsidRPr="00894F08">
        <w:rPr>
          <w:rFonts w:ascii="Arial" w:hAnsi="Arial"/>
          <w:u w:val="single"/>
        </w:rPr>
        <w:t>“</w:t>
      </w:r>
      <w:r w:rsidR="00894F08" w:rsidRPr="00894F08">
        <w:rPr>
          <w:rFonts w:ascii="Arial" w:hAnsi="Arial"/>
          <w:i/>
          <w:u w:val="single"/>
        </w:rPr>
        <w:t>Charles Downie”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8E65D8" w:rsidRPr="008E65D8">
        <w:rPr>
          <w:rFonts w:ascii="Arial" w:hAnsi="Arial"/>
          <w:u w:val="single"/>
        </w:rPr>
        <w:t>Director</w:t>
      </w:r>
      <w:r>
        <w:rPr>
          <w:rFonts w:ascii="Arial" w:hAnsi="Arial"/>
          <w:u w:val="single"/>
        </w:rPr>
        <w:tab/>
      </w:r>
      <w:r>
        <w:rPr>
          <w:rFonts w:ascii="Arial" w:hAnsi="Arial"/>
        </w:rPr>
        <w:br/>
      </w:r>
      <w:bookmarkStart w:id="4" w:name="_GoBack"/>
      <w:bookmarkEnd w:id="4"/>
      <w:r>
        <w:rPr>
          <w:rFonts w:ascii="Arial" w:hAnsi="Arial"/>
        </w:rPr>
        <w:t>Official Capacity</w:t>
      </w:r>
    </w:p>
    <w:sectPr w:rsidR="00EA413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314" w:rsidRDefault="00116314">
      <w:r>
        <w:separator/>
      </w:r>
    </w:p>
  </w:endnote>
  <w:endnote w:type="continuationSeparator" w:id="0">
    <w:p w:rsidR="00116314" w:rsidRDefault="001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A9392C"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728" behindDoc="0" locked="0" layoutInCell="1" allowOverlap="1" wp14:anchorId="7828EF23" wp14:editId="556B1AC2">
              <wp:simplePos x="0" y="0"/>
              <wp:positionH relativeFrom="column">
                <wp:posOffset>51435</wp:posOffset>
              </wp:positionH>
              <wp:positionV relativeFrom="paragraph">
                <wp:posOffset>-20320</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FORM 9 – NOTICE OF 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2F0416"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894F08">
      <w:rPr>
        <w:rStyle w:val="PageNumber"/>
        <w:rFonts w:ascii="Arial" w:hAnsi="Arial" w:cs="Arial"/>
        <w:noProof/>
        <w:sz w:val="16"/>
        <w:szCs w:val="16"/>
      </w:rPr>
      <w:t>7</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8E65D8">
    <w:pPr>
      <w:pStyle w:val="Footer"/>
    </w:pPr>
    <w:fldSimple w:instr=" DOCPROPERTY FOOTERPATH \* MERGEFORMAT ">
      <w:r>
        <w:t>3214.001\0180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314" w:rsidRDefault="00116314">
      <w:r>
        <w:separator/>
      </w:r>
    </w:p>
  </w:footnote>
  <w:footnote w:type="continuationSeparator" w:id="0">
    <w:p w:rsidR="00116314" w:rsidRDefault="0011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6"/>
  </w:num>
  <w:num w:numId="13">
    <w:abstractNumId w:val="3"/>
  </w:num>
  <w:num w:numId="14">
    <w:abstractNumId w:val="8"/>
  </w:num>
  <w:num w:numId="15">
    <w:abstractNumId w:val="1"/>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116314"/>
    <w:rsid w:val="00173F0B"/>
    <w:rsid w:val="00186DA5"/>
    <w:rsid w:val="002557FD"/>
    <w:rsid w:val="002F0416"/>
    <w:rsid w:val="00326D55"/>
    <w:rsid w:val="00456624"/>
    <w:rsid w:val="004A1403"/>
    <w:rsid w:val="004B214D"/>
    <w:rsid w:val="00617A0E"/>
    <w:rsid w:val="0062717F"/>
    <w:rsid w:val="007568B3"/>
    <w:rsid w:val="00760000"/>
    <w:rsid w:val="007B0425"/>
    <w:rsid w:val="008003B9"/>
    <w:rsid w:val="00894F08"/>
    <w:rsid w:val="008E65D8"/>
    <w:rsid w:val="008F27FF"/>
    <w:rsid w:val="009136E7"/>
    <w:rsid w:val="009466F0"/>
    <w:rsid w:val="00973871"/>
    <w:rsid w:val="0097763E"/>
    <w:rsid w:val="00A00C54"/>
    <w:rsid w:val="00A10285"/>
    <w:rsid w:val="00A90670"/>
    <w:rsid w:val="00A93530"/>
    <w:rsid w:val="00A9392C"/>
    <w:rsid w:val="00B923F6"/>
    <w:rsid w:val="00CF076A"/>
    <w:rsid w:val="00CF2A90"/>
    <w:rsid w:val="00DB640C"/>
    <w:rsid w:val="00E55E58"/>
    <w:rsid w:val="00E97C13"/>
    <w:rsid w:val="00EA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1430</Words>
  <Characters>7615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3</cp:revision>
  <cp:lastPrinted>2018-10-29T15:30:00Z</cp:lastPrinted>
  <dcterms:created xsi:type="dcterms:W3CDTF">2018-10-29T15:31:00Z</dcterms:created>
  <dcterms:modified xsi:type="dcterms:W3CDTF">2018-10-29T15:42:00Z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