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266928">
        <w:rPr>
          <w:rFonts w:ascii="Arial" w:hAnsi="Arial"/>
          <w:lang w:val="en-CA"/>
        </w:rPr>
        <w:t>NEW TECH MINERALS CORP.</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r w:rsidR="00266928">
        <w:rPr>
          <w:rFonts w:ascii="Arial" w:hAnsi="Arial"/>
          <w:lang w:val="en-CA"/>
        </w:rPr>
        <w:t xml:space="preserve"> NTM</w:t>
      </w:r>
    </w:p>
    <w:tbl>
      <w:tblPr>
        <w:tblStyle w:val="TableGrid"/>
        <w:tblW w:w="0" w:type="auto"/>
        <w:tblLook w:val="04A0" w:firstRow="1" w:lastRow="0" w:firstColumn="1" w:lastColumn="0" w:noHBand="0" w:noVBand="1"/>
      </w:tblPr>
      <w:tblGrid>
        <w:gridCol w:w="6340"/>
        <w:gridCol w:w="3010"/>
      </w:tblGrid>
      <w:tr w:rsidR="00840B45" w:rsidTr="00840B45">
        <w:tc>
          <w:tcPr>
            <w:tcW w:w="6487" w:type="dxa"/>
          </w:tcPr>
          <w:p w:rsidR="00840B45" w:rsidRDefault="00840B45" w:rsidP="00840B45">
            <w:pPr>
              <w:pStyle w:val="BodyText"/>
              <w:jc w:val="right"/>
              <w:rPr>
                <w:rFonts w:ascii="Arial" w:hAnsi="Arial"/>
                <w:lang w:val="en-CA"/>
              </w:rPr>
            </w:pPr>
            <w:r>
              <w:rPr>
                <w:rFonts w:ascii="Arial" w:hAnsi="Arial"/>
                <w:lang w:val="en-CA"/>
              </w:rPr>
              <w:t xml:space="preserve">(the “Issuer”).  </w:t>
            </w:r>
          </w:p>
        </w:tc>
        <w:tc>
          <w:tcPr>
            <w:tcW w:w="3089" w:type="dxa"/>
          </w:tcPr>
          <w:p w:rsidR="00840B45" w:rsidRDefault="00840B45">
            <w:pPr>
              <w:pStyle w:val="BodyText"/>
              <w:rPr>
                <w:rFonts w:ascii="Arial" w:hAnsi="Arial"/>
                <w:lang w:val="en-CA"/>
              </w:rPr>
            </w:pP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66928">
        <w:rPr>
          <w:rFonts w:ascii="Arial" w:hAnsi="Arial"/>
          <w:u w:val="single"/>
          <w:lang w:val="en-CA"/>
        </w:rPr>
        <w:t xml:space="preserve">May </w:t>
      </w:r>
      <w:r w:rsidR="00F51BEB">
        <w:rPr>
          <w:rFonts w:ascii="Arial" w:hAnsi="Arial"/>
          <w:u w:val="single"/>
          <w:lang w:val="en-CA"/>
        </w:rPr>
        <w:t>29</w:t>
      </w:r>
      <w:r w:rsidR="00266928">
        <w:rPr>
          <w:rFonts w:ascii="Arial" w:hAnsi="Arial"/>
          <w:u w:val="single"/>
          <w:lang w:val="en-CA"/>
        </w:rPr>
        <w:t>, 2019 i</w:t>
      </w:r>
      <w:r>
        <w:rPr>
          <w:rFonts w:ascii="Arial" w:hAnsi="Arial"/>
          <w:lang w:val="en-CA"/>
        </w:rPr>
        <w:t>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266928">
        <w:rPr>
          <w:rFonts w:ascii="Arial" w:hAnsi="Arial"/>
          <w:lang w:val="en-CA"/>
        </w:rPr>
        <w:t>X</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66928">
        <w:rPr>
          <w:rFonts w:ascii="Arial" w:hAnsi="Arial"/>
          <w:lang w:val="en-CA"/>
        </w:rPr>
        <w:t>60,</w:t>
      </w:r>
      <w:r w:rsidR="00202B09">
        <w:rPr>
          <w:rFonts w:ascii="Arial" w:hAnsi="Arial"/>
          <w:lang w:val="en-CA"/>
        </w:rPr>
        <w:t>77</w:t>
      </w:r>
      <w:r w:rsidR="00266928">
        <w:rPr>
          <w:rFonts w:ascii="Arial" w:hAnsi="Arial"/>
          <w:lang w:val="en-CA"/>
        </w:rPr>
        <w:t>8,896</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145805">
        <w:rPr>
          <w:rFonts w:ascii="Arial" w:hAnsi="Arial"/>
          <w:lang w:val="en-CA"/>
        </w:rPr>
        <w:t>May 29, 2019</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145805">
        <w:rPr>
          <w:rFonts w:ascii="Arial" w:hAnsi="Arial"/>
          <w:lang w:val="en-CA"/>
        </w:rPr>
        <w:t>issuance</w:t>
      </w:r>
      <w:r>
        <w:rPr>
          <w:rFonts w:ascii="Arial" w:hAnsi="Arial"/>
          <w:lang w:val="en-CA"/>
        </w:rPr>
        <w:t xml:space="preserve">: </w:t>
      </w:r>
      <w:r w:rsidR="00D64430">
        <w:rPr>
          <w:rFonts w:ascii="Arial" w:hAnsi="Arial"/>
          <w:lang w:val="en-CA"/>
        </w:rPr>
        <w:t>$0.</w:t>
      </w:r>
      <w:r w:rsidR="00145805">
        <w:rPr>
          <w:rFonts w:ascii="Arial" w:hAnsi="Arial"/>
          <w:lang w:val="en-CA"/>
        </w:rPr>
        <w:t>0</w:t>
      </w:r>
      <w:r w:rsidR="00202B09">
        <w:rPr>
          <w:rFonts w:ascii="Arial" w:hAnsi="Arial"/>
          <w:lang w:val="en-CA"/>
        </w:rPr>
        <w:t>1</w:t>
      </w:r>
      <w:r w:rsidR="00D64430">
        <w:rPr>
          <w:rFonts w:ascii="Arial" w:hAnsi="Arial"/>
          <w:lang w:val="en-CA"/>
        </w:rPr>
        <w:t>5</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266928"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F51BEB">
        <w:rPr>
          <w:rFonts w:ascii="Arial" w:hAnsi="Arial"/>
          <w:lang w:val="en-CA"/>
        </w:rPr>
        <w:t>25</w:t>
      </w:r>
      <w:r w:rsidR="00266928">
        <w:rPr>
          <w:rFonts w:ascii="Arial" w:hAnsi="Arial"/>
          <w:lang w:val="en-CA"/>
        </w:rPr>
        <w:t>0,000</w:t>
      </w:r>
    </w:p>
    <w:p w:rsidR="00C10A32"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sidR="00202B09">
        <w:rPr>
          <w:rFonts w:ascii="Arial" w:hAnsi="Arial"/>
          <w:lang w:val="en-CA"/>
        </w:rPr>
        <w:t>61,028</w:t>
      </w:r>
      <w:r w:rsidR="00F51BEB">
        <w:rPr>
          <w:rFonts w:ascii="Arial" w:hAnsi="Arial"/>
          <w:lang w:val="en-CA"/>
        </w:rPr>
        <w:t>,896</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F51BEB" w:rsidRDefault="00EA4133" w:rsidP="00F51BEB">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EF61C7">
        <w:rPr>
          <w:rFonts w:ascii="Arial" w:hAnsi="Arial"/>
          <w:color w:val="000000"/>
          <w:u w:val="single"/>
        </w:rPr>
        <w:t>First</w:t>
      </w:r>
      <w:r w:rsidR="00D64430">
        <w:rPr>
          <w:rFonts w:ascii="Arial" w:hAnsi="Arial"/>
          <w:color w:val="000000"/>
          <w:u w:val="single"/>
        </w:rPr>
        <w:t xml:space="preserve"> </w:t>
      </w:r>
      <w:r w:rsidR="00F51BEB" w:rsidRPr="00F51BEB">
        <w:rPr>
          <w:rFonts w:ascii="Arial" w:hAnsi="Arial"/>
          <w:color w:val="000000"/>
          <w:u w:val="single"/>
        </w:rPr>
        <w:t xml:space="preserve">anniversary payment </w:t>
      </w:r>
      <w:r w:rsidR="000308A9">
        <w:rPr>
          <w:rFonts w:ascii="Arial" w:hAnsi="Arial"/>
          <w:color w:val="000000"/>
          <w:u w:val="single"/>
        </w:rPr>
        <w:t xml:space="preserve">pursuant to an option agreement dated May 18, 2018 between NTM and John Glasscock to purchase four Prospecting Permit Applications called SE Missouri – Permit 1 to S Missouri – Permit 4 located in the State of Missouri </w:t>
      </w:r>
      <w:r w:rsidR="00F51BEB" w:rsidRPr="00F51BEB">
        <w:rPr>
          <w:rFonts w:ascii="Arial" w:hAnsi="Arial"/>
          <w:color w:val="000000"/>
          <w:u w:val="single"/>
        </w:rPr>
        <w:t>.</w:t>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 xml:space="preserve"> .</w:t>
      </w:r>
    </w:p>
    <w:p w:rsidR="00D64430" w:rsidRDefault="00EA4133" w:rsidP="00D64430">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00D44C10">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F51BEB">
        <w:rPr>
          <w:rFonts w:ascii="Arial" w:hAnsi="Arial"/>
          <w:color w:val="000000"/>
        </w:rPr>
        <w:t xml:space="preserve"> </w:t>
      </w:r>
      <w:r w:rsidR="00D64430">
        <w:rPr>
          <w:rFonts w:ascii="Arial" w:hAnsi="Arial"/>
          <w:color w:val="000000"/>
          <w:u w:val="single"/>
        </w:rPr>
        <w:t xml:space="preserve">250,000 NTM shares </w:t>
      </w:r>
      <w:r w:rsidR="000308A9">
        <w:rPr>
          <w:rFonts w:ascii="Arial" w:hAnsi="Arial"/>
          <w:color w:val="000000"/>
          <w:u w:val="single"/>
        </w:rPr>
        <w:t xml:space="preserve">issued within five business days after the first anniversary of the closing date (May 28, 2019) </w:t>
      </w:r>
      <w:r w:rsidR="00F51BEB" w:rsidRPr="00D44C10">
        <w:rPr>
          <w:rFonts w:ascii="Arial" w:hAnsi="Arial"/>
          <w:color w:val="000000"/>
          <w:u w:val="single"/>
        </w:rPr>
        <w:t xml:space="preserve">payable </w:t>
      </w:r>
      <w:r w:rsidR="00D64430">
        <w:rPr>
          <w:rFonts w:ascii="Arial" w:hAnsi="Arial"/>
          <w:color w:val="000000"/>
          <w:u w:val="single"/>
        </w:rPr>
        <w:t xml:space="preserve">to </w:t>
      </w:r>
      <w:r w:rsidR="000308A9">
        <w:rPr>
          <w:rFonts w:ascii="Arial" w:hAnsi="Arial"/>
          <w:color w:val="000000"/>
          <w:u w:val="single"/>
        </w:rPr>
        <w:t>John Glasscock</w:t>
      </w:r>
      <w:r w:rsidR="00D64430">
        <w:rPr>
          <w:rFonts w:ascii="Arial" w:hAnsi="Arial"/>
          <w:color w:val="000000"/>
          <w:u w:val="single"/>
        </w:rPr>
        <w:t xml:space="preserve">, covering the period from May </w:t>
      </w:r>
      <w:r w:rsidR="000308A9">
        <w:rPr>
          <w:rFonts w:ascii="Arial" w:hAnsi="Arial"/>
          <w:color w:val="000000"/>
          <w:u w:val="single"/>
        </w:rPr>
        <w:t>19</w:t>
      </w:r>
      <w:r w:rsidR="00D64430">
        <w:rPr>
          <w:rFonts w:ascii="Arial" w:hAnsi="Arial"/>
          <w:color w:val="000000"/>
          <w:u w:val="single"/>
        </w:rPr>
        <w:t xml:space="preserve">, 2019 to May </w:t>
      </w:r>
      <w:r w:rsidR="000308A9">
        <w:rPr>
          <w:rFonts w:ascii="Arial" w:hAnsi="Arial"/>
          <w:color w:val="000000"/>
          <w:u w:val="single"/>
        </w:rPr>
        <w:t>18</w:t>
      </w:r>
      <w:r w:rsidR="00D64430">
        <w:rPr>
          <w:rFonts w:ascii="Arial" w:hAnsi="Arial"/>
          <w:color w:val="000000"/>
          <w:u w:val="single"/>
        </w:rPr>
        <w:t xml:space="preserve">, 2020. </w:t>
      </w:r>
    </w:p>
    <w:p w:rsidR="00EA4133" w:rsidRDefault="00EA4133">
      <w:pPr>
        <w:pStyle w:val="List"/>
        <w:tabs>
          <w:tab w:val="left" w:pos="1080"/>
          <w:tab w:val="left" w:pos="9180"/>
        </w:tabs>
        <w:spacing w:before="0"/>
        <w:ind w:left="0" w:firstLine="0"/>
        <w:jc w:val="both"/>
        <w:rPr>
          <w:rFonts w:ascii="Arial" w:hAnsi="Arial"/>
          <w:color w:val="000000"/>
        </w:rPr>
      </w:pP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D64430">
        <w:rPr>
          <w:rFonts w:ascii="Arial" w:hAnsi="Arial"/>
          <w:color w:val="000000"/>
        </w:rPr>
        <w:t>$3</w:t>
      </w:r>
      <w:r w:rsidR="000308A9">
        <w:rPr>
          <w:rFonts w:ascii="Arial" w:hAnsi="Arial"/>
          <w:color w:val="000000"/>
        </w:rPr>
        <w:t>,750</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4430">
        <w:rPr>
          <w:rFonts w:ascii="Arial" w:hAnsi="Arial"/>
          <w:color w:val="000000"/>
        </w:rPr>
        <w:t>$</w:t>
      </w:r>
      <w:r w:rsidR="000308A9">
        <w:rPr>
          <w:rFonts w:ascii="Arial" w:hAnsi="Arial"/>
          <w:color w:val="000000"/>
        </w:rPr>
        <w:t>nil</w:t>
      </w:r>
      <w:r w:rsidR="00D64430">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D64430">
        <w:rPr>
          <w:rFonts w:ascii="Arial" w:hAnsi="Arial"/>
          <w:color w:val="000000"/>
        </w:rPr>
        <w:t>$</w:t>
      </w:r>
      <w:r w:rsidR="000308A9">
        <w:rPr>
          <w:rFonts w:ascii="Arial" w:hAnsi="Arial"/>
          <w:color w:val="000000"/>
        </w:rPr>
        <w:t>3,750</w:t>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EF61C7">
        <w:trPr>
          <w:trHeight w:hRule="exact" w:val="1594"/>
        </w:trPr>
        <w:tc>
          <w:tcPr>
            <w:tcW w:w="1440" w:type="dxa"/>
          </w:tcPr>
          <w:p w:rsidR="00EF61C7" w:rsidRDefault="000308A9" w:rsidP="00EF61C7">
            <w:pPr>
              <w:pStyle w:val="NoSpacing"/>
              <w:rPr>
                <w:lang w:val="en-CA"/>
              </w:rPr>
            </w:pPr>
            <w:r>
              <w:rPr>
                <w:lang w:val="en-CA"/>
              </w:rPr>
              <w:t>John Gasscock</w:t>
            </w:r>
          </w:p>
          <w:p w:rsidR="000308A9" w:rsidRDefault="000308A9" w:rsidP="00EF61C7">
            <w:pPr>
              <w:pStyle w:val="NoSpacing"/>
              <w:rPr>
                <w:lang w:val="en-CA"/>
              </w:rPr>
            </w:pPr>
            <w:r>
              <w:rPr>
                <w:lang w:val="en-CA"/>
              </w:rPr>
              <w:t>33 Fox Creek Rd.</w:t>
            </w:r>
          </w:p>
          <w:p w:rsidR="000308A9" w:rsidRDefault="000308A9" w:rsidP="00EF61C7">
            <w:pPr>
              <w:pStyle w:val="NoSpacing"/>
              <w:rPr>
                <w:lang w:val="en-CA"/>
              </w:rPr>
            </w:pPr>
            <w:r>
              <w:rPr>
                <w:lang w:val="en-CA"/>
              </w:rPr>
              <w:t>Laramie WY 82070</w:t>
            </w:r>
          </w:p>
          <w:p w:rsidR="00EF61C7" w:rsidRPr="00EF61C7" w:rsidRDefault="00EF61C7" w:rsidP="00EF61C7">
            <w:pPr>
              <w:pStyle w:val="NoSpacing"/>
              <w:rPr>
                <w:lang w:val="en-CA"/>
              </w:rPr>
            </w:pPr>
          </w:p>
          <w:p w:rsidR="00EF61C7" w:rsidRPr="00EF61C7" w:rsidRDefault="00EF61C7" w:rsidP="00EF61C7">
            <w:pPr>
              <w:pStyle w:val="NoSpacing"/>
              <w:rPr>
                <w:lang w:val="en-CA"/>
              </w:rPr>
            </w:pPr>
          </w:p>
          <w:p w:rsidR="00EF61C7" w:rsidRPr="00EF61C7" w:rsidRDefault="00EF61C7" w:rsidP="00EF61C7">
            <w:pPr>
              <w:pStyle w:val="BodyText"/>
              <w:keepNext/>
              <w:keepLines/>
              <w:rPr>
                <w:rFonts w:ascii="Arial" w:hAnsi="Arial"/>
                <w:sz w:val="20"/>
                <w:lang w:val="en-CA"/>
              </w:rPr>
            </w:pPr>
            <w:r w:rsidRPr="00EF61C7">
              <w:rPr>
                <w:rFonts w:ascii="Arial" w:hAnsi="Arial"/>
                <w:sz w:val="20"/>
                <w:lang w:val="en-CA"/>
              </w:rPr>
              <w:t xml:space="preserve">. </w:t>
            </w:r>
          </w:p>
        </w:tc>
        <w:tc>
          <w:tcPr>
            <w:tcW w:w="126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250,000</w:t>
            </w:r>
          </w:p>
        </w:tc>
        <w:tc>
          <w:tcPr>
            <w:tcW w:w="1260" w:type="dxa"/>
          </w:tcPr>
          <w:p w:rsidR="00EA4133" w:rsidRPr="00EF61C7" w:rsidRDefault="00EF61C7" w:rsidP="000308A9">
            <w:pPr>
              <w:pStyle w:val="BodyText"/>
              <w:keepNext/>
              <w:keepLines/>
              <w:rPr>
                <w:rFonts w:ascii="Arial" w:hAnsi="Arial"/>
                <w:sz w:val="20"/>
                <w:lang w:val="en-CA"/>
              </w:rPr>
            </w:pPr>
            <w:r w:rsidRPr="00EF61C7">
              <w:rPr>
                <w:rFonts w:ascii="Arial" w:hAnsi="Arial"/>
                <w:sz w:val="20"/>
                <w:lang w:val="en-CA"/>
              </w:rPr>
              <w:t>$</w:t>
            </w:r>
            <w:r w:rsidR="000308A9">
              <w:rPr>
                <w:rFonts w:ascii="Arial" w:hAnsi="Arial"/>
                <w:sz w:val="20"/>
                <w:lang w:val="en-CA"/>
              </w:rPr>
              <w:t>3,750</w:t>
            </w:r>
          </w:p>
        </w:tc>
        <w:tc>
          <w:tcPr>
            <w:tcW w:w="1440" w:type="dxa"/>
          </w:tcPr>
          <w:p w:rsidR="00EA4133" w:rsidRPr="00EF61C7" w:rsidRDefault="00EA4133">
            <w:pPr>
              <w:pStyle w:val="BodyText"/>
              <w:keepNext/>
              <w:keepLines/>
              <w:rPr>
                <w:rFonts w:ascii="Arial" w:hAnsi="Arial"/>
                <w:sz w:val="20"/>
                <w:lang w:val="en-CA"/>
              </w:rPr>
            </w:pPr>
          </w:p>
        </w:tc>
        <w:tc>
          <w:tcPr>
            <w:tcW w:w="1440" w:type="dxa"/>
          </w:tcPr>
          <w:p w:rsidR="00EA4133" w:rsidRPr="00EF61C7" w:rsidRDefault="00EA4133">
            <w:pPr>
              <w:pStyle w:val="BodyText"/>
              <w:keepNext/>
              <w:keepLines/>
              <w:rPr>
                <w:rFonts w:ascii="Arial" w:hAnsi="Arial"/>
                <w:sz w:val="20"/>
                <w:lang w:val="en-CA"/>
              </w:rPr>
            </w:pPr>
          </w:p>
        </w:tc>
        <w:tc>
          <w:tcPr>
            <w:tcW w:w="162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&lt;10%</w:t>
            </w:r>
          </w:p>
        </w:tc>
        <w:tc>
          <w:tcPr>
            <w:tcW w:w="1530" w:type="dxa"/>
          </w:tcPr>
          <w:p w:rsidR="00EA4133" w:rsidRPr="00EF61C7" w:rsidRDefault="00EF61C7">
            <w:pPr>
              <w:pStyle w:val="BodyText"/>
              <w:keepNext/>
              <w:keepLines/>
              <w:rPr>
                <w:rFonts w:ascii="Arial" w:hAnsi="Arial"/>
                <w:sz w:val="20"/>
                <w:lang w:val="en-CA"/>
              </w:rPr>
            </w:pPr>
            <w:r w:rsidRPr="00EF61C7">
              <w:rPr>
                <w:rFonts w:ascii="Arial" w:hAnsi="Arial"/>
                <w:sz w:val="20"/>
                <w:lang w:val="en-CA"/>
              </w:rPr>
              <w:t>N/A</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Pr="00EF61C7">
        <w:rPr>
          <w:rFonts w:ascii="Arial" w:hAnsi="Arial"/>
          <w:color w:val="000000"/>
          <w:u w:val="single"/>
        </w:rPr>
        <w:t xml:space="preserve">: </w:t>
      </w:r>
      <w:r w:rsidR="00EF61C7" w:rsidRPr="00EF61C7">
        <w:rPr>
          <w:rFonts w:ascii="Arial" w:hAnsi="Arial" w:cs="Arial"/>
          <w:u w:val="single"/>
        </w:rPr>
        <w:t xml:space="preserve">The </w:t>
      </w:r>
      <w:r w:rsidR="00313BF8">
        <w:rPr>
          <w:rFonts w:ascii="Arial" w:hAnsi="Arial" w:cs="Arial"/>
          <w:u w:val="single"/>
        </w:rPr>
        <w:t xml:space="preserve">Optionor represents and warrant that the Optionor </w:t>
      </w:r>
      <w:r w:rsidR="00EF61C7" w:rsidRPr="00EF61C7">
        <w:rPr>
          <w:rFonts w:ascii="Arial" w:hAnsi="Arial" w:cs="Arial"/>
          <w:u w:val="single"/>
        </w:rPr>
        <w:t xml:space="preserve">is the </w:t>
      </w:r>
      <w:r w:rsidR="00DF7182">
        <w:rPr>
          <w:rFonts w:ascii="Arial" w:hAnsi="Arial" w:cs="Arial"/>
          <w:u w:val="single"/>
        </w:rPr>
        <w:t xml:space="preserve">sole legal and beneficial owner of the </w:t>
      </w:r>
      <w:r w:rsidR="00313BF8">
        <w:rPr>
          <w:rFonts w:ascii="Arial" w:hAnsi="Arial" w:cs="Arial"/>
          <w:u w:val="single"/>
        </w:rPr>
        <w:t>property</w:t>
      </w:r>
      <w:r w:rsidR="00EF61C7" w:rsidRPr="00EF61C7">
        <w:rPr>
          <w:rFonts w:ascii="Arial" w:hAnsi="Arial" w:cs="Arial"/>
          <w:u w:val="single"/>
        </w:rPr>
        <w:t>.</w:t>
      </w:r>
      <w:r w:rsidRPr="00EF61C7">
        <w:rPr>
          <w:rFonts w:ascii="Arial" w:hAnsi="Arial" w:cs="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State whether the sales agent, broker or oth</w:t>
      </w:r>
      <w:bookmarkStart w:id="4" w:name="_GoBack"/>
      <w:bookmarkEnd w:id="4"/>
      <w:r>
        <w:rPr>
          <w:rFonts w:ascii="Arial" w:hAnsi="Arial"/>
          <w:color w:val="000000"/>
        </w:rPr>
        <w:t xml:space="preserve">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F7182">
        <w:rPr>
          <w:rFonts w:ascii="Arial" w:hAnsi="Arial"/>
        </w:rPr>
        <w:t>May 29, 2019</w:t>
      </w:r>
    </w:p>
    <w:p w:rsidR="00EA4133" w:rsidRDefault="00EA4133">
      <w:pPr>
        <w:pStyle w:val="List"/>
        <w:tabs>
          <w:tab w:val="left" w:pos="9180"/>
        </w:tabs>
        <w:ind w:left="5760" w:hanging="5760"/>
        <w:rPr>
          <w:rFonts w:ascii="Arial" w:hAnsi="Arial"/>
        </w:rPr>
      </w:pPr>
      <w:r>
        <w:rPr>
          <w:rFonts w:ascii="Arial" w:hAnsi="Arial"/>
        </w:rPr>
        <w:tab/>
      </w:r>
      <w:r w:rsidR="00145805" w:rsidRPr="00145805">
        <w:rPr>
          <w:rFonts w:ascii="Arial" w:hAnsi="Arial"/>
          <w:u w:val="single"/>
        </w:rPr>
        <w:t>Jonathan George</w:t>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313BF8" w:rsidRPr="00313BF8">
        <w:rPr>
          <w:rFonts w:ascii="Arial" w:hAnsi="Arial"/>
          <w:u w:val="single"/>
        </w:rPr>
        <w:t xml:space="preserve">President and </w:t>
      </w:r>
      <w:r w:rsidR="00145805" w:rsidRPr="00313BF8">
        <w:rPr>
          <w:rFonts w:ascii="Arial" w:hAnsi="Arial"/>
          <w:u w:val="single"/>
        </w:rPr>
        <w:t>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02" w:rsidRDefault="00EB1802">
      <w:r>
        <w:separator/>
      </w:r>
    </w:p>
  </w:endnote>
  <w:endnote w:type="continuationSeparator" w:id="0">
    <w:p w:rsidR="00EB1802" w:rsidRDefault="00EB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145805"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BF07"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EB180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EB1802">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02" w:rsidRDefault="00EB1802">
      <w:r>
        <w:separator/>
      </w:r>
    </w:p>
  </w:footnote>
  <w:footnote w:type="continuationSeparator" w:id="0">
    <w:p w:rsidR="00EB1802" w:rsidRDefault="00EB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308A9"/>
    <w:rsid w:val="000B64EF"/>
    <w:rsid w:val="000C7CEC"/>
    <w:rsid w:val="00116314"/>
    <w:rsid w:val="00122D6D"/>
    <w:rsid w:val="00145805"/>
    <w:rsid w:val="00173F0B"/>
    <w:rsid w:val="00186DA5"/>
    <w:rsid w:val="00202B09"/>
    <w:rsid w:val="002557FD"/>
    <w:rsid w:val="002560F1"/>
    <w:rsid w:val="00266928"/>
    <w:rsid w:val="002F0416"/>
    <w:rsid w:val="00305EB6"/>
    <w:rsid w:val="00313BF8"/>
    <w:rsid w:val="00326D55"/>
    <w:rsid w:val="003431FD"/>
    <w:rsid w:val="0035331C"/>
    <w:rsid w:val="003C6D7E"/>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44C10"/>
    <w:rsid w:val="00D64430"/>
    <w:rsid w:val="00DA6830"/>
    <w:rsid w:val="00DB640C"/>
    <w:rsid w:val="00DF7182"/>
    <w:rsid w:val="00E55E58"/>
    <w:rsid w:val="00E83A64"/>
    <w:rsid w:val="00E97C13"/>
    <w:rsid w:val="00EA4133"/>
    <w:rsid w:val="00EB1802"/>
    <w:rsid w:val="00EF61C7"/>
    <w:rsid w:val="00F33BBE"/>
    <w:rsid w:val="00F51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30B2B0-BDA7-43B9-9AF9-23B6F02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Spacing">
    <w:name w:val="No Spacing"/>
    <w:uiPriority w:val="1"/>
    <w:qFormat/>
    <w:rsid w:val="00EF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Judi Dalling</cp:lastModifiedBy>
  <cp:revision>2</cp:revision>
  <cp:lastPrinted>2004-05-20T20:47:00Z</cp:lastPrinted>
  <dcterms:created xsi:type="dcterms:W3CDTF">2019-05-29T19:41:00Z</dcterms:created>
  <dcterms:modified xsi:type="dcterms:W3CDTF">2019-05-29T19:41:00Z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