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C271" w14:textId="77777777" w:rsidR="00EA4133" w:rsidRPr="0001060A" w:rsidRDefault="00EA4133">
      <w:pPr>
        <w:pStyle w:val="Title"/>
        <w:spacing w:before="0"/>
        <w:rPr>
          <w:sz w:val="28"/>
          <w:lang w:val="en-CA"/>
        </w:rPr>
      </w:pPr>
      <w:r w:rsidRPr="0001060A">
        <w:rPr>
          <w:sz w:val="28"/>
          <w:lang w:val="en-CA"/>
        </w:rPr>
        <w:t>FORM 9</w:t>
      </w:r>
    </w:p>
    <w:p w14:paraId="7E1B4AE7"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81588A9"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D28A843"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3103E30A" w14:textId="77777777" w:rsidTr="00840B45">
        <w:tc>
          <w:tcPr>
            <w:tcW w:w="6487" w:type="dxa"/>
          </w:tcPr>
          <w:p w14:paraId="4BCC0FB2" w14:textId="58EB7B3B" w:rsidR="00840B45" w:rsidRPr="00292BA2" w:rsidRDefault="00D270BE" w:rsidP="00840B45">
            <w:pPr>
              <w:pStyle w:val="BodyText"/>
              <w:jc w:val="right"/>
              <w:rPr>
                <w:rFonts w:ascii="Arial" w:hAnsi="Arial"/>
                <w:b/>
                <w:bCs/>
                <w:lang w:val="en-CA"/>
              </w:rPr>
            </w:pPr>
            <w:r w:rsidRPr="00292BA2">
              <w:rPr>
                <w:rFonts w:ascii="Arial" w:hAnsi="Arial"/>
                <w:b/>
                <w:bCs/>
                <w:lang w:val="en-CA"/>
              </w:rPr>
              <w:t xml:space="preserve">Geologica Resource Corp. </w:t>
            </w:r>
            <w:r w:rsidR="00840B45" w:rsidRPr="00292BA2">
              <w:rPr>
                <w:rFonts w:ascii="Arial" w:hAnsi="Arial"/>
                <w:b/>
                <w:bCs/>
                <w:lang w:val="en-CA"/>
              </w:rPr>
              <w:t xml:space="preserve">(the “Issuer”).  </w:t>
            </w:r>
          </w:p>
        </w:tc>
        <w:tc>
          <w:tcPr>
            <w:tcW w:w="3089" w:type="dxa"/>
          </w:tcPr>
          <w:p w14:paraId="6E82F528" w14:textId="2161075E" w:rsidR="00840B45" w:rsidRPr="00292BA2" w:rsidRDefault="00D270BE">
            <w:pPr>
              <w:pStyle w:val="BodyText"/>
              <w:rPr>
                <w:rFonts w:ascii="Arial" w:hAnsi="Arial"/>
                <w:b/>
                <w:bCs/>
                <w:lang w:val="en-CA"/>
              </w:rPr>
            </w:pPr>
            <w:r w:rsidRPr="00292BA2">
              <w:rPr>
                <w:rFonts w:ascii="Arial" w:hAnsi="Arial"/>
                <w:b/>
                <w:bCs/>
                <w:lang w:val="en-CA"/>
              </w:rPr>
              <w:t>GRCM</w:t>
            </w:r>
          </w:p>
        </w:tc>
      </w:tr>
    </w:tbl>
    <w:p w14:paraId="7D29B27F" w14:textId="1F83E4B8" w:rsidR="00EA4133" w:rsidRDefault="00EA4133" w:rsidP="00840B45">
      <w:pPr>
        <w:pStyle w:val="BodyText"/>
        <w:spacing w:after="240"/>
        <w:rPr>
          <w:rFonts w:ascii="Arial" w:hAnsi="Arial"/>
          <w:sz w:val="32"/>
          <w:lang w:val="en-CA"/>
        </w:rPr>
      </w:pPr>
      <w:r>
        <w:rPr>
          <w:rFonts w:ascii="Arial" w:hAnsi="Arial"/>
          <w:lang w:val="en-CA"/>
        </w:rPr>
        <w:t xml:space="preserve">Date:  </w:t>
      </w:r>
      <w:r w:rsidRPr="00292BA2">
        <w:rPr>
          <w:rFonts w:ascii="Arial" w:hAnsi="Arial"/>
          <w:b/>
          <w:bCs/>
          <w:u w:val="single"/>
          <w:lang w:val="en-CA"/>
        </w:rPr>
        <w:tab/>
      </w:r>
      <w:r w:rsidR="00F91FF3">
        <w:rPr>
          <w:rFonts w:ascii="Arial" w:hAnsi="Arial"/>
          <w:b/>
          <w:bCs/>
          <w:u w:val="single"/>
          <w:lang w:val="en-CA"/>
        </w:rPr>
        <w:t>January 5, 2023</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sidR="00925DF9" w:rsidRPr="00292BA2">
        <w:rPr>
          <w:rFonts w:ascii="Arial" w:hAnsi="Arial"/>
          <w:b/>
          <w:bCs/>
          <w:lang w:val="en-CA"/>
        </w:rPr>
        <w:t>X</w:t>
      </w:r>
      <w:r w:rsidRPr="00292BA2">
        <w:rPr>
          <w:rFonts w:ascii="Arial" w:hAnsi="Arial"/>
          <w:b/>
          <w:bCs/>
          <w:lang w:val="en-CA"/>
        </w:rPr>
        <w:sym w:font="Monotype Sorts" w:char="F07F"/>
      </w:r>
      <w:r w:rsidRPr="00292BA2">
        <w:rPr>
          <w:rFonts w:ascii="Arial" w:hAnsi="Arial"/>
          <w:b/>
          <w:bCs/>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14:paraId="43B1B75C" w14:textId="4DF4E2F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925DF9" w:rsidRPr="00292BA2">
        <w:rPr>
          <w:rFonts w:ascii="Arial" w:hAnsi="Arial"/>
          <w:b/>
          <w:bCs/>
          <w:lang w:val="en-CA"/>
        </w:rPr>
        <w:t>December 9, 2022</w:t>
      </w:r>
      <w:r>
        <w:rPr>
          <w:rFonts w:ascii="Arial" w:hAnsi="Arial"/>
          <w:lang w:val="en-CA"/>
        </w:rPr>
        <w:t>_____________________.</w:t>
      </w:r>
    </w:p>
    <w:p w14:paraId="13D41CC4" w14:textId="06EE4A0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D270BE" w:rsidRPr="00292BA2">
        <w:rPr>
          <w:rFonts w:ascii="Arial" w:hAnsi="Arial"/>
          <w:b/>
          <w:bCs/>
          <w:lang w:val="en-CA"/>
        </w:rPr>
        <w:t>19,319,252</w:t>
      </w:r>
      <w:r>
        <w:rPr>
          <w:rFonts w:ascii="Arial" w:hAnsi="Arial"/>
          <w:u w:val="single"/>
          <w:lang w:val="en-CA"/>
        </w:rPr>
        <w:tab/>
      </w:r>
      <w:r>
        <w:rPr>
          <w:rFonts w:ascii="Arial" w:hAnsi="Arial"/>
          <w:lang w:val="en-CA"/>
        </w:rPr>
        <w:t xml:space="preserve"> .</w:t>
      </w:r>
    </w:p>
    <w:p w14:paraId="4B60449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73480AA" w14:textId="4E02638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D270BE" w:rsidRPr="00292BA2">
        <w:rPr>
          <w:rFonts w:ascii="Arial" w:hAnsi="Arial"/>
          <w:b/>
          <w:bCs/>
          <w:u w:val="single"/>
          <w:lang w:val="en-CA"/>
        </w:rPr>
        <w:t xml:space="preserve">December </w:t>
      </w:r>
      <w:r w:rsidR="00C027AE" w:rsidRPr="00292BA2">
        <w:rPr>
          <w:rFonts w:ascii="Arial" w:hAnsi="Arial"/>
          <w:b/>
          <w:bCs/>
          <w:u w:val="single"/>
          <w:lang w:val="en-CA"/>
        </w:rPr>
        <w:t xml:space="preserve">9, </w:t>
      </w:r>
      <w:r w:rsidR="00925DF9" w:rsidRPr="00292BA2">
        <w:rPr>
          <w:rFonts w:ascii="Arial" w:hAnsi="Arial"/>
          <w:b/>
          <w:bCs/>
          <w:u w:val="single"/>
          <w:lang w:val="en-CA"/>
        </w:rPr>
        <w:t>2</w:t>
      </w:r>
      <w:r w:rsidR="00D270BE" w:rsidRPr="00292BA2">
        <w:rPr>
          <w:rFonts w:ascii="Arial" w:hAnsi="Arial"/>
          <w:b/>
          <w:bCs/>
          <w:u w:val="single"/>
          <w:lang w:val="en-CA"/>
        </w:rPr>
        <w:t>022</w:t>
      </w:r>
      <w:r w:rsidR="00840B45">
        <w:rPr>
          <w:rFonts w:ascii="Arial" w:hAnsi="Arial"/>
          <w:u w:val="single"/>
          <w:lang w:val="en-CA"/>
        </w:rPr>
        <w:t>__</w:t>
      </w:r>
      <w:r w:rsidR="00840B45">
        <w:rPr>
          <w:rFonts w:ascii="Arial" w:hAnsi="Arial"/>
          <w:lang w:val="en-CA"/>
        </w:rPr>
        <w:t xml:space="preserve"> or</w:t>
      </w:r>
    </w:p>
    <w:p w14:paraId="4438E6DA"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55FD2504" w14:textId="2CB72B8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D270BE" w:rsidRPr="00292BA2">
        <w:rPr>
          <w:rFonts w:ascii="Arial" w:hAnsi="Arial"/>
          <w:b/>
          <w:bCs/>
          <w:lang w:val="en-CA"/>
        </w:rPr>
        <w:t>0.09</w:t>
      </w:r>
      <w:r>
        <w:rPr>
          <w:rFonts w:ascii="Arial" w:hAnsi="Arial"/>
          <w:lang w:val="en-CA"/>
        </w:rPr>
        <w:t>_______</w:t>
      </w:r>
      <w:r w:rsidR="00840B45">
        <w:rPr>
          <w:rFonts w:ascii="Arial" w:hAnsi="Arial"/>
          <w:lang w:val="en-CA"/>
        </w:rPr>
        <w:t xml:space="preserve"> or</w:t>
      </w:r>
    </w:p>
    <w:p w14:paraId="6B81F2E7"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735069B2"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6EF3D383" w14:textId="2C334405"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925DF9" w:rsidRPr="00292BA2">
        <w:rPr>
          <w:rFonts w:ascii="Arial" w:hAnsi="Arial" w:cs="Arial"/>
          <w:b/>
          <w:bCs/>
          <w:color w:val="000000"/>
          <w:szCs w:val="24"/>
          <w:lang w:val="en-CA" w:eastAsia="en-CA"/>
        </w:rPr>
        <w:t>3,</w:t>
      </w:r>
      <w:r w:rsidR="007033A5">
        <w:rPr>
          <w:rFonts w:ascii="Arial" w:hAnsi="Arial" w:cs="Arial"/>
          <w:b/>
          <w:bCs/>
          <w:color w:val="000000"/>
          <w:szCs w:val="24"/>
          <w:lang w:val="en-CA" w:eastAsia="en-CA"/>
        </w:rPr>
        <w:t>190,000</w:t>
      </w:r>
      <w:r w:rsidR="00925DF9">
        <w:rPr>
          <w:rFonts w:ascii="Calibri" w:hAnsi="Calibri" w:cs="Calibri"/>
          <w:color w:val="000000"/>
          <w:sz w:val="22"/>
          <w:szCs w:val="22"/>
          <w:lang w:val="en-CA" w:eastAsia="en-CA"/>
        </w:rPr>
        <w:t xml:space="preserve"> </w:t>
      </w:r>
      <w:r>
        <w:rPr>
          <w:rFonts w:ascii="Arial" w:hAnsi="Arial"/>
          <w:lang w:val="en-CA"/>
        </w:rPr>
        <w:t>________________</w:t>
      </w:r>
    </w:p>
    <w:p w14:paraId="1B06408D" w14:textId="77D1467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7033A5">
        <w:rPr>
          <w:rFonts w:ascii="Arial" w:hAnsi="Arial"/>
          <w:b/>
          <w:bCs/>
          <w:lang w:val="en-CA"/>
        </w:rPr>
        <w:t>22,509,252</w:t>
      </w:r>
      <w:r>
        <w:rPr>
          <w:rFonts w:ascii="Arial" w:hAnsi="Arial"/>
          <w:lang w:val="en-CA"/>
        </w:rPr>
        <w:t>____________________</w:t>
      </w:r>
    </w:p>
    <w:p w14:paraId="59E733B8" w14:textId="77777777" w:rsidR="00C10A32" w:rsidRDefault="00C10A32" w:rsidP="00C10A32">
      <w:pPr>
        <w:pStyle w:val="BodyText"/>
        <w:tabs>
          <w:tab w:val="left" w:pos="9180"/>
        </w:tabs>
        <w:spacing w:before="0" w:after="120"/>
        <w:rPr>
          <w:rFonts w:ascii="Arial" w:hAnsi="Arial"/>
          <w:b/>
          <w:lang w:val="en-CA"/>
        </w:rPr>
      </w:pPr>
    </w:p>
    <w:p w14:paraId="15B7F32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CF8332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68CF2F0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4C849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587C5F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4C33DAC"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121C340"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374C714D"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0AA364FA"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0BC6DA6E" w14:textId="77777777" w:rsidTr="007033A5">
        <w:tc>
          <w:tcPr>
            <w:tcW w:w="3652" w:type="dxa"/>
          </w:tcPr>
          <w:p w14:paraId="396581AB"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2C557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6DD76FA0"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CE22C35"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69B0B54" w14:textId="77777777" w:rsidTr="007033A5">
        <w:tc>
          <w:tcPr>
            <w:tcW w:w="3652" w:type="dxa"/>
          </w:tcPr>
          <w:p w14:paraId="66B65419" w14:textId="0AF2B74D" w:rsidR="00925DF9" w:rsidRPr="00292BA2" w:rsidRDefault="00925DF9" w:rsidP="00C536D3">
            <w:pPr>
              <w:pStyle w:val="BodyText"/>
              <w:rPr>
                <w:rFonts w:ascii="Arial" w:hAnsi="Arial"/>
                <w:b/>
                <w:bCs/>
                <w:lang w:val="en-CA"/>
              </w:rPr>
            </w:pPr>
            <w:r w:rsidRPr="00292BA2">
              <w:rPr>
                <w:rFonts w:ascii="Arial" w:hAnsi="Arial"/>
                <w:b/>
                <w:bCs/>
                <w:lang w:val="en-CA"/>
              </w:rPr>
              <w:t>British Columbia</w:t>
            </w:r>
          </w:p>
        </w:tc>
        <w:tc>
          <w:tcPr>
            <w:tcW w:w="1701" w:type="dxa"/>
          </w:tcPr>
          <w:p w14:paraId="7BC52E60" w14:textId="3CDF2994" w:rsidR="00C536D3" w:rsidRPr="00292BA2" w:rsidRDefault="007033A5" w:rsidP="00C536D3">
            <w:pPr>
              <w:pStyle w:val="BodyText"/>
              <w:rPr>
                <w:rFonts w:ascii="Arial" w:hAnsi="Arial"/>
                <w:b/>
                <w:bCs/>
                <w:lang w:val="en-CA"/>
              </w:rPr>
            </w:pPr>
            <w:r>
              <w:rPr>
                <w:rFonts w:ascii="Arial" w:hAnsi="Arial"/>
                <w:b/>
                <w:bCs/>
                <w:lang w:val="en-CA"/>
              </w:rPr>
              <w:t>7</w:t>
            </w:r>
          </w:p>
        </w:tc>
        <w:tc>
          <w:tcPr>
            <w:tcW w:w="1829" w:type="dxa"/>
          </w:tcPr>
          <w:p w14:paraId="56911D46" w14:textId="1CAB6EBA" w:rsidR="00C536D3" w:rsidRPr="00292BA2" w:rsidRDefault="00925DF9" w:rsidP="00C536D3">
            <w:pPr>
              <w:pStyle w:val="BodyText"/>
              <w:rPr>
                <w:rFonts w:ascii="Arial" w:hAnsi="Arial"/>
                <w:b/>
                <w:bCs/>
                <w:lang w:val="en-CA"/>
              </w:rPr>
            </w:pPr>
            <w:r w:rsidRPr="00292BA2">
              <w:rPr>
                <w:rFonts w:ascii="Arial" w:hAnsi="Arial"/>
                <w:b/>
                <w:bCs/>
                <w:lang w:val="en-CA"/>
              </w:rPr>
              <w:t>0.10</w:t>
            </w:r>
          </w:p>
        </w:tc>
        <w:tc>
          <w:tcPr>
            <w:tcW w:w="2394" w:type="dxa"/>
          </w:tcPr>
          <w:p w14:paraId="181CDEC6" w14:textId="5FF13A5F" w:rsidR="00C536D3" w:rsidRPr="00292BA2" w:rsidRDefault="007033A5" w:rsidP="00C536D3">
            <w:pPr>
              <w:pStyle w:val="BodyText"/>
              <w:rPr>
                <w:rFonts w:ascii="Arial" w:hAnsi="Arial"/>
                <w:b/>
                <w:bCs/>
                <w:lang w:val="en-CA"/>
              </w:rPr>
            </w:pPr>
            <w:r>
              <w:rPr>
                <w:rFonts w:ascii="Arial" w:hAnsi="Arial"/>
                <w:b/>
                <w:bCs/>
                <w:lang w:val="en-CA"/>
              </w:rPr>
              <w:t>91,500</w:t>
            </w:r>
          </w:p>
        </w:tc>
      </w:tr>
      <w:tr w:rsidR="00925DF9" w:rsidRPr="00C536D3" w14:paraId="6CFF9D49" w14:textId="77777777" w:rsidTr="007033A5">
        <w:tc>
          <w:tcPr>
            <w:tcW w:w="3652" w:type="dxa"/>
          </w:tcPr>
          <w:p w14:paraId="5CF54A7A" w14:textId="1B924BA7" w:rsidR="00925DF9" w:rsidRPr="00292BA2" w:rsidRDefault="00925DF9" w:rsidP="00C536D3">
            <w:pPr>
              <w:pStyle w:val="BodyText"/>
              <w:rPr>
                <w:rFonts w:ascii="Arial" w:hAnsi="Arial"/>
                <w:b/>
                <w:bCs/>
                <w:lang w:val="en-CA"/>
              </w:rPr>
            </w:pPr>
            <w:r w:rsidRPr="00292BA2">
              <w:rPr>
                <w:rFonts w:ascii="Arial" w:hAnsi="Arial"/>
                <w:b/>
                <w:bCs/>
                <w:lang w:val="en-CA"/>
              </w:rPr>
              <w:t>United States</w:t>
            </w:r>
          </w:p>
        </w:tc>
        <w:tc>
          <w:tcPr>
            <w:tcW w:w="1701" w:type="dxa"/>
          </w:tcPr>
          <w:p w14:paraId="49370BE0" w14:textId="2630E66B" w:rsidR="00925DF9" w:rsidRPr="00292BA2" w:rsidRDefault="00925DF9" w:rsidP="00C536D3">
            <w:pPr>
              <w:pStyle w:val="BodyText"/>
              <w:rPr>
                <w:rFonts w:ascii="Arial" w:hAnsi="Arial"/>
                <w:b/>
                <w:bCs/>
                <w:lang w:val="en-CA"/>
              </w:rPr>
            </w:pPr>
            <w:r w:rsidRPr="00292BA2">
              <w:rPr>
                <w:rFonts w:ascii="Arial" w:hAnsi="Arial"/>
                <w:b/>
                <w:bCs/>
                <w:lang w:val="en-CA"/>
              </w:rPr>
              <w:t>1</w:t>
            </w:r>
          </w:p>
        </w:tc>
        <w:tc>
          <w:tcPr>
            <w:tcW w:w="1829" w:type="dxa"/>
          </w:tcPr>
          <w:p w14:paraId="5FCF7D3F" w14:textId="1526DA2A" w:rsidR="00925DF9" w:rsidRPr="00292BA2" w:rsidRDefault="00925DF9" w:rsidP="00C536D3">
            <w:pPr>
              <w:pStyle w:val="BodyText"/>
              <w:rPr>
                <w:rFonts w:ascii="Arial" w:hAnsi="Arial"/>
                <w:b/>
                <w:bCs/>
                <w:lang w:val="en-CA"/>
              </w:rPr>
            </w:pPr>
            <w:r w:rsidRPr="00292BA2">
              <w:rPr>
                <w:rFonts w:ascii="Arial" w:hAnsi="Arial"/>
                <w:b/>
                <w:bCs/>
                <w:lang w:val="en-CA"/>
              </w:rPr>
              <w:t>0.10</w:t>
            </w:r>
          </w:p>
        </w:tc>
        <w:tc>
          <w:tcPr>
            <w:tcW w:w="2394" w:type="dxa"/>
          </w:tcPr>
          <w:p w14:paraId="3604B0CE" w14:textId="7D6B3578" w:rsidR="00925DF9" w:rsidRPr="00292BA2" w:rsidRDefault="007C360D" w:rsidP="00C536D3">
            <w:pPr>
              <w:pStyle w:val="BodyText"/>
              <w:rPr>
                <w:rFonts w:ascii="Arial" w:hAnsi="Arial"/>
                <w:b/>
                <w:bCs/>
                <w:lang w:val="en-CA"/>
              </w:rPr>
            </w:pPr>
            <w:r w:rsidRPr="00292BA2">
              <w:rPr>
                <w:rFonts w:ascii="Arial" w:hAnsi="Arial"/>
                <w:b/>
                <w:bCs/>
                <w:lang w:val="en-CA"/>
              </w:rPr>
              <w:t>175,000</w:t>
            </w:r>
          </w:p>
        </w:tc>
      </w:tr>
      <w:tr w:rsidR="00C536D3" w:rsidRPr="00C536D3" w14:paraId="7EF2B20D" w14:textId="77777777" w:rsidTr="007033A5">
        <w:tc>
          <w:tcPr>
            <w:tcW w:w="3652" w:type="dxa"/>
          </w:tcPr>
          <w:p w14:paraId="0FCA5B9B"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12913DC" w14:textId="22D6915C" w:rsidR="00C536D3" w:rsidRPr="00292BA2" w:rsidRDefault="007033A5" w:rsidP="00C536D3">
            <w:pPr>
              <w:pStyle w:val="BodyText"/>
              <w:rPr>
                <w:rFonts w:ascii="Arial" w:hAnsi="Arial"/>
                <w:b/>
                <w:bCs/>
                <w:lang w:val="en-CA"/>
              </w:rPr>
            </w:pPr>
            <w:r>
              <w:rPr>
                <w:rFonts w:ascii="Arial" w:hAnsi="Arial"/>
                <w:b/>
                <w:bCs/>
                <w:lang w:val="en-CA"/>
              </w:rPr>
              <w:t>8</w:t>
            </w:r>
          </w:p>
        </w:tc>
        <w:tc>
          <w:tcPr>
            <w:tcW w:w="1829" w:type="dxa"/>
          </w:tcPr>
          <w:p w14:paraId="7FEBD4DB" w14:textId="77777777" w:rsidR="00C536D3" w:rsidRPr="00C536D3" w:rsidRDefault="00C536D3" w:rsidP="00C536D3">
            <w:pPr>
              <w:pStyle w:val="BodyText"/>
              <w:rPr>
                <w:rFonts w:ascii="Arial" w:hAnsi="Arial"/>
                <w:lang w:val="en-CA"/>
              </w:rPr>
            </w:pPr>
          </w:p>
        </w:tc>
        <w:tc>
          <w:tcPr>
            <w:tcW w:w="2394" w:type="dxa"/>
          </w:tcPr>
          <w:p w14:paraId="1551D204" w14:textId="77777777" w:rsidR="00C536D3" w:rsidRPr="00C536D3" w:rsidRDefault="00C536D3" w:rsidP="00C536D3">
            <w:pPr>
              <w:pStyle w:val="BodyText"/>
              <w:rPr>
                <w:rFonts w:ascii="Arial" w:hAnsi="Arial"/>
                <w:lang w:val="en-CA"/>
              </w:rPr>
            </w:pPr>
          </w:p>
        </w:tc>
      </w:tr>
      <w:tr w:rsidR="00C536D3" w:rsidRPr="00C536D3" w14:paraId="0EE787A7" w14:textId="77777777" w:rsidTr="007033A5">
        <w:tc>
          <w:tcPr>
            <w:tcW w:w="7182" w:type="dxa"/>
            <w:gridSpan w:val="3"/>
          </w:tcPr>
          <w:p w14:paraId="3FA58B51"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CDE8029" w14:textId="07E88876" w:rsidR="00C536D3" w:rsidRPr="00292BA2" w:rsidRDefault="007033A5" w:rsidP="00C536D3">
            <w:pPr>
              <w:pStyle w:val="BodyText"/>
              <w:rPr>
                <w:rFonts w:ascii="Arial" w:hAnsi="Arial"/>
                <w:b/>
                <w:bCs/>
                <w:lang w:val="en-CA"/>
              </w:rPr>
            </w:pPr>
            <w:r>
              <w:rPr>
                <w:rFonts w:ascii="Arial" w:hAnsi="Arial"/>
                <w:b/>
                <w:bCs/>
                <w:lang w:val="en-CA"/>
              </w:rPr>
              <w:t>266,500</w:t>
            </w:r>
          </w:p>
        </w:tc>
      </w:tr>
    </w:tbl>
    <w:p w14:paraId="634BD494" w14:textId="77777777" w:rsidR="00C536D3" w:rsidRPr="00C536D3" w:rsidRDefault="00C536D3" w:rsidP="00C536D3">
      <w:pPr>
        <w:pStyle w:val="BodyText"/>
        <w:rPr>
          <w:rFonts w:ascii="Arial" w:hAnsi="Arial"/>
          <w:b/>
          <w:u w:val="single"/>
          <w:lang w:val="en-CA"/>
        </w:rPr>
      </w:pPr>
    </w:p>
    <w:p w14:paraId="6F27137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4922DD67"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73DD9032" w14:textId="77777777">
        <w:trPr>
          <w:trHeight w:val="1965"/>
        </w:trPr>
        <w:tc>
          <w:tcPr>
            <w:tcW w:w="1368" w:type="dxa"/>
          </w:tcPr>
          <w:p w14:paraId="5994872B" w14:textId="77777777" w:rsidR="00EA4133" w:rsidRDefault="00EA4133">
            <w:pPr>
              <w:pStyle w:val="BodyText"/>
              <w:spacing w:before="0" w:line="280" w:lineRule="exact"/>
              <w:jc w:val="center"/>
              <w:rPr>
                <w:rFonts w:ascii="Arial" w:hAnsi="Arial"/>
                <w:b/>
                <w:sz w:val="20"/>
                <w:lang w:val="en-CA"/>
              </w:rPr>
            </w:pPr>
          </w:p>
          <w:p w14:paraId="321252CA"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03FEE4E1" w14:textId="77777777" w:rsidR="00EA4133" w:rsidRDefault="00EA4133">
            <w:pPr>
              <w:pStyle w:val="BodyText"/>
              <w:spacing w:before="0" w:line="280" w:lineRule="exact"/>
              <w:jc w:val="center"/>
              <w:rPr>
                <w:rFonts w:ascii="Arial" w:hAnsi="Arial"/>
                <w:b/>
                <w:sz w:val="20"/>
                <w:lang w:val="en-CA"/>
              </w:rPr>
            </w:pPr>
          </w:p>
          <w:p w14:paraId="649F48E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4DBBC1F8" w14:textId="77777777" w:rsidR="00EA4133" w:rsidRDefault="00EA4133">
            <w:pPr>
              <w:pStyle w:val="BodyText"/>
              <w:spacing w:before="0" w:line="280" w:lineRule="exact"/>
              <w:jc w:val="center"/>
              <w:rPr>
                <w:rFonts w:ascii="Arial" w:hAnsi="Arial"/>
                <w:b/>
                <w:sz w:val="20"/>
                <w:lang w:val="en-CA"/>
              </w:rPr>
            </w:pPr>
          </w:p>
          <w:p w14:paraId="370D25F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0E75D9D6" w14:textId="77777777" w:rsidR="00EA4133" w:rsidRDefault="00EA4133">
            <w:pPr>
              <w:pStyle w:val="BodyText"/>
              <w:spacing w:before="0" w:line="280" w:lineRule="exact"/>
              <w:jc w:val="center"/>
              <w:rPr>
                <w:rFonts w:ascii="Arial" w:hAnsi="Arial"/>
                <w:b/>
                <w:sz w:val="20"/>
                <w:lang w:val="en-CA"/>
              </w:rPr>
            </w:pPr>
          </w:p>
          <w:p w14:paraId="5A32923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11F95D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3C4B88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CE878FF"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7D76B9EE" w14:textId="77777777" w:rsidR="00EA4133" w:rsidRDefault="00EA4133">
            <w:pPr>
              <w:pStyle w:val="BodyText"/>
              <w:spacing w:before="0" w:line="280" w:lineRule="exact"/>
              <w:jc w:val="center"/>
              <w:rPr>
                <w:rFonts w:ascii="Arial" w:hAnsi="Arial"/>
                <w:b/>
                <w:sz w:val="20"/>
                <w:lang w:val="en-CA"/>
              </w:rPr>
            </w:pPr>
          </w:p>
          <w:p w14:paraId="4EC7E3D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657D4743" w14:textId="77777777" w:rsidR="00C536D3" w:rsidRDefault="00C536D3" w:rsidP="00C536D3">
            <w:pPr>
              <w:pStyle w:val="BodyText"/>
              <w:spacing w:before="0" w:line="280" w:lineRule="exact"/>
              <w:jc w:val="center"/>
              <w:rPr>
                <w:rFonts w:ascii="Arial" w:hAnsi="Arial"/>
                <w:b/>
                <w:sz w:val="20"/>
              </w:rPr>
            </w:pPr>
          </w:p>
          <w:p w14:paraId="1223B51A"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7EE75F2A" w14:textId="77777777" w:rsidR="00EA4133" w:rsidRDefault="00EA4133">
            <w:pPr>
              <w:pStyle w:val="BodyText"/>
              <w:spacing w:before="0" w:line="280" w:lineRule="exact"/>
              <w:jc w:val="center"/>
              <w:rPr>
                <w:rFonts w:ascii="Arial" w:hAnsi="Arial"/>
                <w:b/>
                <w:sz w:val="20"/>
                <w:lang w:val="en-CA"/>
              </w:rPr>
            </w:pPr>
          </w:p>
          <w:p w14:paraId="0D3ABB5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21325785" w14:textId="77777777" w:rsidR="00EA4133" w:rsidRDefault="00EA4133">
            <w:pPr>
              <w:pStyle w:val="BodyText"/>
              <w:spacing w:before="0" w:line="280" w:lineRule="exact"/>
              <w:jc w:val="center"/>
              <w:rPr>
                <w:rFonts w:ascii="Arial" w:hAnsi="Arial"/>
                <w:b/>
                <w:color w:val="000000"/>
                <w:sz w:val="20"/>
                <w:lang w:val="en-CA"/>
              </w:rPr>
            </w:pPr>
          </w:p>
          <w:p w14:paraId="23544B6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C4364C1" w14:textId="77777777">
        <w:trPr>
          <w:trHeight w:val="864"/>
        </w:trPr>
        <w:tc>
          <w:tcPr>
            <w:tcW w:w="1368" w:type="dxa"/>
          </w:tcPr>
          <w:p w14:paraId="15F1CFF1" w14:textId="271D9981" w:rsidR="00A90670" w:rsidRPr="00A90670" w:rsidRDefault="007C360D">
            <w:pPr>
              <w:pStyle w:val="BodyText"/>
              <w:spacing w:before="0" w:line="280" w:lineRule="exact"/>
              <w:jc w:val="center"/>
              <w:rPr>
                <w:rFonts w:ascii="Arial" w:hAnsi="Arial"/>
                <w:sz w:val="20"/>
                <w:lang w:val="en-CA"/>
              </w:rPr>
            </w:pPr>
            <w:r>
              <w:rPr>
                <w:rFonts w:ascii="Arial" w:hAnsi="Arial"/>
                <w:sz w:val="20"/>
                <w:lang w:val="en-CA"/>
              </w:rPr>
              <w:t>Nil</w:t>
            </w:r>
          </w:p>
        </w:tc>
        <w:tc>
          <w:tcPr>
            <w:tcW w:w="1350" w:type="dxa"/>
          </w:tcPr>
          <w:p w14:paraId="78C31B1A" w14:textId="0DFA7653" w:rsidR="00A90670" w:rsidRDefault="007C360D">
            <w:pPr>
              <w:pStyle w:val="BodyText"/>
              <w:spacing w:before="0" w:line="280" w:lineRule="exact"/>
              <w:jc w:val="center"/>
              <w:rPr>
                <w:rFonts w:ascii="Arial" w:hAnsi="Arial"/>
                <w:b/>
                <w:sz w:val="20"/>
                <w:lang w:val="en-CA"/>
              </w:rPr>
            </w:pPr>
            <w:r>
              <w:rPr>
                <w:rFonts w:ascii="Arial" w:hAnsi="Arial"/>
                <w:b/>
                <w:sz w:val="20"/>
                <w:lang w:val="en-CA"/>
              </w:rPr>
              <w:t>Nil</w:t>
            </w:r>
          </w:p>
        </w:tc>
        <w:tc>
          <w:tcPr>
            <w:tcW w:w="1170" w:type="dxa"/>
          </w:tcPr>
          <w:p w14:paraId="6FF3AA61" w14:textId="68565FC3" w:rsidR="00A90670" w:rsidRDefault="007C360D">
            <w:pPr>
              <w:pStyle w:val="BodyText"/>
              <w:spacing w:before="0" w:line="280" w:lineRule="exact"/>
              <w:jc w:val="center"/>
              <w:rPr>
                <w:rFonts w:ascii="Arial" w:hAnsi="Arial"/>
                <w:b/>
                <w:sz w:val="20"/>
                <w:lang w:val="en-CA"/>
              </w:rPr>
            </w:pPr>
            <w:r>
              <w:rPr>
                <w:rFonts w:ascii="Arial" w:hAnsi="Arial"/>
                <w:b/>
                <w:sz w:val="20"/>
                <w:lang w:val="en-CA"/>
              </w:rPr>
              <w:t>Nil</w:t>
            </w:r>
          </w:p>
        </w:tc>
        <w:tc>
          <w:tcPr>
            <w:tcW w:w="1350" w:type="dxa"/>
          </w:tcPr>
          <w:p w14:paraId="71DC47D7" w14:textId="096A43CC" w:rsidR="00A90670" w:rsidRDefault="007C360D">
            <w:pPr>
              <w:pStyle w:val="BodyText"/>
              <w:spacing w:before="0" w:line="280" w:lineRule="exact"/>
              <w:jc w:val="center"/>
              <w:rPr>
                <w:rFonts w:ascii="Arial" w:hAnsi="Arial"/>
                <w:b/>
                <w:sz w:val="20"/>
                <w:lang w:val="en-CA"/>
              </w:rPr>
            </w:pPr>
            <w:r>
              <w:rPr>
                <w:rFonts w:ascii="Arial" w:hAnsi="Arial"/>
                <w:b/>
                <w:sz w:val="20"/>
                <w:lang w:val="en-CA"/>
              </w:rPr>
              <w:t>Nil</w:t>
            </w:r>
          </w:p>
        </w:tc>
        <w:tc>
          <w:tcPr>
            <w:tcW w:w="1350" w:type="dxa"/>
          </w:tcPr>
          <w:p w14:paraId="2ABD0602" w14:textId="5E390017" w:rsidR="00A90670" w:rsidRDefault="007C360D">
            <w:pPr>
              <w:pStyle w:val="BodyText"/>
              <w:spacing w:before="0" w:line="280" w:lineRule="exact"/>
              <w:jc w:val="center"/>
              <w:rPr>
                <w:rFonts w:ascii="Arial" w:hAnsi="Arial"/>
                <w:b/>
                <w:sz w:val="20"/>
                <w:lang w:val="en-CA"/>
              </w:rPr>
            </w:pPr>
            <w:r>
              <w:rPr>
                <w:rFonts w:ascii="Arial" w:hAnsi="Arial"/>
                <w:b/>
                <w:sz w:val="20"/>
                <w:lang w:val="en-CA"/>
              </w:rPr>
              <w:t>Nil</w:t>
            </w:r>
          </w:p>
        </w:tc>
        <w:tc>
          <w:tcPr>
            <w:tcW w:w="1710" w:type="dxa"/>
          </w:tcPr>
          <w:p w14:paraId="309C3ACB" w14:textId="69633648" w:rsidR="00A90670" w:rsidRDefault="007C360D">
            <w:pPr>
              <w:pStyle w:val="BodyText"/>
              <w:spacing w:before="0" w:line="280" w:lineRule="exact"/>
              <w:jc w:val="center"/>
              <w:rPr>
                <w:rFonts w:ascii="Arial" w:hAnsi="Arial"/>
                <w:b/>
                <w:sz w:val="20"/>
              </w:rPr>
            </w:pPr>
            <w:r>
              <w:rPr>
                <w:rFonts w:ascii="Arial" w:hAnsi="Arial"/>
                <w:b/>
                <w:sz w:val="20"/>
              </w:rPr>
              <w:t>Nil</w:t>
            </w:r>
          </w:p>
        </w:tc>
        <w:tc>
          <w:tcPr>
            <w:tcW w:w="1080" w:type="dxa"/>
          </w:tcPr>
          <w:p w14:paraId="74883CD5" w14:textId="748E6488" w:rsidR="00A90670" w:rsidRDefault="007C360D">
            <w:pPr>
              <w:pStyle w:val="BodyText"/>
              <w:spacing w:before="0" w:line="280" w:lineRule="exact"/>
              <w:jc w:val="center"/>
              <w:rPr>
                <w:rFonts w:ascii="Arial" w:hAnsi="Arial"/>
                <w:b/>
                <w:sz w:val="20"/>
                <w:lang w:val="en-CA"/>
              </w:rPr>
            </w:pPr>
            <w:r>
              <w:rPr>
                <w:rFonts w:ascii="Arial" w:hAnsi="Arial"/>
                <w:b/>
                <w:sz w:val="20"/>
                <w:lang w:val="en-CA"/>
              </w:rPr>
              <w:t>Nil</w:t>
            </w:r>
          </w:p>
        </w:tc>
        <w:tc>
          <w:tcPr>
            <w:tcW w:w="1080" w:type="dxa"/>
          </w:tcPr>
          <w:p w14:paraId="2992B556" w14:textId="24A9747E" w:rsidR="00A90670" w:rsidRDefault="007C360D">
            <w:pPr>
              <w:pStyle w:val="BodyText"/>
              <w:spacing w:before="0" w:line="280" w:lineRule="exact"/>
              <w:jc w:val="center"/>
              <w:rPr>
                <w:rFonts w:ascii="Arial" w:hAnsi="Arial"/>
                <w:b/>
                <w:color w:val="000000"/>
                <w:sz w:val="20"/>
                <w:lang w:val="en-CA"/>
              </w:rPr>
            </w:pPr>
            <w:r>
              <w:rPr>
                <w:rFonts w:ascii="Arial" w:hAnsi="Arial"/>
                <w:b/>
                <w:color w:val="000000"/>
                <w:sz w:val="20"/>
                <w:lang w:val="en-CA"/>
              </w:rPr>
              <w:t>Nil</w:t>
            </w:r>
          </w:p>
        </w:tc>
      </w:tr>
      <w:tr w:rsidR="00A90670" w14:paraId="02AC6C61" w14:textId="77777777">
        <w:trPr>
          <w:trHeight w:val="864"/>
        </w:trPr>
        <w:tc>
          <w:tcPr>
            <w:tcW w:w="1368" w:type="dxa"/>
          </w:tcPr>
          <w:p w14:paraId="407D2903" w14:textId="77777777" w:rsidR="00A90670" w:rsidRDefault="00A90670">
            <w:pPr>
              <w:pStyle w:val="BodyText"/>
              <w:rPr>
                <w:rFonts w:ascii="Arial" w:hAnsi="Arial"/>
                <w:lang w:val="en-CA"/>
              </w:rPr>
            </w:pPr>
          </w:p>
          <w:p w14:paraId="1C9B3D52" w14:textId="77777777" w:rsidR="00A90670" w:rsidRDefault="00A90670">
            <w:pPr>
              <w:pStyle w:val="BodyText"/>
              <w:rPr>
                <w:rFonts w:ascii="Arial" w:hAnsi="Arial"/>
                <w:lang w:val="en-CA"/>
              </w:rPr>
            </w:pPr>
          </w:p>
        </w:tc>
        <w:tc>
          <w:tcPr>
            <w:tcW w:w="1350" w:type="dxa"/>
          </w:tcPr>
          <w:p w14:paraId="0A8C357B" w14:textId="77777777" w:rsidR="00A90670" w:rsidRDefault="00A90670">
            <w:pPr>
              <w:pStyle w:val="BodyText"/>
              <w:rPr>
                <w:rFonts w:ascii="Arial" w:hAnsi="Arial"/>
                <w:lang w:val="en-CA"/>
              </w:rPr>
            </w:pPr>
          </w:p>
        </w:tc>
        <w:tc>
          <w:tcPr>
            <w:tcW w:w="1170" w:type="dxa"/>
          </w:tcPr>
          <w:p w14:paraId="3FEC561F" w14:textId="77777777" w:rsidR="00A90670" w:rsidRDefault="00A90670">
            <w:pPr>
              <w:pStyle w:val="BodyText"/>
              <w:rPr>
                <w:rFonts w:ascii="Arial" w:hAnsi="Arial"/>
                <w:lang w:val="en-CA"/>
              </w:rPr>
            </w:pPr>
          </w:p>
        </w:tc>
        <w:tc>
          <w:tcPr>
            <w:tcW w:w="1350" w:type="dxa"/>
          </w:tcPr>
          <w:p w14:paraId="68B0C411" w14:textId="77777777" w:rsidR="00A90670" w:rsidRDefault="00A90670">
            <w:pPr>
              <w:pStyle w:val="BodyText"/>
              <w:rPr>
                <w:rFonts w:ascii="Arial" w:hAnsi="Arial"/>
                <w:lang w:val="en-CA"/>
              </w:rPr>
            </w:pPr>
          </w:p>
        </w:tc>
        <w:tc>
          <w:tcPr>
            <w:tcW w:w="1350" w:type="dxa"/>
          </w:tcPr>
          <w:p w14:paraId="605EB417" w14:textId="77777777" w:rsidR="00A90670" w:rsidRDefault="00A90670">
            <w:pPr>
              <w:pStyle w:val="BodyText"/>
              <w:rPr>
                <w:rFonts w:ascii="Arial" w:hAnsi="Arial"/>
                <w:lang w:val="en-CA"/>
              </w:rPr>
            </w:pPr>
          </w:p>
        </w:tc>
        <w:tc>
          <w:tcPr>
            <w:tcW w:w="1710" w:type="dxa"/>
          </w:tcPr>
          <w:p w14:paraId="2C2FB01F" w14:textId="77777777" w:rsidR="00A90670" w:rsidRDefault="00A90670">
            <w:pPr>
              <w:pStyle w:val="BodyText"/>
              <w:rPr>
                <w:rFonts w:ascii="Arial" w:hAnsi="Arial"/>
                <w:lang w:val="en-CA"/>
              </w:rPr>
            </w:pPr>
          </w:p>
        </w:tc>
        <w:tc>
          <w:tcPr>
            <w:tcW w:w="1080" w:type="dxa"/>
          </w:tcPr>
          <w:p w14:paraId="3C845FF7" w14:textId="77777777" w:rsidR="00A90670" w:rsidRDefault="00A90670">
            <w:pPr>
              <w:pStyle w:val="BodyText"/>
              <w:rPr>
                <w:rFonts w:ascii="Arial" w:hAnsi="Arial"/>
                <w:lang w:val="en-CA"/>
              </w:rPr>
            </w:pPr>
          </w:p>
        </w:tc>
        <w:tc>
          <w:tcPr>
            <w:tcW w:w="1080" w:type="dxa"/>
          </w:tcPr>
          <w:p w14:paraId="3D62643E" w14:textId="77777777" w:rsidR="00A90670" w:rsidRDefault="00A90670">
            <w:pPr>
              <w:pStyle w:val="BodyText"/>
              <w:rPr>
                <w:rFonts w:ascii="Arial" w:hAnsi="Arial"/>
                <w:lang w:val="en-CA"/>
              </w:rPr>
            </w:pPr>
          </w:p>
        </w:tc>
      </w:tr>
      <w:tr w:rsidR="00A90670" w14:paraId="0374386D" w14:textId="77777777">
        <w:trPr>
          <w:trHeight w:val="864"/>
        </w:trPr>
        <w:tc>
          <w:tcPr>
            <w:tcW w:w="1368" w:type="dxa"/>
          </w:tcPr>
          <w:p w14:paraId="2BC66E27" w14:textId="77777777" w:rsidR="00A90670" w:rsidRDefault="00A90670">
            <w:pPr>
              <w:pStyle w:val="BodyText"/>
              <w:rPr>
                <w:rFonts w:ascii="Arial" w:hAnsi="Arial"/>
                <w:lang w:val="en-CA"/>
              </w:rPr>
            </w:pPr>
          </w:p>
        </w:tc>
        <w:tc>
          <w:tcPr>
            <w:tcW w:w="1350" w:type="dxa"/>
          </w:tcPr>
          <w:p w14:paraId="767C8863" w14:textId="77777777" w:rsidR="00A90670" w:rsidRDefault="00A90670">
            <w:pPr>
              <w:pStyle w:val="BodyText"/>
              <w:rPr>
                <w:rFonts w:ascii="Arial" w:hAnsi="Arial"/>
                <w:lang w:val="en-CA"/>
              </w:rPr>
            </w:pPr>
          </w:p>
        </w:tc>
        <w:tc>
          <w:tcPr>
            <w:tcW w:w="1170" w:type="dxa"/>
          </w:tcPr>
          <w:p w14:paraId="228933FB" w14:textId="77777777" w:rsidR="00A90670" w:rsidRDefault="00A90670">
            <w:pPr>
              <w:pStyle w:val="BodyText"/>
              <w:rPr>
                <w:rFonts w:ascii="Arial" w:hAnsi="Arial"/>
                <w:lang w:val="en-CA"/>
              </w:rPr>
            </w:pPr>
          </w:p>
        </w:tc>
        <w:tc>
          <w:tcPr>
            <w:tcW w:w="1350" w:type="dxa"/>
          </w:tcPr>
          <w:p w14:paraId="049BDAF6" w14:textId="77777777" w:rsidR="00A90670" w:rsidRDefault="00A90670">
            <w:pPr>
              <w:pStyle w:val="BodyText"/>
              <w:rPr>
                <w:rFonts w:ascii="Arial" w:hAnsi="Arial"/>
                <w:lang w:val="en-CA"/>
              </w:rPr>
            </w:pPr>
          </w:p>
        </w:tc>
        <w:tc>
          <w:tcPr>
            <w:tcW w:w="1350" w:type="dxa"/>
          </w:tcPr>
          <w:p w14:paraId="6A2BBA60" w14:textId="77777777" w:rsidR="00A90670" w:rsidRDefault="00A90670">
            <w:pPr>
              <w:pStyle w:val="BodyText"/>
              <w:rPr>
                <w:rFonts w:ascii="Arial" w:hAnsi="Arial"/>
                <w:lang w:val="en-CA"/>
              </w:rPr>
            </w:pPr>
          </w:p>
        </w:tc>
        <w:tc>
          <w:tcPr>
            <w:tcW w:w="1710" w:type="dxa"/>
          </w:tcPr>
          <w:p w14:paraId="2A99D8C2" w14:textId="77777777" w:rsidR="00A90670" w:rsidRDefault="00A90670">
            <w:pPr>
              <w:pStyle w:val="BodyText"/>
              <w:rPr>
                <w:rFonts w:ascii="Arial" w:hAnsi="Arial"/>
                <w:lang w:val="en-CA"/>
              </w:rPr>
            </w:pPr>
          </w:p>
        </w:tc>
        <w:tc>
          <w:tcPr>
            <w:tcW w:w="1080" w:type="dxa"/>
          </w:tcPr>
          <w:p w14:paraId="6B1D42D2" w14:textId="77777777" w:rsidR="00A90670" w:rsidRDefault="00A90670">
            <w:pPr>
              <w:pStyle w:val="BodyText"/>
              <w:rPr>
                <w:rFonts w:ascii="Arial" w:hAnsi="Arial"/>
                <w:lang w:val="en-CA"/>
              </w:rPr>
            </w:pPr>
          </w:p>
        </w:tc>
        <w:tc>
          <w:tcPr>
            <w:tcW w:w="1080" w:type="dxa"/>
          </w:tcPr>
          <w:p w14:paraId="5C9962E8" w14:textId="77777777" w:rsidR="00A90670" w:rsidRDefault="00A90670">
            <w:pPr>
              <w:pStyle w:val="BodyText"/>
              <w:rPr>
                <w:rFonts w:ascii="Arial" w:hAnsi="Arial"/>
                <w:lang w:val="en-CA"/>
              </w:rPr>
            </w:pPr>
          </w:p>
        </w:tc>
      </w:tr>
    </w:tbl>
    <w:p w14:paraId="1CA54E6B" w14:textId="77777777" w:rsidR="00EA4133" w:rsidRPr="008003B9" w:rsidRDefault="00EA4133">
      <w:pPr>
        <w:pStyle w:val="BodyText"/>
        <w:rPr>
          <w:rFonts w:ascii="Arial" w:hAnsi="Arial" w:cs="Arial"/>
          <w:sz w:val="20"/>
        </w:rPr>
      </w:pPr>
    </w:p>
    <w:p w14:paraId="0CBE27C8"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608CD04" w14:textId="5DFBAD3A"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C027AE" w:rsidRPr="00292BA2">
        <w:rPr>
          <w:rFonts w:ascii="Arial" w:hAnsi="Arial"/>
          <w:b/>
          <w:bCs/>
        </w:rPr>
        <w:t>$</w:t>
      </w:r>
      <w:r w:rsidR="007033A5">
        <w:rPr>
          <w:rFonts w:ascii="Arial" w:hAnsi="Arial"/>
          <w:b/>
          <w:bCs/>
        </w:rPr>
        <w:t>266,5</w:t>
      </w:r>
      <w:r w:rsidR="00D270BE" w:rsidRPr="00292BA2">
        <w:rPr>
          <w:rFonts w:ascii="Arial" w:hAnsi="Arial"/>
          <w:b/>
          <w:bCs/>
        </w:rPr>
        <w:t>00</w:t>
      </w:r>
      <w:r>
        <w:rPr>
          <w:rFonts w:ascii="Arial" w:hAnsi="Arial"/>
          <w:u w:val="single"/>
        </w:rPr>
        <w:tab/>
      </w:r>
      <w:r>
        <w:rPr>
          <w:rFonts w:ascii="Arial" w:hAnsi="Arial"/>
        </w:rPr>
        <w:t xml:space="preserve"> .</w:t>
      </w:r>
    </w:p>
    <w:p w14:paraId="4AADF67B" w14:textId="6D50782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w:t>
      </w:r>
      <w:r>
        <w:rPr>
          <w:rFonts w:ascii="Arial" w:hAnsi="Arial"/>
        </w:rPr>
        <w:lastRenderedPageBreak/>
        <w:t xml:space="preserve">transaction without reference to any other material.  </w:t>
      </w:r>
      <w:r w:rsidR="007033A5">
        <w:rPr>
          <w:rFonts w:ascii="Arial" w:hAnsi="Arial"/>
        </w:rPr>
        <w:t xml:space="preserve">Mineral </w:t>
      </w:r>
      <w:r w:rsidR="009E2563">
        <w:rPr>
          <w:rFonts w:ascii="Arial" w:hAnsi="Arial"/>
        </w:rPr>
        <w:t>exploration, general working capital</w:t>
      </w:r>
      <w:r>
        <w:rPr>
          <w:rFonts w:ascii="Arial" w:hAnsi="Arial"/>
          <w:u w:val="single"/>
        </w:rPr>
        <w:tab/>
      </w:r>
      <w:r>
        <w:rPr>
          <w:rFonts w:ascii="Arial" w:hAnsi="Arial"/>
        </w:rPr>
        <w:t xml:space="preserve"> .</w:t>
      </w:r>
    </w:p>
    <w:p w14:paraId="0ED5B968" w14:textId="1921EC63"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EA4371">
        <w:rPr>
          <w:rFonts w:ascii="Arial" w:hAnsi="Arial"/>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83693C3" w14:textId="431E51A6"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D2F3347" w14:textId="736005F0" w:rsidR="007033A5" w:rsidRPr="007033A5" w:rsidRDefault="007033A5" w:rsidP="007033A5">
      <w:pPr>
        <w:pStyle w:val="BodyText"/>
        <w:tabs>
          <w:tab w:val="left" w:pos="9180"/>
        </w:tabs>
        <w:ind w:left="1080"/>
        <w:rPr>
          <w:rFonts w:ascii="Arial" w:hAnsi="Arial"/>
          <w:b/>
          <w:bCs/>
        </w:rPr>
      </w:pPr>
      <w:r w:rsidRPr="007033A5">
        <w:rPr>
          <w:rFonts w:ascii="Arial" w:hAnsi="Arial"/>
          <w:b/>
          <w:bCs/>
        </w:rPr>
        <w:t>Attached</w:t>
      </w:r>
    </w:p>
    <w:p w14:paraId="20CF768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2031F50" w14:textId="169E8162"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292BA2">
        <w:rPr>
          <w:rFonts w:ascii="Arial" w:hAnsi="Arial"/>
          <w:b/>
          <w:bCs/>
        </w:rPr>
        <w:t>C</w:t>
      </w:r>
      <w:r w:rsidR="00D270BE" w:rsidRPr="00292BA2">
        <w:rPr>
          <w:rFonts w:ascii="Arial" w:hAnsi="Arial"/>
          <w:b/>
          <w:bCs/>
        </w:rPr>
        <w:t>ommon</w:t>
      </w:r>
      <w:r>
        <w:rPr>
          <w:rFonts w:ascii="Arial" w:hAnsi="Arial"/>
          <w:u w:val="single"/>
        </w:rPr>
        <w:tab/>
      </w:r>
      <w:r>
        <w:rPr>
          <w:rFonts w:ascii="Arial" w:hAnsi="Arial"/>
        </w:rPr>
        <w:t xml:space="preserve"> .</w:t>
      </w:r>
    </w:p>
    <w:p w14:paraId="5CD52D15" w14:textId="45A9269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7033A5">
        <w:rPr>
          <w:rFonts w:ascii="Arial" w:hAnsi="Arial"/>
          <w:b/>
          <w:bCs/>
        </w:rPr>
        <w:t xml:space="preserve"> 2,665,000</w:t>
      </w:r>
      <w:r>
        <w:rPr>
          <w:rFonts w:ascii="Arial" w:hAnsi="Arial"/>
          <w:u w:val="single"/>
        </w:rPr>
        <w:tab/>
      </w:r>
      <w:r>
        <w:rPr>
          <w:rFonts w:ascii="Arial" w:hAnsi="Arial"/>
        </w:rPr>
        <w:t xml:space="preserve"> .</w:t>
      </w:r>
    </w:p>
    <w:p w14:paraId="792F637B" w14:textId="053A4447" w:rsidR="00EA4133" w:rsidRDefault="00EA4133" w:rsidP="00AD3710">
      <w:pPr>
        <w:pStyle w:val="BodyText"/>
        <w:tabs>
          <w:tab w:val="left" w:pos="1080"/>
          <w:tab w:val="left" w:pos="1440"/>
          <w:tab w:val="left" w:pos="2160"/>
          <w:tab w:val="left" w:pos="9180"/>
        </w:tabs>
        <w:ind w:left="720" w:hanging="720"/>
        <w:rPr>
          <w:rFonts w:ascii="Arial" w:hAnsi="Arial"/>
        </w:rPr>
      </w:pPr>
      <w:r>
        <w:rPr>
          <w:rFonts w:ascii="Arial" w:hAnsi="Arial"/>
        </w:rPr>
        <w:tab/>
        <w:t>(c)</w:t>
      </w:r>
      <w:r>
        <w:rPr>
          <w:rFonts w:ascii="Arial" w:hAnsi="Arial"/>
        </w:rPr>
        <w:tab/>
      </w:r>
      <w:r>
        <w:rPr>
          <w:rFonts w:ascii="Arial" w:hAnsi="Arial"/>
        </w:rPr>
        <w:tab/>
        <w:t xml:space="preserve">Price per security </w:t>
      </w:r>
      <w:r w:rsidR="00D270BE" w:rsidRPr="00292BA2">
        <w:rPr>
          <w:rFonts w:ascii="Arial" w:hAnsi="Arial"/>
          <w:b/>
          <w:bCs/>
        </w:rPr>
        <w:t>$0.10</w:t>
      </w:r>
      <w:r>
        <w:rPr>
          <w:rFonts w:ascii="Arial" w:hAnsi="Arial"/>
        </w:rPr>
        <w:t>.</w:t>
      </w:r>
    </w:p>
    <w:p w14:paraId="2A085242" w14:textId="0595D0D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270BE" w:rsidRPr="00292BA2">
        <w:rPr>
          <w:rFonts w:ascii="Arial" w:hAnsi="Arial"/>
          <w:b/>
          <w:bCs/>
        </w:rPr>
        <w:t>yes</w:t>
      </w:r>
      <w:r>
        <w:rPr>
          <w:rFonts w:ascii="Arial" w:hAnsi="Arial"/>
          <w:u w:val="single"/>
        </w:rPr>
        <w:tab/>
      </w:r>
    </w:p>
    <w:p w14:paraId="1C486919"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20F4A3A0" w14:textId="7DFCC7FE"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C360D" w:rsidRPr="00292BA2">
        <w:rPr>
          <w:rFonts w:ascii="Arial" w:hAnsi="Arial"/>
          <w:b/>
          <w:bCs/>
        </w:rPr>
        <w:t>Nil</w:t>
      </w:r>
      <w:r>
        <w:rPr>
          <w:rFonts w:ascii="Arial" w:hAnsi="Arial"/>
          <w:u w:val="single"/>
        </w:rPr>
        <w:tab/>
      </w:r>
      <w:r>
        <w:rPr>
          <w:rFonts w:ascii="Arial" w:hAnsi="Arial"/>
        </w:rPr>
        <w:t xml:space="preserve"> .</w:t>
      </w:r>
    </w:p>
    <w:p w14:paraId="6435E5CC" w14:textId="71E0D630"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C360D" w:rsidRPr="00292BA2">
        <w:rPr>
          <w:rFonts w:ascii="Arial" w:hAnsi="Arial"/>
          <w:b/>
          <w:bCs/>
        </w:rPr>
        <w:t>Ni</w:t>
      </w:r>
      <w:r w:rsidR="007C360D">
        <w:rPr>
          <w:rFonts w:ascii="Arial" w:hAnsi="Arial"/>
        </w:rPr>
        <w:t>l</w:t>
      </w:r>
      <w:r>
        <w:rPr>
          <w:rFonts w:ascii="Arial" w:hAnsi="Arial"/>
          <w:u w:val="single"/>
        </w:rPr>
        <w:tab/>
      </w:r>
    </w:p>
    <w:p w14:paraId="02BDB78D"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3375A0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3D8605DB"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99B7354"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BA45660" w14:textId="1F4562C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7C360D" w:rsidRPr="00292BA2">
        <w:rPr>
          <w:rFonts w:ascii="Arial" w:hAnsi="Arial"/>
          <w:b/>
          <w:bCs/>
        </w:rPr>
        <w:t>Nil</w:t>
      </w:r>
      <w:r>
        <w:rPr>
          <w:rFonts w:ascii="Arial" w:hAnsi="Arial"/>
          <w:u w:val="single"/>
        </w:rPr>
        <w:tab/>
      </w:r>
      <w:r>
        <w:rPr>
          <w:rFonts w:ascii="Arial" w:hAnsi="Arial"/>
        </w:rPr>
        <w:t xml:space="preserve"> .</w:t>
      </w:r>
    </w:p>
    <w:p w14:paraId="2A927A31"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5066710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050C1C5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3CA767C1" w14:textId="77777777" w:rsidR="00A00C54" w:rsidRDefault="00A00C54">
      <w:pPr>
        <w:pStyle w:val="BodyText"/>
        <w:tabs>
          <w:tab w:val="left" w:pos="1080"/>
          <w:tab w:val="left" w:pos="1440"/>
          <w:tab w:val="left" w:pos="2160"/>
          <w:tab w:val="left" w:pos="9180"/>
        </w:tabs>
        <w:rPr>
          <w:rFonts w:ascii="Arial" w:hAnsi="Arial"/>
        </w:rPr>
      </w:pPr>
    </w:p>
    <w:p w14:paraId="7D443B8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3DAC2014"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0F57731D" w14:textId="0380178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292BA2">
        <w:rPr>
          <w:rFonts w:ascii="Arial" w:hAnsi="Arial"/>
        </w:rPr>
        <w:t xml:space="preserve"> </w:t>
      </w:r>
      <w:r w:rsidR="00292BA2" w:rsidRPr="00292BA2">
        <w:rPr>
          <w:rFonts w:ascii="Arial" w:hAnsi="Arial"/>
          <w:b/>
          <w:bCs/>
        </w:rPr>
        <w:t>Canaccord Genuity Corp., PI Financial Corp., Lepp Chin</w:t>
      </w:r>
      <w:r>
        <w:rPr>
          <w:rFonts w:ascii="Arial" w:hAnsi="Arial"/>
          <w:u w:val="single"/>
        </w:rPr>
        <w:tab/>
      </w:r>
      <w:r>
        <w:rPr>
          <w:rFonts w:ascii="Arial" w:hAnsi="Arial"/>
        </w:rPr>
        <w:t xml:space="preserve"> .</w:t>
      </w:r>
    </w:p>
    <w:p w14:paraId="28E7DCD4" w14:textId="2D7C79DA"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92BA2">
        <w:rPr>
          <w:rFonts w:ascii="Arial" w:hAnsi="Arial"/>
        </w:rPr>
        <w:t xml:space="preserve"> </w:t>
      </w:r>
      <w:r w:rsidR="00292BA2" w:rsidRPr="00292BA2">
        <w:rPr>
          <w:rFonts w:ascii="Arial" w:hAnsi="Arial"/>
          <w:b/>
          <w:bCs/>
        </w:rPr>
        <w:t>$7,000</w:t>
      </w:r>
      <w:r>
        <w:rPr>
          <w:rFonts w:ascii="Arial" w:hAnsi="Arial"/>
          <w:u w:val="single"/>
        </w:rPr>
        <w:tab/>
      </w:r>
      <w:r>
        <w:rPr>
          <w:rFonts w:ascii="Arial" w:hAnsi="Arial"/>
        </w:rPr>
        <w:t xml:space="preserve"> .</w:t>
      </w:r>
    </w:p>
    <w:p w14:paraId="620F7AD1" w14:textId="76D38B31"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7C360D">
        <w:rPr>
          <w:rFonts w:ascii="Arial" w:hAnsi="Arial"/>
        </w:rPr>
        <w:t xml:space="preserve"> </w:t>
      </w:r>
      <w:r w:rsidR="007C360D" w:rsidRPr="00292BA2">
        <w:rPr>
          <w:rFonts w:ascii="Arial" w:hAnsi="Arial"/>
          <w:b/>
          <w:bCs/>
        </w:rPr>
        <w:t>NIL</w:t>
      </w:r>
      <w:r>
        <w:rPr>
          <w:rFonts w:ascii="Arial" w:hAnsi="Arial"/>
          <w:u w:val="single"/>
        </w:rPr>
        <w:tab/>
      </w:r>
      <w:r>
        <w:rPr>
          <w:rFonts w:ascii="Arial" w:hAnsi="Arial"/>
        </w:rPr>
        <w:t xml:space="preserve"> .</w:t>
      </w:r>
    </w:p>
    <w:p w14:paraId="06E7A0E9" w14:textId="39696B2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7C360D">
        <w:rPr>
          <w:rFonts w:ascii="Arial" w:hAnsi="Arial"/>
        </w:rPr>
        <w:t xml:space="preserve"> </w:t>
      </w:r>
      <w:r w:rsidR="007C360D" w:rsidRPr="00292BA2">
        <w:rPr>
          <w:rFonts w:ascii="Arial" w:hAnsi="Arial"/>
          <w:b/>
          <w:bCs/>
        </w:rPr>
        <w:t>NIL</w:t>
      </w:r>
      <w:r>
        <w:rPr>
          <w:rFonts w:ascii="Arial" w:hAnsi="Arial"/>
          <w:u w:val="single"/>
        </w:rPr>
        <w:tab/>
      </w:r>
      <w:r>
        <w:rPr>
          <w:rFonts w:ascii="Arial" w:hAnsi="Arial"/>
        </w:rPr>
        <w:t xml:space="preserve"> .</w:t>
      </w:r>
    </w:p>
    <w:p w14:paraId="7F14BD38"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59ABFE7C"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364EBFAD" w14:textId="6F19B9F3"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7C360D">
        <w:rPr>
          <w:rFonts w:ascii="Arial" w:hAnsi="Arial"/>
        </w:rPr>
        <w:t>N/A</w:t>
      </w:r>
      <w:r>
        <w:rPr>
          <w:rFonts w:ascii="Arial" w:hAnsi="Arial"/>
          <w:u w:val="single"/>
        </w:rPr>
        <w:tab/>
      </w:r>
    </w:p>
    <w:p w14:paraId="061C2785" w14:textId="776FAE26" w:rsidR="00EA4133" w:rsidRDefault="00EA4133" w:rsidP="00D270BE">
      <w:pPr>
        <w:pStyle w:val="List"/>
        <w:tabs>
          <w:tab w:val="left" w:pos="1080"/>
          <w:tab w:val="left" w:pos="9180"/>
        </w:tabs>
        <w:ind w:firstLine="0"/>
        <w:jc w:val="both"/>
        <w:rPr>
          <w:rFonts w:ascii="Arial" w:hAnsi="Arial"/>
        </w:rPr>
      </w:pPr>
      <w:r>
        <w:rPr>
          <w:rFonts w:ascii="Arial" w:hAnsi="Arial"/>
          <w:u w:val="single"/>
        </w:rPr>
        <w:tab/>
      </w:r>
      <w:r>
        <w:rPr>
          <w:rFonts w:ascii="Arial" w:hAnsi="Arial"/>
        </w:rPr>
        <w:t xml:space="preserve"> .</w:t>
      </w:r>
    </w:p>
    <w:p w14:paraId="0124BA5D" w14:textId="77777777" w:rsidR="00EA4133" w:rsidRDefault="00EA4133">
      <w:pPr>
        <w:pStyle w:val="List"/>
        <w:tabs>
          <w:tab w:val="left" w:pos="1080"/>
          <w:tab w:val="left" w:pos="9180"/>
        </w:tabs>
        <w:ind w:left="0" w:firstLine="0"/>
        <w:jc w:val="both"/>
        <w:rPr>
          <w:rFonts w:ascii="Arial" w:hAnsi="Arial"/>
        </w:rPr>
      </w:pPr>
    </w:p>
    <w:p w14:paraId="790E393B"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31B67629" w14:textId="374F097A" w:rsidR="00EA4133" w:rsidRDefault="007C360D" w:rsidP="00D270BE">
      <w:pPr>
        <w:pStyle w:val="List"/>
        <w:tabs>
          <w:tab w:val="left" w:pos="1080"/>
          <w:tab w:val="left" w:pos="9180"/>
        </w:tabs>
        <w:ind w:firstLine="0"/>
        <w:jc w:val="both"/>
        <w:rPr>
          <w:rFonts w:ascii="Arial" w:hAnsi="Arial"/>
        </w:rPr>
      </w:pPr>
      <w:r w:rsidRPr="00292BA2">
        <w:rPr>
          <w:rFonts w:ascii="Arial" w:hAnsi="Arial"/>
          <w:b/>
          <w:bCs/>
        </w:rPr>
        <w:t>8</w:t>
      </w:r>
      <w:r w:rsidR="00D270BE" w:rsidRPr="00292BA2">
        <w:rPr>
          <w:rFonts w:ascii="Arial" w:hAnsi="Arial"/>
          <w:b/>
          <w:bCs/>
        </w:rPr>
        <w:t xml:space="preserve">00,000 of the shares to be issued </w:t>
      </w:r>
      <w:r w:rsidR="00292BA2" w:rsidRPr="00292BA2">
        <w:rPr>
          <w:rFonts w:ascii="Arial" w:hAnsi="Arial"/>
          <w:b/>
          <w:bCs/>
        </w:rPr>
        <w:t xml:space="preserve">at $0.10 per share </w:t>
      </w:r>
      <w:r w:rsidR="00D270BE" w:rsidRPr="00292BA2">
        <w:rPr>
          <w:rFonts w:ascii="Arial" w:hAnsi="Arial"/>
          <w:b/>
          <w:bCs/>
        </w:rPr>
        <w:t>will be flow-through shares</w:t>
      </w:r>
      <w:r w:rsidR="00EA4133">
        <w:rPr>
          <w:rFonts w:ascii="Arial" w:hAnsi="Arial"/>
          <w:u w:val="single"/>
        </w:rPr>
        <w:tab/>
      </w:r>
      <w:r w:rsidR="00EA4133">
        <w:rPr>
          <w:rFonts w:ascii="Arial" w:hAnsi="Arial"/>
        </w:rPr>
        <w:t xml:space="preserve"> .</w:t>
      </w:r>
    </w:p>
    <w:p w14:paraId="3FDFCD4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7D3C49D" w14:textId="6D47F628" w:rsidR="00EA4133" w:rsidRDefault="00D270BE" w:rsidP="00D270BE">
      <w:pPr>
        <w:pStyle w:val="List"/>
        <w:tabs>
          <w:tab w:val="left" w:pos="1080"/>
          <w:tab w:val="left" w:pos="9180"/>
        </w:tabs>
        <w:ind w:firstLine="0"/>
        <w:jc w:val="both"/>
        <w:rPr>
          <w:rFonts w:ascii="Arial" w:hAnsi="Arial"/>
        </w:rPr>
      </w:pPr>
      <w:r w:rsidRPr="00292BA2">
        <w:rPr>
          <w:rFonts w:ascii="Arial" w:hAnsi="Arial"/>
          <w:b/>
          <w:bCs/>
        </w:rPr>
        <w:t>No change in control</w:t>
      </w:r>
      <w:r w:rsidR="00EA4133">
        <w:rPr>
          <w:rFonts w:ascii="Arial" w:hAnsi="Arial"/>
          <w:u w:val="single"/>
        </w:rPr>
        <w:tab/>
      </w:r>
      <w:r w:rsidR="00EA4133">
        <w:rPr>
          <w:rFonts w:ascii="Arial" w:hAnsi="Arial"/>
        </w:rPr>
        <w:t xml:space="preserve"> .</w:t>
      </w:r>
    </w:p>
    <w:p w14:paraId="622A7301" w14:textId="77777777" w:rsidR="00EA4133" w:rsidRDefault="00EA4133">
      <w:pPr>
        <w:pStyle w:val="List"/>
        <w:tabs>
          <w:tab w:val="left" w:pos="9180"/>
        </w:tabs>
        <w:spacing w:before="0"/>
        <w:jc w:val="both"/>
        <w:rPr>
          <w:rFonts w:ascii="Arial" w:hAnsi="Arial"/>
        </w:rPr>
      </w:pPr>
    </w:p>
    <w:p w14:paraId="118AE181" w14:textId="754C79D5" w:rsidR="00EA4133" w:rsidRDefault="00EA4133">
      <w:pPr>
        <w:pStyle w:val="List"/>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Pr="00292BA2">
        <w:rPr>
          <w:rFonts w:ascii="Arial" w:hAnsi="Arial"/>
          <w:b/>
          <w:bCs/>
        </w:rPr>
        <w:t xml:space="preserve">.  </w:t>
      </w:r>
      <w:r w:rsidR="00D270BE" w:rsidRPr="00292BA2">
        <w:rPr>
          <w:rFonts w:ascii="Arial" w:hAnsi="Arial"/>
          <w:b/>
          <w:bCs/>
        </w:rPr>
        <w:t>N/A</w:t>
      </w:r>
      <w:r>
        <w:rPr>
          <w:rFonts w:ascii="Arial" w:hAnsi="Arial"/>
          <w:u w:val="single"/>
        </w:rPr>
        <w:tab/>
      </w:r>
    </w:p>
    <w:p w14:paraId="17F9DA2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733885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F01B6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3FCE26A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62AE4C4E" w14:textId="77777777" w:rsidR="003C6D7E" w:rsidRDefault="003C6D7E">
      <w:pPr>
        <w:rPr>
          <w:rFonts w:ascii="Arial" w:hAnsi="Arial"/>
          <w:b/>
          <w:color w:val="000000"/>
          <w:sz w:val="24"/>
          <w:lang w:val="en-GB"/>
        </w:rPr>
      </w:pPr>
      <w:r>
        <w:rPr>
          <w:rFonts w:ascii="Arial" w:hAnsi="Arial"/>
          <w:b/>
          <w:color w:val="000000"/>
        </w:rPr>
        <w:br w:type="page"/>
      </w:r>
    </w:p>
    <w:p w14:paraId="53B2328A"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7649A8AE" w14:textId="77777777" w:rsidR="00EA4133" w:rsidRDefault="00EA4133">
      <w:pPr>
        <w:pStyle w:val="List"/>
        <w:tabs>
          <w:tab w:val="left" w:pos="9180"/>
        </w:tabs>
        <w:spacing w:before="0"/>
        <w:ind w:left="0" w:firstLine="0"/>
        <w:jc w:val="both"/>
        <w:rPr>
          <w:rFonts w:ascii="Arial" w:hAnsi="Arial"/>
          <w:color w:val="000000"/>
        </w:rPr>
      </w:pPr>
    </w:p>
    <w:p w14:paraId="44CC230F" w14:textId="77777777" w:rsidR="000222D7"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02D8FF2B" w14:textId="30715EB0" w:rsidR="00EA4133" w:rsidRPr="00292BA2" w:rsidRDefault="000222D7" w:rsidP="000222D7">
      <w:pPr>
        <w:pStyle w:val="List"/>
        <w:tabs>
          <w:tab w:val="left" w:pos="9180"/>
        </w:tabs>
        <w:spacing w:before="0"/>
        <w:ind w:firstLine="0"/>
        <w:jc w:val="both"/>
        <w:rPr>
          <w:rFonts w:ascii="Arial" w:hAnsi="Arial"/>
          <w:b/>
          <w:bCs/>
          <w:color w:val="000000"/>
          <w:u w:val="single"/>
        </w:rPr>
      </w:pPr>
      <w:r w:rsidRPr="00292BA2">
        <w:rPr>
          <w:b/>
          <w:bCs/>
          <w:sz w:val="22"/>
          <w:szCs w:val="24"/>
          <w:u w:val="single"/>
        </w:rPr>
        <w:t>The Topley Property consists of 7 mineral claims totalling approximately 2,706 Hectares, located in central British Columbia, in the Omineca Mining Division. The claims are prospective for copper, gold and other minerals.</w:t>
      </w:r>
      <w:r w:rsidR="00EA4133" w:rsidRPr="00292BA2">
        <w:rPr>
          <w:rFonts w:ascii="Arial" w:hAnsi="Arial"/>
          <w:b/>
          <w:bCs/>
          <w:color w:val="000000"/>
          <w:u w:val="single"/>
        </w:rPr>
        <w:tab/>
      </w:r>
    </w:p>
    <w:p w14:paraId="59C1D41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BF22410"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2F1D5585" w14:textId="4D028090" w:rsidR="000222D7" w:rsidRPr="00292BA2" w:rsidRDefault="00EA4133" w:rsidP="000222D7">
      <w:pPr>
        <w:pStyle w:val="List"/>
        <w:tabs>
          <w:tab w:val="left" w:pos="1080"/>
          <w:tab w:val="left" w:pos="9180"/>
        </w:tabs>
        <w:spacing w:before="0"/>
        <w:ind w:firstLine="0"/>
        <w:jc w:val="both"/>
        <w:rPr>
          <w:b/>
          <w:bCs/>
          <w:sz w:val="22"/>
          <w:u w:val="single"/>
        </w:rPr>
      </w:pPr>
      <w:r>
        <w:rPr>
          <w:rFonts w:ascii="Arial" w:hAnsi="Arial"/>
          <w:color w:val="000000"/>
        </w:rPr>
        <w:tab/>
      </w:r>
      <w:r w:rsidR="000222D7" w:rsidRPr="00292BA2">
        <w:rPr>
          <w:rFonts w:ascii="Arial" w:hAnsi="Arial"/>
          <w:b/>
          <w:bCs/>
          <w:color w:val="000000"/>
          <w:u w:val="single"/>
        </w:rPr>
        <w:t>O</w:t>
      </w:r>
      <w:r w:rsidR="000222D7" w:rsidRPr="00292BA2">
        <w:rPr>
          <w:b/>
          <w:bCs/>
          <w:sz w:val="22"/>
          <w:u w:val="single"/>
        </w:rPr>
        <w:t xml:space="preserve">n September 21, 2020 the Company entered into a Letter of Intent and, on October 30, 2020, the Company entered into the Option Agreement with the Optionor whereby the Company was granted an option to acquire an undivided 100% right, title and interest in the Decoors Claims, located in central British Columbia, in the Omineca Mining Division. On signing of the Option Agreement, the Company paid the Optionor $5,000 pursuant to the Option Agreement. </w:t>
      </w:r>
    </w:p>
    <w:p w14:paraId="740AF378" w14:textId="77777777" w:rsidR="00C027AE" w:rsidRPr="00292BA2" w:rsidRDefault="00C027AE" w:rsidP="000222D7">
      <w:pPr>
        <w:pStyle w:val="List"/>
        <w:tabs>
          <w:tab w:val="left" w:pos="1080"/>
          <w:tab w:val="left" w:pos="9180"/>
        </w:tabs>
        <w:spacing w:before="0"/>
        <w:ind w:firstLine="0"/>
        <w:jc w:val="both"/>
        <w:rPr>
          <w:b/>
          <w:bCs/>
          <w:sz w:val="22"/>
          <w:u w:val="single"/>
        </w:rPr>
      </w:pPr>
    </w:p>
    <w:p w14:paraId="135E6304" w14:textId="6C8B6A02" w:rsidR="00EA4133" w:rsidRPr="00292BA2" w:rsidRDefault="000222D7" w:rsidP="000222D7">
      <w:pPr>
        <w:pStyle w:val="List"/>
        <w:tabs>
          <w:tab w:val="left" w:pos="1080"/>
          <w:tab w:val="left" w:pos="9180"/>
        </w:tabs>
        <w:spacing w:before="0"/>
        <w:ind w:firstLine="0"/>
        <w:jc w:val="both"/>
        <w:rPr>
          <w:b/>
          <w:bCs/>
          <w:color w:val="000000"/>
          <w:u w:val="single"/>
        </w:rPr>
      </w:pPr>
      <w:r w:rsidRPr="00292BA2">
        <w:rPr>
          <w:b/>
          <w:bCs/>
          <w:color w:val="000000"/>
          <w:u w:val="single"/>
        </w:rPr>
        <w:t>The optionor is an arms length party.</w:t>
      </w:r>
      <w:r w:rsidR="00EA4133" w:rsidRPr="00292BA2">
        <w:rPr>
          <w:b/>
          <w:bCs/>
          <w:color w:val="000000"/>
          <w:u w:val="single"/>
        </w:rPr>
        <w:tab/>
      </w:r>
    </w:p>
    <w:p w14:paraId="270944D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9A25195"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53208F6E" w14:textId="23F036B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0222D7" w:rsidRPr="00292BA2">
        <w:rPr>
          <w:rFonts w:ascii="Arial" w:hAnsi="Arial"/>
          <w:b/>
          <w:bCs/>
          <w:color w:val="000000"/>
        </w:rPr>
        <w:t>$55,000</w:t>
      </w:r>
      <w:r>
        <w:rPr>
          <w:rFonts w:ascii="Arial" w:hAnsi="Arial"/>
          <w:color w:val="000000"/>
          <w:u w:val="single"/>
        </w:rPr>
        <w:tab/>
      </w:r>
      <w:r>
        <w:rPr>
          <w:rFonts w:ascii="Arial" w:hAnsi="Arial"/>
          <w:color w:val="000000"/>
        </w:rPr>
        <w:t xml:space="preserve"> .</w:t>
      </w:r>
    </w:p>
    <w:p w14:paraId="232B41A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D839E6E" w14:textId="281599BA" w:rsidR="00EA4133" w:rsidRDefault="000222D7" w:rsidP="000222D7">
      <w:pPr>
        <w:pStyle w:val="List"/>
        <w:tabs>
          <w:tab w:val="left" w:pos="1080"/>
          <w:tab w:val="left" w:pos="2160"/>
          <w:tab w:val="left" w:pos="9180"/>
        </w:tabs>
        <w:spacing w:before="0"/>
        <w:ind w:left="2160" w:firstLine="0"/>
        <w:rPr>
          <w:rFonts w:ascii="Arial" w:hAnsi="Arial"/>
          <w:color w:val="000000"/>
        </w:rPr>
      </w:pPr>
      <w:r w:rsidRPr="00292BA2">
        <w:rPr>
          <w:rFonts w:ascii="Arial" w:hAnsi="Arial"/>
          <w:b/>
          <w:bCs/>
          <w:color w:val="000000"/>
        </w:rPr>
        <w:t>1,000,000 common shares</w:t>
      </w:r>
      <w:r w:rsidR="00EA4133">
        <w:rPr>
          <w:rFonts w:ascii="Arial" w:hAnsi="Arial"/>
          <w:color w:val="000000"/>
          <w:u w:val="single"/>
        </w:rPr>
        <w:tab/>
      </w:r>
      <w:r w:rsidR="00EA4133">
        <w:rPr>
          <w:rFonts w:ascii="Arial" w:hAnsi="Arial"/>
          <w:color w:val="000000"/>
        </w:rPr>
        <w:t xml:space="preserve"> .</w:t>
      </w:r>
    </w:p>
    <w:p w14:paraId="4D61C3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3A8B0C5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03654D0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604812AD" w14:textId="200F0F5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0222D7" w:rsidRPr="00292BA2">
        <w:rPr>
          <w:rFonts w:ascii="Arial" w:hAnsi="Arial"/>
          <w:b/>
          <w:bCs/>
          <w:color w:val="000000"/>
        </w:rPr>
        <w:t>$150,000</w:t>
      </w:r>
      <w:r>
        <w:rPr>
          <w:rFonts w:ascii="Arial" w:hAnsi="Arial"/>
          <w:color w:val="000000"/>
          <w:u w:val="single"/>
        </w:rPr>
        <w:tab/>
      </w:r>
      <w:r>
        <w:rPr>
          <w:rFonts w:ascii="Arial" w:hAnsi="Arial"/>
          <w:color w:val="000000"/>
        </w:rPr>
        <w:t xml:space="preserve"> .</w:t>
      </w:r>
    </w:p>
    <w:p w14:paraId="48016597" w14:textId="0EE794E5"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547D268" w14:textId="4179FABE" w:rsidR="009E2563" w:rsidRPr="00292BA2" w:rsidRDefault="009E2563" w:rsidP="009E2563">
      <w:pPr>
        <w:pStyle w:val="List"/>
        <w:tabs>
          <w:tab w:val="left" w:pos="9180"/>
        </w:tabs>
        <w:ind w:firstLine="0"/>
        <w:rPr>
          <w:rFonts w:ascii="Arial" w:hAnsi="Arial"/>
          <w:b/>
          <w:bCs/>
          <w:color w:val="000000"/>
          <w:u w:val="single"/>
        </w:rPr>
      </w:pPr>
      <w:r w:rsidRPr="00292BA2">
        <w:rPr>
          <w:rFonts w:ascii="Arial" w:hAnsi="Arial"/>
          <w:b/>
          <w:bCs/>
          <w:color w:val="000000"/>
          <w:u w:val="single"/>
        </w:rPr>
        <w:t>Arms Length negotiation</w:t>
      </w:r>
    </w:p>
    <w:p w14:paraId="78A33D86" w14:textId="3D1741F3"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00C027AE">
        <w:rPr>
          <w:rFonts w:ascii="Arial" w:hAnsi="Arial"/>
          <w:color w:val="000000"/>
        </w:rPr>
        <w:t xml:space="preserve"> </w:t>
      </w:r>
      <w:r w:rsidR="009E2563" w:rsidRPr="00292BA2">
        <w:rPr>
          <w:rFonts w:ascii="Arial" w:hAnsi="Arial"/>
          <w:b/>
          <w:bCs/>
          <w:color w:val="000000"/>
        </w:rPr>
        <w:t>N/A</w:t>
      </w:r>
      <w:r>
        <w:rPr>
          <w:rFonts w:ascii="Arial" w:hAnsi="Arial"/>
          <w:color w:val="000000"/>
          <w:u w:val="single"/>
        </w:rPr>
        <w:tab/>
      </w:r>
    </w:p>
    <w:p w14:paraId="297C3E8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E78B79D"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078"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618"/>
      </w:tblGrid>
      <w:tr w:rsidR="00EA4133" w14:paraId="543B1A02" w14:textId="77777777" w:rsidTr="000222D7">
        <w:tc>
          <w:tcPr>
            <w:tcW w:w="1440" w:type="dxa"/>
          </w:tcPr>
          <w:p w14:paraId="1828B656" w14:textId="77777777" w:rsidR="00EA4133" w:rsidRDefault="00EA4133">
            <w:pPr>
              <w:pStyle w:val="BodyText"/>
              <w:keepNext/>
              <w:keepLines/>
              <w:spacing w:before="0" w:line="280" w:lineRule="exact"/>
              <w:jc w:val="center"/>
              <w:rPr>
                <w:rFonts w:ascii="Arial" w:hAnsi="Arial"/>
                <w:b/>
                <w:sz w:val="20"/>
                <w:lang w:val="en-CA"/>
              </w:rPr>
            </w:pPr>
          </w:p>
          <w:p w14:paraId="6CE7D2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4905488" w14:textId="77777777" w:rsidR="00EA4133" w:rsidRDefault="00EA4133">
            <w:pPr>
              <w:pStyle w:val="BodyText"/>
              <w:keepNext/>
              <w:keepLines/>
              <w:spacing w:before="0" w:line="280" w:lineRule="exact"/>
              <w:jc w:val="center"/>
              <w:rPr>
                <w:rFonts w:ascii="Arial" w:hAnsi="Arial"/>
                <w:b/>
                <w:sz w:val="20"/>
                <w:lang w:val="en-CA"/>
              </w:rPr>
            </w:pPr>
          </w:p>
          <w:p w14:paraId="0007916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D6174B5" w14:textId="77777777" w:rsidR="00EA4133" w:rsidRDefault="00EA4133">
            <w:pPr>
              <w:pStyle w:val="BodyText"/>
              <w:keepNext/>
              <w:keepLines/>
              <w:spacing w:before="0" w:line="280" w:lineRule="exact"/>
              <w:jc w:val="center"/>
              <w:rPr>
                <w:rFonts w:ascii="Arial" w:hAnsi="Arial"/>
                <w:b/>
                <w:sz w:val="20"/>
                <w:lang w:val="en-CA"/>
              </w:rPr>
            </w:pPr>
          </w:p>
          <w:p w14:paraId="5EC7134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163A8161" w14:textId="77777777" w:rsidR="00EA4133" w:rsidRDefault="00EA4133">
            <w:pPr>
              <w:pStyle w:val="BodyText"/>
              <w:keepNext/>
              <w:keepLines/>
              <w:spacing w:before="0" w:line="280" w:lineRule="exact"/>
              <w:jc w:val="center"/>
              <w:rPr>
                <w:rFonts w:ascii="Arial" w:hAnsi="Arial"/>
                <w:b/>
                <w:sz w:val="20"/>
                <w:lang w:val="en-CA"/>
              </w:rPr>
            </w:pPr>
          </w:p>
          <w:p w14:paraId="5D8214C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2639BB0" w14:textId="77777777" w:rsidR="00EA4133" w:rsidRDefault="00EA4133">
            <w:pPr>
              <w:pStyle w:val="BodyText"/>
              <w:keepNext/>
              <w:keepLines/>
              <w:spacing w:before="0" w:line="280" w:lineRule="exact"/>
              <w:jc w:val="center"/>
              <w:rPr>
                <w:rFonts w:ascii="Arial" w:hAnsi="Arial"/>
                <w:b/>
                <w:sz w:val="20"/>
                <w:lang w:val="en-CA"/>
              </w:rPr>
            </w:pPr>
          </w:p>
          <w:p w14:paraId="22588BC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9F706CB" w14:textId="77777777" w:rsidR="00EA4133" w:rsidRDefault="00EA4133">
            <w:pPr>
              <w:pStyle w:val="BodyText"/>
              <w:keepNext/>
              <w:keepLines/>
              <w:spacing w:before="0" w:line="280" w:lineRule="exact"/>
              <w:jc w:val="center"/>
              <w:rPr>
                <w:rFonts w:ascii="Arial" w:hAnsi="Arial"/>
                <w:b/>
                <w:sz w:val="20"/>
              </w:rPr>
            </w:pPr>
          </w:p>
          <w:p w14:paraId="54CC67BF"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618" w:type="dxa"/>
          </w:tcPr>
          <w:p w14:paraId="40B4E799" w14:textId="77777777" w:rsidR="00EA4133" w:rsidRDefault="00EA4133">
            <w:pPr>
              <w:pStyle w:val="BodyText"/>
              <w:keepNext/>
              <w:keepLines/>
              <w:spacing w:before="0" w:line="280" w:lineRule="exact"/>
              <w:jc w:val="center"/>
              <w:rPr>
                <w:rFonts w:ascii="Arial" w:hAnsi="Arial"/>
                <w:b/>
                <w:color w:val="000000"/>
                <w:sz w:val="20"/>
                <w:lang w:val="en-CA"/>
              </w:rPr>
            </w:pPr>
          </w:p>
          <w:p w14:paraId="7725B0EB"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C012D7D"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24290758" w14:textId="77777777" w:rsidTr="000222D7">
        <w:trPr>
          <w:trHeight w:hRule="exact" w:val="280"/>
        </w:trPr>
        <w:tc>
          <w:tcPr>
            <w:tcW w:w="1440" w:type="dxa"/>
          </w:tcPr>
          <w:p w14:paraId="7A619378" w14:textId="0AB1E70F" w:rsidR="00EA4133" w:rsidRDefault="009E2563">
            <w:pPr>
              <w:pStyle w:val="BodyText"/>
              <w:keepNext/>
              <w:keepLines/>
              <w:rPr>
                <w:rFonts w:ascii="Arial" w:hAnsi="Arial"/>
                <w:lang w:val="en-CA"/>
              </w:rPr>
            </w:pPr>
            <w:r>
              <w:rPr>
                <w:rFonts w:ascii="Arial" w:hAnsi="Arial"/>
                <w:lang w:val="en-CA"/>
              </w:rPr>
              <w:t xml:space="preserve"> minDing</w:t>
            </w:r>
          </w:p>
        </w:tc>
        <w:tc>
          <w:tcPr>
            <w:tcW w:w="1260" w:type="dxa"/>
          </w:tcPr>
          <w:p w14:paraId="0C634D25" w14:textId="77777777" w:rsidR="00EA4133" w:rsidRDefault="00EA4133">
            <w:pPr>
              <w:pStyle w:val="BodyText"/>
              <w:keepNext/>
              <w:keepLines/>
              <w:rPr>
                <w:rFonts w:ascii="Arial" w:hAnsi="Arial"/>
                <w:lang w:val="en-CA"/>
              </w:rPr>
            </w:pPr>
          </w:p>
        </w:tc>
        <w:tc>
          <w:tcPr>
            <w:tcW w:w="1260" w:type="dxa"/>
          </w:tcPr>
          <w:p w14:paraId="5893434E" w14:textId="77777777" w:rsidR="00EA4133" w:rsidRDefault="00EA4133">
            <w:pPr>
              <w:pStyle w:val="BodyText"/>
              <w:keepNext/>
              <w:keepLines/>
              <w:rPr>
                <w:rFonts w:ascii="Arial" w:hAnsi="Arial"/>
                <w:lang w:val="en-CA"/>
              </w:rPr>
            </w:pPr>
          </w:p>
        </w:tc>
        <w:tc>
          <w:tcPr>
            <w:tcW w:w="1440" w:type="dxa"/>
          </w:tcPr>
          <w:p w14:paraId="2489F063" w14:textId="77777777" w:rsidR="00EA4133" w:rsidRDefault="00EA4133">
            <w:pPr>
              <w:pStyle w:val="BodyText"/>
              <w:keepNext/>
              <w:keepLines/>
              <w:rPr>
                <w:rFonts w:ascii="Arial" w:hAnsi="Arial"/>
                <w:lang w:val="en-CA"/>
              </w:rPr>
            </w:pPr>
          </w:p>
        </w:tc>
        <w:tc>
          <w:tcPr>
            <w:tcW w:w="1440" w:type="dxa"/>
          </w:tcPr>
          <w:p w14:paraId="5AD7D2C4" w14:textId="77777777" w:rsidR="00EA4133" w:rsidRDefault="00EA4133">
            <w:pPr>
              <w:pStyle w:val="BodyText"/>
              <w:keepNext/>
              <w:keepLines/>
              <w:rPr>
                <w:rFonts w:ascii="Arial" w:hAnsi="Arial"/>
                <w:lang w:val="en-CA"/>
              </w:rPr>
            </w:pPr>
          </w:p>
        </w:tc>
        <w:tc>
          <w:tcPr>
            <w:tcW w:w="1620" w:type="dxa"/>
          </w:tcPr>
          <w:p w14:paraId="24BD8A03" w14:textId="77777777" w:rsidR="00EA4133" w:rsidRDefault="00EA4133">
            <w:pPr>
              <w:pStyle w:val="BodyText"/>
              <w:keepNext/>
              <w:keepLines/>
              <w:rPr>
                <w:rFonts w:ascii="Arial" w:hAnsi="Arial"/>
                <w:lang w:val="en-CA"/>
              </w:rPr>
            </w:pPr>
          </w:p>
        </w:tc>
        <w:tc>
          <w:tcPr>
            <w:tcW w:w="1618" w:type="dxa"/>
          </w:tcPr>
          <w:p w14:paraId="166462A5" w14:textId="77777777" w:rsidR="00EA4133" w:rsidRDefault="00EA4133">
            <w:pPr>
              <w:pStyle w:val="BodyText"/>
              <w:keepNext/>
              <w:keepLines/>
              <w:rPr>
                <w:rFonts w:ascii="Arial" w:hAnsi="Arial"/>
                <w:lang w:val="en-CA"/>
              </w:rPr>
            </w:pPr>
          </w:p>
        </w:tc>
      </w:tr>
      <w:tr w:rsidR="00EA4133" w14:paraId="3AF0D0EC" w14:textId="77777777" w:rsidTr="00A365B8">
        <w:trPr>
          <w:trHeight w:hRule="exact" w:val="1371"/>
        </w:trPr>
        <w:tc>
          <w:tcPr>
            <w:tcW w:w="1440" w:type="dxa"/>
          </w:tcPr>
          <w:p w14:paraId="51BD0807" w14:textId="0F6CE983" w:rsidR="00EA4133" w:rsidRDefault="000222D7">
            <w:pPr>
              <w:pStyle w:val="BodyText"/>
              <w:keepNext/>
              <w:keepLines/>
              <w:rPr>
                <w:rFonts w:ascii="Arial" w:hAnsi="Arial"/>
                <w:b/>
                <w:bCs/>
                <w:lang w:val="en-CA"/>
              </w:rPr>
            </w:pPr>
            <w:r w:rsidRPr="00292BA2">
              <w:rPr>
                <w:rFonts w:ascii="Arial" w:hAnsi="Arial"/>
                <w:b/>
                <w:bCs/>
                <w:lang w:val="en-CA"/>
              </w:rPr>
              <w:t>Decoors Mining</w:t>
            </w:r>
            <w:r w:rsidR="00A365B8">
              <w:rPr>
                <w:rFonts w:ascii="Arial" w:hAnsi="Arial"/>
                <w:b/>
                <w:bCs/>
                <w:lang w:val="en-CA"/>
              </w:rPr>
              <w:t>, Peter Burjoski</w:t>
            </w:r>
          </w:p>
          <w:p w14:paraId="550B85AC" w14:textId="423DA3AD" w:rsidR="00A365B8" w:rsidRPr="00292BA2" w:rsidRDefault="00A365B8">
            <w:pPr>
              <w:pStyle w:val="BodyText"/>
              <w:keepNext/>
              <w:keepLines/>
              <w:rPr>
                <w:rFonts w:ascii="Arial" w:hAnsi="Arial"/>
                <w:b/>
                <w:bCs/>
                <w:lang w:val="en-CA"/>
              </w:rPr>
            </w:pPr>
          </w:p>
        </w:tc>
        <w:tc>
          <w:tcPr>
            <w:tcW w:w="1260" w:type="dxa"/>
          </w:tcPr>
          <w:p w14:paraId="3613F4FF" w14:textId="02C2DC50" w:rsidR="00EA4133" w:rsidRPr="00292BA2" w:rsidRDefault="000222D7">
            <w:pPr>
              <w:pStyle w:val="BodyText"/>
              <w:keepNext/>
              <w:keepLines/>
              <w:rPr>
                <w:rFonts w:ascii="Arial" w:hAnsi="Arial"/>
                <w:b/>
                <w:bCs/>
                <w:lang w:val="en-CA"/>
              </w:rPr>
            </w:pPr>
            <w:r w:rsidRPr="00292BA2">
              <w:rPr>
                <w:rFonts w:ascii="Arial" w:hAnsi="Arial"/>
                <w:b/>
                <w:bCs/>
                <w:lang w:val="en-CA"/>
              </w:rPr>
              <w:t>500,000</w:t>
            </w:r>
          </w:p>
        </w:tc>
        <w:tc>
          <w:tcPr>
            <w:tcW w:w="1260" w:type="dxa"/>
          </w:tcPr>
          <w:p w14:paraId="36AAA87D" w14:textId="7D255E3A" w:rsidR="00EA4133" w:rsidRPr="00292BA2" w:rsidRDefault="00C027AE">
            <w:pPr>
              <w:pStyle w:val="BodyText"/>
              <w:keepNext/>
              <w:keepLines/>
              <w:rPr>
                <w:rFonts w:ascii="Arial" w:hAnsi="Arial"/>
                <w:b/>
                <w:bCs/>
                <w:lang w:val="en-CA"/>
              </w:rPr>
            </w:pPr>
            <w:r w:rsidRPr="00292BA2">
              <w:rPr>
                <w:rFonts w:ascii="Arial" w:hAnsi="Arial"/>
                <w:b/>
                <w:bCs/>
                <w:lang w:val="en-CA"/>
              </w:rPr>
              <w:t>$0.10</w:t>
            </w:r>
          </w:p>
        </w:tc>
        <w:tc>
          <w:tcPr>
            <w:tcW w:w="1440" w:type="dxa"/>
          </w:tcPr>
          <w:p w14:paraId="4C0E92AF" w14:textId="70C7D5C7" w:rsidR="00EA4133" w:rsidRPr="00292BA2" w:rsidRDefault="000222D7">
            <w:pPr>
              <w:pStyle w:val="BodyText"/>
              <w:keepNext/>
              <w:keepLines/>
              <w:rPr>
                <w:rFonts w:ascii="Arial" w:hAnsi="Arial"/>
                <w:b/>
                <w:bCs/>
                <w:lang w:val="en-CA"/>
              </w:rPr>
            </w:pPr>
            <w:r w:rsidRPr="00292BA2">
              <w:rPr>
                <w:rFonts w:ascii="Arial" w:hAnsi="Arial"/>
                <w:b/>
                <w:bCs/>
                <w:lang w:val="en-CA"/>
              </w:rPr>
              <w:t>N/A</w:t>
            </w:r>
          </w:p>
        </w:tc>
        <w:tc>
          <w:tcPr>
            <w:tcW w:w="1440" w:type="dxa"/>
          </w:tcPr>
          <w:p w14:paraId="661E2428" w14:textId="18D03257" w:rsidR="00EA4133" w:rsidRPr="00292BA2" w:rsidRDefault="00C027AE">
            <w:pPr>
              <w:pStyle w:val="BodyText"/>
              <w:keepNext/>
              <w:keepLines/>
              <w:rPr>
                <w:rFonts w:ascii="Arial" w:hAnsi="Arial"/>
                <w:b/>
                <w:bCs/>
                <w:lang w:val="en-CA"/>
              </w:rPr>
            </w:pPr>
            <w:r w:rsidRPr="00292BA2">
              <w:rPr>
                <w:rFonts w:ascii="Arial" w:hAnsi="Arial"/>
                <w:b/>
                <w:bCs/>
                <w:lang w:val="en-CA"/>
              </w:rPr>
              <w:t>2.12</w:t>
            </w:r>
          </w:p>
        </w:tc>
        <w:tc>
          <w:tcPr>
            <w:tcW w:w="1620" w:type="dxa"/>
          </w:tcPr>
          <w:p w14:paraId="2D5DF18B" w14:textId="35EAC36F" w:rsidR="00EA4133" w:rsidRPr="00292BA2" w:rsidRDefault="000222D7">
            <w:pPr>
              <w:pStyle w:val="BodyText"/>
              <w:keepNext/>
              <w:keepLines/>
              <w:rPr>
                <w:rFonts w:ascii="Arial" w:hAnsi="Arial"/>
                <w:b/>
                <w:bCs/>
                <w:lang w:val="en-CA"/>
              </w:rPr>
            </w:pPr>
            <w:r w:rsidRPr="00292BA2">
              <w:rPr>
                <w:rFonts w:ascii="Arial" w:hAnsi="Arial"/>
                <w:b/>
                <w:bCs/>
                <w:lang w:val="en-CA"/>
              </w:rPr>
              <w:t>Nil</w:t>
            </w:r>
          </w:p>
        </w:tc>
        <w:tc>
          <w:tcPr>
            <w:tcW w:w="1618" w:type="dxa"/>
          </w:tcPr>
          <w:p w14:paraId="08082144" w14:textId="5F97131A" w:rsidR="00EA4133" w:rsidRPr="00292BA2" w:rsidRDefault="000222D7">
            <w:pPr>
              <w:pStyle w:val="BodyText"/>
              <w:keepNext/>
              <w:keepLines/>
              <w:rPr>
                <w:rFonts w:ascii="Arial" w:hAnsi="Arial"/>
                <w:b/>
                <w:bCs/>
                <w:lang w:val="en-CA"/>
              </w:rPr>
            </w:pPr>
            <w:r w:rsidRPr="00292BA2">
              <w:rPr>
                <w:rFonts w:ascii="Arial" w:hAnsi="Arial"/>
                <w:b/>
                <w:bCs/>
                <w:lang w:val="en-CA"/>
              </w:rPr>
              <w:t>Arms Length</w:t>
            </w:r>
          </w:p>
        </w:tc>
      </w:tr>
    </w:tbl>
    <w:p w14:paraId="438BAF7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0D68DB7" w14:textId="5177A3A9"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9E2563" w:rsidRPr="00292BA2">
        <w:rPr>
          <w:rFonts w:ascii="Arial" w:hAnsi="Arial"/>
          <w:b/>
          <w:bCs/>
          <w:color w:val="000000"/>
          <w:u w:val="single"/>
        </w:rPr>
        <w:t>title search and opinion supplied by Cozen O’Connor as part of IPO due diligence for the agent.</w:t>
      </w:r>
      <w:r>
        <w:rPr>
          <w:rFonts w:ascii="Arial" w:hAnsi="Arial"/>
          <w:color w:val="000000"/>
          <w:u w:val="single"/>
        </w:rPr>
        <w:tab/>
      </w:r>
    </w:p>
    <w:p w14:paraId="2207958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7FF182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5852F08" w14:textId="216A1F13" w:rsidR="00C027AE" w:rsidRDefault="00EA4133" w:rsidP="00C027AE">
      <w:pPr>
        <w:pStyle w:val="List"/>
        <w:numPr>
          <w:ilvl w:val="0"/>
          <w:numId w:val="20"/>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p>
    <w:p w14:paraId="304F7DE5" w14:textId="2CD6C9B9" w:rsidR="00EA4133" w:rsidRDefault="009E2563" w:rsidP="00C027AE">
      <w:pPr>
        <w:pStyle w:val="List"/>
        <w:tabs>
          <w:tab w:val="left" w:pos="2160"/>
          <w:tab w:val="left" w:pos="9180"/>
        </w:tabs>
        <w:ind w:left="2160" w:firstLine="0"/>
        <w:jc w:val="both"/>
        <w:rPr>
          <w:rFonts w:ascii="Arial" w:hAnsi="Arial"/>
          <w:u w:val="single"/>
        </w:rPr>
      </w:pPr>
      <w:r w:rsidRPr="00292BA2">
        <w:rPr>
          <w:rFonts w:ascii="Arial" w:hAnsi="Arial"/>
          <w:b/>
          <w:bCs/>
        </w:rPr>
        <w:t>Robert Boyd</w:t>
      </w:r>
      <w:r w:rsidR="000222D7" w:rsidRPr="00292BA2">
        <w:rPr>
          <w:rFonts w:ascii="Arial" w:hAnsi="Arial"/>
          <w:b/>
          <w:bCs/>
        </w:rPr>
        <w:t>,</w:t>
      </w:r>
      <w:r w:rsidRPr="00292BA2">
        <w:rPr>
          <w:rFonts w:ascii="Arial" w:hAnsi="Arial"/>
          <w:b/>
          <w:bCs/>
        </w:rPr>
        <w:t xml:space="preserve"> finders fee</w:t>
      </w:r>
      <w:r w:rsidR="00292BA2">
        <w:rPr>
          <w:rFonts w:ascii="Arial" w:hAnsi="Arial"/>
          <w:b/>
          <w:bCs/>
        </w:rPr>
        <w:t xml:space="preserve"> for the Topley Property</w:t>
      </w:r>
      <w:r w:rsidR="00EA4133">
        <w:rPr>
          <w:rFonts w:ascii="Arial" w:hAnsi="Arial"/>
          <w:u w:val="single"/>
        </w:rPr>
        <w:tab/>
      </w:r>
      <w:r w:rsidR="00EA4133">
        <w:rPr>
          <w:rFonts w:ascii="Arial" w:hAnsi="Arial"/>
          <w:u w:val="single"/>
        </w:rPr>
        <w:tab/>
      </w:r>
      <w:r w:rsidR="00EA4133">
        <w:rPr>
          <w:rFonts w:ascii="Arial" w:hAnsi="Arial"/>
          <w:u w:val="single"/>
        </w:rPr>
        <w:tab/>
      </w:r>
      <w:r w:rsidR="00EA4133">
        <w:rPr>
          <w:rFonts w:ascii="Arial" w:hAnsi="Arial"/>
        </w:rPr>
        <w:t>.</w:t>
      </w:r>
    </w:p>
    <w:p w14:paraId="749D8438" w14:textId="6A44736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92BA2">
        <w:rPr>
          <w:rFonts w:ascii="Arial" w:hAnsi="Arial"/>
        </w:rPr>
        <w:t xml:space="preserve"> </w:t>
      </w:r>
      <w:r w:rsidR="00292BA2" w:rsidRPr="00292BA2">
        <w:rPr>
          <w:rFonts w:ascii="Arial" w:hAnsi="Arial"/>
          <w:b/>
          <w:bCs/>
        </w:rPr>
        <w:t>Nil</w:t>
      </w:r>
      <w:r>
        <w:rPr>
          <w:rFonts w:ascii="Arial" w:hAnsi="Arial"/>
          <w:u w:val="single"/>
        </w:rPr>
        <w:tab/>
      </w:r>
      <w:r>
        <w:rPr>
          <w:rFonts w:ascii="Arial" w:hAnsi="Arial"/>
        </w:rPr>
        <w:t xml:space="preserve"> .</w:t>
      </w:r>
    </w:p>
    <w:p w14:paraId="59E643DD" w14:textId="54D3C62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9E2563" w:rsidRPr="00292BA2">
        <w:rPr>
          <w:rFonts w:ascii="Arial" w:hAnsi="Arial"/>
          <w:b/>
          <w:bCs/>
        </w:rPr>
        <w:t>25,000</w:t>
      </w:r>
      <w:r>
        <w:rPr>
          <w:rFonts w:ascii="Arial" w:hAnsi="Arial"/>
          <w:u w:val="single"/>
        </w:rPr>
        <w:tab/>
      </w:r>
      <w:r>
        <w:rPr>
          <w:rFonts w:ascii="Arial" w:hAnsi="Arial"/>
        </w:rPr>
        <w:t xml:space="preserve"> .</w:t>
      </w:r>
    </w:p>
    <w:p w14:paraId="71C6684C" w14:textId="6F8546B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92BA2">
        <w:rPr>
          <w:rFonts w:ascii="Arial" w:hAnsi="Arial"/>
        </w:rPr>
        <w:t xml:space="preserve"> </w:t>
      </w:r>
      <w:r w:rsidR="00292BA2" w:rsidRPr="00292BA2">
        <w:rPr>
          <w:rFonts w:ascii="Arial" w:hAnsi="Arial"/>
          <w:b/>
          <w:bCs/>
        </w:rPr>
        <w:t>Nil</w:t>
      </w:r>
      <w:r>
        <w:rPr>
          <w:rFonts w:ascii="Arial" w:hAnsi="Arial"/>
          <w:u w:val="single"/>
        </w:rPr>
        <w:tab/>
      </w:r>
      <w:r>
        <w:rPr>
          <w:rFonts w:ascii="Arial" w:hAnsi="Arial"/>
        </w:rPr>
        <w:t xml:space="preserve"> .</w:t>
      </w:r>
    </w:p>
    <w:p w14:paraId="639C24D7" w14:textId="77777777" w:rsidR="00EA4133" w:rsidRDefault="00EA4133">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u w:val="single"/>
        </w:rPr>
        <w:tab/>
      </w:r>
    </w:p>
    <w:p w14:paraId="783E4869"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86CCB1A" w14:textId="77777777" w:rsidR="00CF2A90" w:rsidRDefault="00CF2A90" w:rsidP="00CF2A90">
      <w:pPr>
        <w:pStyle w:val="List"/>
        <w:tabs>
          <w:tab w:val="left" w:pos="9180"/>
        </w:tabs>
        <w:ind w:left="0" w:firstLine="0"/>
        <w:rPr>
          <w:rFonts w:ascii="Arial" w:hAnsi="Arial"/>
          <w:color w:val="000000"/>
        </w:rPr>
      </w:pPr>
    </w:p>
    <w:p w14:paraId="50B847BC" w14:textId="75208838"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sidR="009E2563" w:rsidRPr="00292BA2">
        <w:rPr>
          <w:rFonts w:ascii="Arial" w:hAnsi="Arial"/>
          <w:b/>
          <w:bCs/>
          <w:color w:val="000000"/>
          <w:u w:val="single"/>
        </w:rPr>
        <w:t>TThe finder is not a related person but serves on the company’s advisory board</w:t>
      </w:r>
      <w:r>
        <w:rPr>
          <w:rFonts w:ascii="Arial" w:hAnsi="Arial"/>
          <w:color w:val="000000"/>
          <w:u w:val="single"/>
        </w:rPr>
        <w:tab/>
      </w:r>
      <w:r>
        <w:rPr>
          <w:rFonts w:ascii="Arial" w:hAnsi="Arial"/>
          <w:color w:val="000000"/>
          <w:u w:val="single"/>
        </w:rPr>
        <w:tab/>
      </w:r>
      <w:r>
        <w:rPr>
          <w:rFonts w:ascii="Arial" w:hAnsi="Arial"/>
          <w:color w:val="000000"/>
          <w:u w:val="single"/>
        </w:rPr>
        <w:tab/>
      </w:r>
    </w:p>
    <w:p w14:paraId="48A4E657" w14:textId="2648085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0222D7" w:rsidRPr="00292BA2">
        <w:rPr>
          <w:rFonts w:ascii="Arial" w:hAnsi="Arial"/>
          <w:b/>
          <w:bCs/>
          <w:color w:val="000000"/>
        </w:rPr>
        <w:t>N/A</w:t>
      </w:r>
      <w:r>
        <w:rPr>
          <w:rFonts w:ascii="Arial" w:hAnsi="Arial"/>
          <w:color w:val="000000"/>
          <w:u w:val="single"/>
        </w:rPr>
        <w:tab/>
      </w:r>
    </w:p>
    <w:p w14:paraId="792578C9"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2D97A76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DFE52AB"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0B636B3" w14:textId="77777777" w:rsidR="00EA4133" w:rsidRDefault="00EA4133">
      <w:pPr>
        <w:pStyle w:val="BodyText"/>
        <w:rPr>
          <w:rFonts w:ascii="Arial" w:hAnsi="Arial"/>
        </w:rPr>
      </w:pPr>
      <w:r>
        <w:rPr>
          <w:rFonts w:ascii="Arial" w:hAnsi="Arial"/>
        </w:rPr>
        <w:t>The undersigned hereby certifies that:</w:t>
      </w:r>
    </w:p>
    <w:p w14:paraId="395D3CE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8F75060"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2D34B84" w14:textId="77777777" w:rsidR="00C500F0" w:rsidRDefault="00C500F0" w:rsidP="00C500F0">
      <w:pPr>
        <w:pStyle w:val="List"/>
        <w:ind w:firstLine="0"/>
        <w:jc w:val="both"/>
        <w:rPr>
          <w:rFonts w:ascii="Arial" w:hAnsi="Arial"/>
        </w:rPr>
      </w:pPr>
    </w:p>
    <w:p w14:paraId="0F04DC3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881454E" w14:textId="77777777" w:rsidR="00C500F0" w:rsidRPr="00C500F0" w:rsidRDefault="00C500F0" w:rsidP="00C500F0">
      <w:pPr>
        <w:pStyle w:val="ListParagraph"/>
        <w:rPr>
          <w:rFonts w:ascii="Arial" w:hAnsi="Arial" w:cs="Arial"/>
          <w:sz w:val="24"/>
          <w:szCs w:val="24"/>
        </w:rPr>
      </w:pPr>
    </w:p>
    <w:p w14:paraId="224CAFEF"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3061B32"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C4E2FEB"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E9133C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537CE263" w14:textId="02294203" w:rsidR="00EA4133" w:rsidRDefault="00EA4133">
      <w:pPr>
        <w:pStyle w:val="BodyText"/>
        <w:tabs>
          <w:tab w:val="left" w:pos="4680"/>
          <w:tab w:val="left" w:pos="7200"/>
        </w:tabs>
        <w:spacing w:before="480"/>
        <w:jc w:val="both"/>
        <w:rPr>
          <w:rFonts w:ascii="Arial" w:hAnsi="Arial"/>
        </w:rPr>
      </w:pPr>
      <w:r>
        <w:rPr>
          <w:rFonts w:ascii="Arial" w:hAnsi="Arial"/>
        </w:rPr>
        <w:lastRenderedPageBreak/>
        <w:t xml:space="preserve">Dated </w:t>
      </w:r>
      <w:r w:rsidR="00F91FF3">
        <w:rPr>
          <w:rFonts w:ascii="Arial" w:hAnsi="Arial"/>
        </w:rPr>
        <w:t>January 5</w:t>
      </w:r>
      <w:r w:rsidR="00C027AE">
        <w:rPr>
          <w:rFonts w:ascii="Arial" w:hAnsi="Arial"/>
        </w:rPr>
        <w:t>. 2022</w:t>
      </w:r>
      <w:r>
        <w:rPr>
          <w:rFonts w:ascii="Arial" w:hAnsi="Arial"/>
          <w:u w:val="single"/>
        </w:rPr>
        <w:tab/>
      </w:r>
      <w:r>
        <w:rPr>
          <w:rFonts w:ascii="Arial" w:hAnsi="Arial"/>
        </w:rPr>
        <w:t>.</w:t>
      </w:r>
    </w:p>
    <w:p w14:paraId="7905E2AD" w14:textId="3D344FA3" w:rsidR="00EA4133" w:rsidRDefault="00EA4133">
      <w:pPr>
        <w:pStyle w:val="List"/>
        <w:tabs>
          <w:tab w:val="left" w:pos="9180"/>
        </w:tabs>
        <w:ind w:left="5760" w:hanging="5760"/>
        <w:rPr>
          <w:rFonts w:ascii="Arial" w:hAnsi="Arial"/>
        </w:rPr>
      </w:pPr>
      <w:r>
        <w:rPr>
          <w:rFonts w:ascii="Arial" w:hAnsi="Arial"/>
        </w:rPr>
        <w:tab/>
      </w:r>
      <w:r w:rsidR="00EA4371">
        <w:rPr>
          <w:rFonts w:ascii="Arial" w:hAnsi="Arial"/>
        </w:rPr>
        <w:t>Douglas Unwin</w:t>
      </w:r>
      <w:r>
        <w:rPr>
          <w:rFonts w:ascii="Arial" w:hAnsi="Arial"/>
          <w:u w:val="single"/>
        </w:rPr>
        <w:tab/>
      </w:r>
      <w:r>
        <w:rPr>
          <w:rFonts w:ascii="Arial" w:hAnsi="Arial"/>
          <w:u w:val="single"/>
        </w:rPr>
        <w:br/>
      </w:r>
      <w:r>
        <w:rPr>
          <w:rFonts w:ascii="Arial" w:hAnsi="Arial"/>
        </w:rPr>
        <w:t>Name of Director or Senior Officer</w:t>
      </w:r>
    </w:p>
    <w:p w14:paraId="71D60A92" w14:textId="2BCDC087" w:rsidR="00EA4133" w:rsidRDefault="00EA4133">
      <w:pPr>
        <w:pStyle w:val="List"/>
        <w:tabs>
          <w:tab w:val="left" w:pos="9180"/>
          <w:tab w:val="left" w:pos="9360"/>
        </w:tabs>
        <w:ind w:left="5760" w:hanging="5760"/>
        <w:rPr>
          <w:rFonts w:ascii="Arial" w:hAnsi="Arial"/>
        </w:rPr>
      </w:pPr>
      <w:r>
        <w:rPr>
          <w:rFonts w:ascii="Arial" w:hAnsi="Arial"/>
        </w:rPr>
        <w:tab/>
      </w:r>
      <w:r w:rsidR="00F91FF3">
        <w:rPr>
          <w:rFonts w:ascii="Arial" w:hAnsi="Arial"/>
        </w:rPr>
        <w:t xml:space="preserve">S// </w:t>
      </w:r>
      <w:r w:rsidR="00EA4371" w:rsidRPr="00F91FF3">
        <w:rPr>
          <w:rFonts w:ascii="Arial" w:hAnsi="Arial"/>
          <w:b/>
          <w:bCs/>
          <w:i/>
          <w:iCs/>
        </w:rPr>
        <w:t>D Unwin</w:t>
      </w:r>
      <w:r w:rsidR="00F91FF3">
        <w:rPr>
          <w:rFonts w:ascii="Arial" w:hAnsi="Arial"/>
          <w:u w:val="single"/>
        </w:rPr>
        <w:t xml:space="preserve"> //</w:t>
      </w:r>
      <w:r>
        <w:rPr>
          <w:rFonts w:ascii="Arial" w:hAnsi="Arial"/>
          <w:u w:val="single"/>
        </w:rPr>
        <w:tab/>
      </w:r>
      <w:r>
        <w:rPr>
          <w:rFonts w:ascii="Arial" w:hAnsi="Arial"/>
        </w:rPr>
        <w:br/>
        <w:t>Signature</w:t>
      </w:r>
    </w:p>
    <w:p w14:paraId="3B606977" w14:textId="0455C4F1" w:rsidR="00EA4133" w:rsidRDefault="00EA4133">
      <w:pPr>
        <w:pStyle w:val="List"/>
        <w:tabs>
          <w:tab w:val="left" w:pos="9180"/>
          <w:tab w:val="left" w:pos="9360"/>
        </w:tabs>
        <w:ind w:left="5760" w:hanging="5760"/>
        <w:rPr>
          <w:rFonts w:ascii="Arial" w:hAnsi="Arial"/>
        </w:rPr>
      </w:pPr>
      <w:r>
        <w:rPr>
          <w:rFonts w:ascii="Arial" w:hAnsi="Arial"/>
        </w:rPr>
        <w:tab/>
      </w:r>
      <w:r w:rsidR="00EA4371">
        <w:rPr>
          <w:rFonts w:ascii="Arial" w:hAnsi="Arial"/>
        </w:rPr>
        <w:t>CEO &amp; President</w:t>
      </w:r>
      <w:r>
        <w:rPr>
          <w:rFonts w:ascii="Arial" w:hAnsi="Arial"/>
          <w:u w:val="single"/>
        </w:rPr>
        <w:tab/>
      </w:r>
      <w:r>
        <w:rPr>
          <w:rFonts w:ascii="Arial" w:hAnsi="Arial"/>
        </w:rPr>
        <w:br/>
        <w:t>Official Capacity</w:t>
      </w:r>
    </w:p>
    <w:p w14:paraId="7CBADFC1" w14:textId="77777777" w:rsidR="00C500F0" w:rsidRDefault="00C500F0">
      <w:pPr>
        <w:pStyle w:val="List"/>
        <w:tabs>
          <w:tab w:val="left" w:pos="9180"/>
          <w:tab w:val="left" w:pos="9360"/>
        </w:tabs>
        <w:ind w:left="5760" w:hanging="5760"/>
        <w:rPr>
          <w:rFonts w:ascii="Arial" w:hAnsi="Arial"/>
        </w:rPr>
      </w:pPr>
    </w:p>
    <w:p w14:paraId="2826F40A" w14:textId="77777777" w:rsidR="00C500F0" w:rsidRDefault="00C500F0">
      <w:pPr>
        <w:pStyle w:val="List"/>
        <w:tabs>
          <w:tab w:val="left" w:pos="9180"/>
          <w:tab w:val="left" w:pos="9360"/>
        </w:tabs>
        <w:ind w:left="5760" w:hanging="5760"/>
        <w:rPr>
          <w:rFonts w:ascii="Arial" w:hAnsi="Arial"/>
        </w:rPr>
      </w:pPr>
    </w:p>
    <w:p w14:paraId="796CE019"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60DE0F5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1FEC0E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53AA73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62DF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CA7A71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6C28B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0650B5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71C4F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A9D9A2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B2EEDD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267CCC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328403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lastRenderedPageBreak/>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A3562B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D18D84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D2EE94C"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6DE1" w14:textId="77777777" w:rsidR="00E4710A" w:rsidRDefault="00E4710A">
      <w:r>
        <w:separator/>
      </w:r>
    </w:p>
  </w:endnote>
  <w:endnote w:type="continuationSeparator" w:id="0">
    <w:p w14:paraId="0DAAF0A1" w14:textId="77777777" w:rsidR="00E4710A" w:rsidRDefault="00E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8189" w14:textId="71684FF8" w:rsidR="00EA4133" w:rsidRDefault="000222D7"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349E51B" wp14:editId="1EE279D3">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F235"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F552A8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14D5B0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FA906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92A"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1041" w14:textId="77777777" w:rsidR="00E4710A" w:rsidRDefault="00E4710A">
      <w:r>
        <w:separator/>
      </w:r>
    </w:p>
  </w:footnote>
  <w:footnote w:type="continuationSeparator" w:id="0">
    <w:p w14:paraId="287BC21B" w14:textId="77777777" w:rsidR="00E4710A" w:rsidRDefault="00E4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BD2A5A"/>
    <w:multiLevelType w:val="hybridMultilevel"/>
    <w:tmpl w:val="4B8EE46C"/>
    <w:lvl w:ilvl="0" w:tplc="953C8BF2">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628396110">
    <w:abstractNumId w:val="3"/>
  </w:num>
  <w:num w:numId="2" w16cid:durableId="1183325725">
    <w:abstractNumId w:val="13"/>
  </w:num>
  <w:num w:numId="3" w16cid:durableId="648284765">
    <w:abstractNumId w:val="10"/>
  </w:num>
  <w:num w:numId="4" w16cid:durableId="2009477053">
    <w:abstractNumId w:val="14"/>
  </w:num>
  <w:num w:numId="5" w16cid:durableId="1424910575">
    <w:abstractNumId w:val="12"/>
  </w:num>
  <w:num w:numId="6" w16cid:durableId="1721321562">
    <w:abstractNumId w:val="0"/>
  </w:num>
  <w:num w:numId="7" w16cid:durableId="890000198">
    <w:abstractNumId w:val="11"/>
  </w:num>
  <w:num w:numId="8" w16cid:durableId="1945921250">
    <w:abstractNumId w:val="6"/>
  </w:num>
  <w:num w:numId="9" w16cid:durableId="190339111">
    <w:abstractNumId w:val="8"/>
  </w:num>
  <w:num w:numId="10" w16cid:durableId="1849130256">
    <w:abstractNumId w:val="5"/>
  </w:num>
  <w:num w:numId="11" w16cid:durableId="199320968">
    <w:abstractNumId w:val="15"/>
  </w:num>
  <w:num w:numId="12" w16cid:durableId="11300070">
    <w:abstractNumId w:val="18"/>
  </w:num>
  <w:num w:numId="13" w16cid:durableId="1174153630">
    <w:abstractNumId w:val="4"/>
  </w:num>
  <w:num w:numId="14" w16cid:durableId="68969165">
    <w:abstractNumId w:val="9"/>
  </w:num>
  <w:num w:numId="15" w16cid:durableId="771827766">
    <w:abstractNumId w:val="1"/>
  </w:num>
  <w:num w:numId="16" w16cid:durableId="545260945">
    <w:abstractNumId w:val="16"/>
  </w:num>
  <w:num w:numId="17" w16cid:durableId="1979870218">
    <w:abstractNumId w:val="7"/>
  </w:num>
  <w:num w:numId="18" w16cid:durableId="225802268">
    <w:abstractNumId w:val="17"/>
  </w:num>
  <w:num w:numId="19" w16cid:durableId="999962508">
    <w:abstractNumId w:val="11"/>
    <w:lvlOverride w:ilvl="0">
      <w:startOverride w:val="2"/>
    </w:lvlOverride>
  </w:num>
  <w:num w:numId="20" w16cid:durableId="183279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22D7"/>
    <w:rsid w:val="000B64EF"/>
    <w:rsid w:val="000C7CEC"/>
    <w:rsid w:val="00116314"/>
    <w:rsid w:val="00122D6D"/>
    <w:rsid w:val="00173F0B"/>
    <w:rsid w:val="00186DA5"/>
    <w:rsid w:val="001E1378"/>
    <w:rsid w:val="002557FD"/>
    <w:rsid w:val="002560F1"/>
    <w:rsid w:val="00272E5F"/>
    <w:rsid w:val="00292BA2"/>
    <w:rsid w:val="002F0416"/>
    <w:rsid w:val="00305EB6"/>
    <w:rsid w:val="00326D55"/>
    <w:rsid w:val="003431FD"/>
    <w:rsid w:val="0035331C"/>
    <w:rsid w:val="003C6D7E"/>
    <w:rsid w:val="00456624"/>
    <w:rsid w:val="00461744"/>
    <w:rsid w:val="004A1403"/>
    <w:rsid w:val="004B214D"/>
    <w:rsid w:val="00501ED6"/>
    <w:rsid w:val="00544BCF"/>
    <w:rsid w:val="00552F62"/>
    <w:rsid w:val="00617A0E"/>
    <w:rsid w:val="0062717F"/>
    <w:rsid w:val="007033A5"/>
    <w:rsid w:val="007568B3"/>
    <w:rsid w:val="007B0425"/>
    <w:rsid w:val="007C360D"/>
    <w:rsid w:val="007C4F86"/>
    <w:rsid w:val="008003B9"/>
    <w:rsid w:val="00840B45"/>
    <w:rsid w:val="008F27FF"/>
    <w:rsid w:val="009136E7"/>
    <w:rsid w:val="00925DF9"/>
    <w:rsid w:val="009466F0"/>
    <w:rsid w:val="0097763E"/>
    <w:rsid w:val="009C1EC2"/>
    <w:rsid w:val="009E2563"/>
    <w:rsid w:val="00A00C54"/>
    <w:rsid w:val="00A10285"/>
    <w:rsid w:val="00A365B8"/>
    <w:rsid w:val="00A90670"/>
    <w:rsid w:val="00A93530"/>
    <w:rsid w:val="00A9392C"/>
    <w:rsid w:val="00AD3710"/>
    <w:rsid w:val="00B923F6"/>
    <w:rsid w:val="00BE2894"/>
    <w:rsid w:val="00C027AE"/>
    <w:rsid w:val="00C10A32"/>
    <w:rsid w:val="00C500F0"/>
    <w:rsid w:val="00C536D3"/>
    <w:rsid w:val="00CA7E81"/>
    <w:rsid w:val="00CC2519"/>
    <w:rsid w:val="00CF076A"/>
    <w:rsid w:val="00CF2A90"/>
    <w:rsid w:val="00CF5580"/>
    <w:rsid w:val="00CF72A4"/>
    <w:rsid w:val="00D270BE"/>
    <w:rsid w:val="00DA6830"/>
    <w:rsid w:val="00DB640C"/>
    <w:rsid w:val="00E4710A"/>
    <w:rsid w:val="00E55E58"/>
    <w:rsid w:val="00E83A64"/>
    <w:rsid w:val="00E97C13"/>
    <w:rsid w:val="00EA4133"/>
    <w:rsid w:val="00EA4371"/>
    <w:rsid w:val="00F33BBE"/>
    <w:rsid w:val="00F91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B85A1"/>
  <w15:docId w15:val="{08F73AA1-AF90-4AF8-BBEF-860DEE58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Doug Unwin</cp:lastModifiedBy>
  <cp:revision>6</cp:revision>
  <cp:lastPrinted>2004-05-20T20:47:00Z</cp:lastPrinted>
  <dcterms:created xsi:type="dcterms:W3CDTF">2022-12-30T22:28:00Z</dcterms:created>
  <dcterms:modified xsi:type="dcterms:W3CDTF">2023-01-04T17:21:00Z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