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rsidTr="00840B45">
        <w:tc>
          <w:tcPr>
            <w:tcW w:w="6487" w:type="dxa"/>
          </w:tcPr>
          <w:p w:rsidR="00840B45" w:rsidRDefault="005610B0" w:rsidP="00840B45">
            <w:pPr>
              <w:pStyle w:val="BodyText"/>
              <w:jc w:val="right"/>
              <w:rPr>
                <w:rFonts w:ascii="Arial" w:hAnsi="Arial"/>
                <w:lang w:val="en-CA"/>
              </w:rPr>
            </w:pPr>
            <w:r>
              <w:rPr>
                <w:rFonts w:ascii="Arial" w:hAnsi="Arial"/>
                <w:lang w:val="en-CA"/>
              </w:rPr>
              <w:t xml:space="preserve">First Energy Metals Limited </w:t>
            </w:r>
            <w:r w:rsidR="00840B45">
              <w:rPr>
                <w:rFonts w:ascii="Arial" w:hAnsi="Arial"/>
                <w:lang w:val="en-CA"/>
              </w:rPr>
              <w:t xml:space="preserve">(the “Issuer”).  </w:t>
            </w:r>
          </w:p>
        </w:tc>
        <w:tc>
          <w:tcPr>
            <w:tcW w:w="3089" w:type="dxa"/>
          </w:tcPr>
          <w:p w:rsidR="00840B45" w:rsidRDefault="005610B0">
            <w:pPr>
              <w:pStyle w:val="BodyText"/>
              <w:rPr>
                <w:rFonts w:ascii="Arial" w:hAnsi="Arial"/>
                <w:lang w:val="en-CA"/>
              </w:rPr>
            </w:pPr>
            <w:r>
              <w:rPr>
                <w:rFonts w:ascii="Arial" w:hAnsi="Arial"/>
                <w:lang w:val="en-CA"/>
              </w:rPr>
              <w:t xml:space="preserve"> FE</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8752DF">
        <w:rPr>
          <w:rFonts w:ascii="Arial" w:hAnsi="Arial"/>
          <w:u w:val="single"/>
          <w:lang w:val="en-CA"/>
        </w:rPr>
        <w:t>Jan</w:t>
      </w:r>
      <w:r w:rsidR="005610B0">
        <w:rPr>
          <w:rFonts w:ascii="Arial" w:hAnsi="Arial"/>
          <w:u w:val="single"/>
          <w:lang w:val="en-CA"/>
        </w:rPr>
        <w:t xml:space="preserve"> 2</w:t>
      </w:r>
      <w:r w:rsidR="008752DF">
        <w:rPr>
          <w:rFonts w:ascii="Arial" w:hAnsi="Arial"/>
          <w:u w:val="single"/>
          <w:lang w:val="en-CA"/>
        </w:rPr>
        <w:t>2</w:t>
      </w:r>
      <w:r w:rsidR="005610B0">
        <w:rPr>
          <w:rFonts w:ascii="Arial" w:hAnsi="Arial"/>
          <w:u w:val="single"/>
          <w:lang w:val="en-CA"/>
        </w:rPr>
        <w:t>,20</w:t>
      </w:r>
      <w:r w:rsidR="00142698">
        <w:rPr>
          <w:rFonts w:ascii="Arial" w:hAnsi="Arial"/>
          <w:u w:val="single"/>
          <w:lang w:val="en-CA"/>
        </w:rPr>
        <w:t>20</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tab/>
      </w:r>
      <w:r w:rsidRPr="005F2221">
        <w:rPr>
          <w:rFonts w:ascii="Arial" w:hAnsi="Arial"/>
          <w:b/>
          <w:bCs/>
          <w:lang w:val="en-CA"/>
        </w:rPr>
        <w:sym w:font="Monotype Sorts" w:char="F07F"/>
      </w:r>
      <w:r>
        <w:rPr>
          <w:rFonts w:ascii="Arial" w:hAnsi="Arial"/>
          <w:lang w:val="en-CA"/>
        </w:rPr>
        <w:t>Yes</w:t>
      </w:r>
      <w:r>
        <w:rPr>
          <w:rFonts w:ascii="Arial" w:hAnsi="Arial"/>
          <w:lang w:val="en-CA"/>
        </w:rPr>
        <w:tab/>
      </w:r>
      <w:r>
        <w:rPr>
          <w:rFonts w:ascii="Arial" w:hAnsi="Arial"/>
          <w:lang w:val="en-CA"/>
        </w:rPr>
        <w:tab/>
      </w:r>
      <w:r w:rsidRPr="005F2221">
        <w:rPr>
          <w:rFonts w:ascii="Arial" w:hAnsi="Arial"/>
          <w:highlight w:val="black"/>
          <w:lang w:val="en-CA"/>
        </w:rPr>
        <w:sym w:font="Monotype Sorts" w:char="F07F"/>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Issued and Outstanding Securities of Issuer Prior to Issuance</w:t>
      </w:r>
      <w:r w:rsidRPr="005610B0">
        <w:rPr>
          <w:rFonts w:ascii="Arial" w:hAnsi="Arial"/>
          <w:u w:val="single"/>
          <w:lang w:val="en-CA"/>
        </w:rPr>
        <w:t xml:space="preserve">:  </w:t>
      </w:r>
      <w:r w:rsidR="005610B0" w:rsidRPr="005610B0">
        <w:rPr>
          <w:rFonts w:ascii="Arial" w:hAnsi="Arial"/>
          <w:u w:val="single"/>
          <w:lang w:val="en-CA"/>
        </w:rPr>
        <w:t>17, 631,0</w:t>
      </w:r>
      <w:r w:rsidR="005610B0">
        <w:rPr>
          <w:rFonts w:ascii="Arial" w:hAnsi="Arial"/>
          <w:u w:val="single"/>
          <w:lang w:val="en-CA"/>
        </w:rPr>
        <w:t>03___</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w:t>
      </w:r>
      <w:r w:rsidR="00784B1F">
        <w:rPr>
          <w:rFonts w:ascii="Arial" w:hAnsi="Arial"/>
          <w:u w:val="single"/>
          <w:lang w:val="en-CA"/>
        </w:rPr>
        <w:t>March 16</w:t>
      </w:r>
      <w:r w:rsidR="005610B0">
        <w:rPr>
          <w:rFonts w:ascii="Arial" w:hAnsi="Arial"/>
          <w:u w:val="single"/>
          <w:lang w:val="en-CA"/>
        </w:rPr>
        <w:t>, 20</w:t>
      </w:r>
      <w:r w:rsidR="00142698">
        <w:rPr>
          <w:rFonts w:ascii="Arial" w:hAnsi="Arial"/>
          <w:u w:val="single"/>
          <w:lang w:val="en-CA"/>
        </w:rPr>
        <w:t>20</w:t>
      </w:r>
      <w:r w:rsidR="00840B45">
        <w:rPr>
          <w:rFonts w:ascii="Arial" w:hAnsi="Arial"/>
          <w:u w:val="single"/>
          <w:lang w:val="en-CA"/>
        </w:rPr>
        <w:t xml:space="preserve">__________  </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w:t>
      </w:r>
      <w:r w:rsidR="005610B0">
        <w:rPr>
          <w:rFonts w:ascii="Arial" w:hAnsi="Arial"/>
          <w:u w:val="single"/>
          <w:lang w:val="en-CA"/>
        </w:rPr>
        <w:t>0.</w:t>
      </w:r>
      <w:r w:rsidR="00142698">
        <w:rPr>
          <w:rFonts w:ascii="Arial" w:hAnsi="Arial"/>
          <w:u w:val="single"/>
          <w:lang w:val="en-CA"/>
        </w:rPr>
        <w:t>0</w:t>
      </w:r>
      <w:r w:rsidR="00784B1F">
        <w:rPr>
          <w:rFonts w:ascii="Arial" w:hAnsi="Arial"/>
          <w:u w:val="single"/>
          <w:lang w:val="en-CA"/>
        </w:rPr>
        <w:t>6</w:t>
      </w:r>
      <w:r>
        <w:rPr>
          <w:rFonts w:ascii="Arial" w:hAnsi="Arial"/>
          <w:lang w:val="en-CA"/>
        </w:rPr>
        <w:t>_____</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5610B0">
        <w:rPr>
          <w:rFonts w:ascii="Arial" w:hAnsi="Arial"/>
          <w:u w:val="single"/>
          <w:lang w:val="en-CA"/>
        </w:rPr>
        <w:t>10,000,000</w:t>
      </w:r>
      <w:r>
        <w:rPr>
          <w:rFonts w:ascii="Arial" w:hAnsi="Arial"/>
          <w:lang w:val="en-CA"/>
        </w:rPr>
        <w:t>______________</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5610B0">
        <w:rPr>
          <w:rFonts w:ascii="Arial" w:hAnsi="Arial"/>
          <w:u w:val="single"/>
          <w:lang w:val="en-CA"/>
        </w:rPr>
        <w:t>27,631,003</w:t>
      </w:r>
      <w:r>
        <w:rPr>
          <w:rFonts w:ascii="Arial" w:hAnsi="Arial"/>
          <w:lang w:val="en-CA"/>
        </w:rPr>
        <w:t>_______________</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5610B0">
        <w:rPr>
          <w:rFonts w:ascii="Arial" w:hAnsi="Arial"/>
        </w:rPr>
        <w:t xml:space="preserve"> </w:t>
      </w:r>
      <w:r w:rsidR="005610B0">
        <w:rPr>
          <w:rFonts w:ascii="Arial" w:hAnsi="Arial"/>
          <w:u w:val="single"/>
        </w:rPr>
        <w:t xml:space="preserve">$ </w:t>
      </w:r>
      <w:r w:rsidR="00784B1F">
        <w:rPr>
          <w:rFonts w:ascii="Arial" w:hAnsi="Arial"/>
          <w:u w:val="single"/>
        </w:rPr>
        <w:t>5</w:t>
      </w:r>
      <w:r w:rsidR="00142698">
        <w:rPr>
          <w:rFonts w:ascii="Arial" w:hAnsi="Arial"/>
          <w:u w:val="single"/>
        </w:rPr>
        <w:t>00</w:t>
      </w:r>
      <w:r w:rsidR="005610B0">
        <w:rPr>
          <w:rFonts w:ascii="Arial" w:hAnsi="Arial"/>
          <w:u w:val="single"/>
        </w:rPr>
        <w:t xml:space="preserve">,000 </w:t>
      </w:r>
      <w:r w:rsidR="00B10B9D">
        <w:rPr>
          <w:rFonts w:ascii="Arial" w:hAnsi="Arial"/>
          <w:u w:val="single"/>
        </w:rPr>
        <w:tab/>
      </w:r>
      <w:r w:rsidR="00B10B9D">
        <w:rPr>
          <w:rFonts w:ascii="Arial" w:hAnsi="Arial"/>
        </w:rPr>
        <w:t>.</w:t>
      </w:r>
    </w:p>
    <w:p w:rsidR="002E0BC3" w:rsidRDefault="00EA4133" w:rsidP="002E0BC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2E0BC3">
        <w:rPr>
          <w:rFonts w:ascii="Arial" w:hAnsi="Arial"/>
        </w:rPr>
        <w:t xml:space="preserve"> </w:t>
      </w:r>
    </w:p>
    <w:p w:rsidR="00142698" w:rsidRDefault="002E0BC3" w:rsidP="00142698">
      <w:pPr>
        <w:spacing w:line="360" w:lineRule="auto"/>
        <w:rPr>
          <w:rFonts w:asciiTheme="minorBidi" w:hAnsiTheme="minorBidi" w:cstheme="minorBidi"/>
          <w:color w:val="000000"/>
          <w:u w:val="single"/>
          <w:lang w:val="en-CA" w:eastAsia="zh-CN"/>
        </w:rPr>
      </w:pPr>
      <w:r>
        <w:rPr>
          <w:rFonts w:ascii="Arial" w:hAnsi="Arial"/>
        </w:rPr>
        <w:lastRenderedPageBreak/>
        <w:tab/>
      </w:r>
      <w:r w:rsidRPr="00142698">
        <w:rPr>
          <w:rFonts w:asciiTheme="minorBidi" w:hAnsiTheme="minorBidi" w:cstheme="minorBidi"/>
          <w:i/>
          <w:iCs/>
        </w:rPr>
        <w:t xml:space="preserve">The funds raised in connection with the private placement will be used for general working capital </w:t>
      </w:r>
      <w:r w:rsidRPr="00142698">
        <w:rPr>
          <w:rFonts w:asciiTheme="minorBidi" w:hAnsiTheme="minorBidi" w:cstheme="minorBidi"/>
          <w:i/>
          <w:iCs/>
        </w:rPr>
        <w:tab/>
        <w:t xml:space="preserve">purposes and </w:t>
      </w:r>
      <w:r w:rsidR="00142698" w:rsidRPr="00142698">
        <w:rPr>
          <w:rFonts w:asciiTheme="minorBidi" w:hAnsiTheme="minorBidi" w:cstheme="minorBidi"/>
          <w:i/>
          <w:iCs/>
        </w:rPr>
        <w:t xml:space="preserve">completing the initial work program for the Thunder Mountain property. </w:t>
      </w:r>
      <w:r w:rsidRPr="00142698">
        <w:rPr>
          <w:rFonts w:asciiTheme="minorBidi" w:hAnsiTheme="minorBidi" w:cstheme="minorBidi"/>
          <w:i/>
          <w:iCs/>
          <w:color w:val="000000"/>
          <w:lang w:val="en-CA" w:eastAsia="zh-CN"/>
        </w:rPr>
        <w:t>I</w:t>
      </w:r>
      <w:r w:rsidR="00D00A3F" w:rsidRPr="00142698">
        <w:rPr>
          <w:rFonts w:asciiTheme="minorBidi" w:hAnsiTheme="minorBidi" w:cstheme="minorBidi"/>
          <w:i/>
          <w:iCs/>
          <w:color w:val="000000"/>
          <w:lang w:val="en-CA" w:eastAsia="zh-CN"/>
        </w:rPr>
        <w:t xml:space="preserve">n addition, </w:t>
      </w:r>
      <w:r w:rsidR="00142698" w:rsidRPr="00142698">
        <w:rPr>
          <w:rFonts w:asciiTheme="minorBidi" w:hAnsiTheme="minorBidi" w:cstheme="minorBidi"/>
          <w:i/>
          <w:iCs/>
          <w:color w:val="000000"/>
          <w:lang w:val="en-CA" w:eastAsia="zh-CN"/>
        </w:rPr>
        <w:tab/>
      </w:r>
      <w:r w:rsidR="00D00A3F" w:rsidRPr="00142698">
        <w:rPr>
          <w:rFonts w:asciiTheme="minorBidi" w:hAnsiTheme="minorBidi" w:cstheme="minorBidi"/>
          <w:i/>
          <w:iCs/>
          <w:color w:val="000000"/>
          <w:lang w:val="en-CA" w:eastAsia="zh-CN"/>
        </w:rPr>
        <w:t xml:space="preserve">First Energy intends to allocate a portion of the money raised to fund the next round </w:t>
      </w:r>
      <w:r w:rsidR="00D00A3F" w:rsidRPr="00142698">
        <w:rPr>
          <w:rFonts w:asciiTheme="minorBidi" w:hAnsiTheme="minorBidi" w:cstheme="minorBidi"/>
          <w:i/>
          <w:iCs/>
          <w:color w:val="000000"/>
          <w:lang w:val="en-CA" w:eastAsia="zh-CN"/>
        </w:rPr>
        <w:tab/>
      </w:r>
      <w:r w:rsidR="00D00A3F" w:rsidRPr="00142698">
        <w:rPr>
          <w:rFonts w:asciiTheme="minorBidi" w:hAnsiTheme="minorBidi" w:cstheme="minorBidi"/>
          <w:i/>
          <w:iCs/>
          <w:color w:val="000000"/>
          <w:lang w:val="en-CA" w:eastAsia="zh-CN"/>
        </w:rPr>
        <w:tab/>
        <w:t xml:space="preserve">of exploration at the Phyllis Cobalt project in Ontario. </w:t>
      </w:r>
      <w:r w:rsidR="00142698" w:rsidRPr="00142698">
        <w:rPr>
          <w:rFonts w:asciiTheme="minorBidi" w:hAnsiTheme="minorBidi" w:cstheme="minorBidi"/>
          <w:i/>
          <w:iCs/>
          <w:color w:val="000000"/>
          <w:lang w:val="en-CA" w:eastAsia="zh-CN"/>
        </w:rPr>
        <w:t xml:space="preserve">Details of the proposed exploration </w:t>
      </w:r>
      <w:r w:rsidR="00142698" w:rsidRPr="00142698">
        <w:rPr>
          <w:rFonts w:asciiTheme="minorBidi" w:hAnsiTheme="minorBidi" w:cstheme="minorBidi"/>
          <w:i/>
          <w:iCs/>
          <w:color w:val="000000"/>
          <w:lang w:val="en-CA" w:eastAsia="zh-CN"/>
        </w:rPr>
        <w:tab/>
        <w:t xml:space="preserve">programs will be outlined in future news releases assuming First Energy is successful in </w:t>
      </w:r>
      <w:r w:rsidR="00142698" w:rsidRPr="00142698">
        <w:rPr>
          <w:rFonts w:asciiTheme="minorBidi" w:hAnsiTheme="minorBidi" w:cstheme="minorBidi"/>
          <w:i/>
          <w:iCs/>
          <w:color w:val="000000"/>
          <w:lang w:val="en-CA" w:eastAsia="zh-CN"/>
        </w:rPr>
        <w:tab/>
        <w:t>completing the above private placement</w:t>
      </w:r>
      <w:r w:rsidR="00142698">
        <w:rPr>
          <w:rFonts w:asciiTheme="minorBidi" w:hAnsiTheme="minorBidi" w:cstheme="minorBidi"/>
          <w:color w:val="000000"/>
          <w:u w:val="single"/>
          <w:lang w:val="en-CA" w:eastAsia="zh-CN"/>
        </w:rPr>
        <w:t>.</w:t>
      </w:r>
    </w:p>
    <w:p w:rsidR="00142698" w:rsidRDefault="00142698" w:rsidP="00142698">
      <w:pPr>
        <w:spacing w:line="360" w:lineRule="auto"/>
        <w:rPr>
          <w:rFonts w:asciiTheme="minorBidi" w:hAnsiTheme="minorBidi" w:cstheme="minorBidi"/>
          <w:color w:val="000000"/>
          <w:u w:val="single"/>
          <w:lang w:val="en-CA" w:eastAsia="zh-CN"/>
        </w:rPr>
      </w:pPr>
    </w:p>
    <w:p w:rsidR="00EA4133" w:rsidRPr="002E0BC3" w:rsidRDefault="00EA4133" w:rsidP="002E0BC3">
      <w:pPr>
        <w:pStyle w:val="BodyText"/>
        <w:numPr>
          <w:ilvl w:val="0"/>
          <w:numId w:val="10"/>
        </w:numPr>
        <w:tabs>
          <w:tab w:val="left" w:pos="9180"/>
        </w:tabs>
        <w:rPr>
          <w:rFonts w:ascii="Arial" w:hAnsi="Arial"/>
        </w:rPr>
      </w:pPr>
      <w:r w:rsidRPr="002E0BC3">
        <w:rPr>
          <w:rFonts w:ascii="Arial" w:hAnsi="Arial"/>
        </w:rPr>
        <w:t xml:space="preserve">Provide particulars of any proceeds which are to be paid to Related Persons of the Issuer: </w:t>
      </w:r>
      <w:r w:rsidR="002E0BC3" w:rsidRPr="002E0BC3">
        <w:rPr>
          <w:rFonts w:ascii="Arial" w:hAnsi="Arial"/>
        </w:rPr>
        <w:t xml:space="preserve"> </w:t>
      </w:r>
      <w:r w:rsidR="002E0BC3" w:rsidRPr="002E0BC3">
        <w:rPr>
          <w:rFonts w:ascii="Arial" w:hAnsi="Arial"/>
          <w:u w:val="single"/>
        </w:rPr>
        <w:t xml:space="preserve">N/A </w:t>
      </w:r>
      <w:r w:rsidRPr="002E0BC3">
        <w:rPr>
          <w:rFonts w:ascii="Arial" w:hAnsi="Arial"/>
          <w:u w:val="single"/>
        </w:rPr>
        <w:tab/>
      </w:r>
      <w:r w:rsidRPr="002E0BC3">
        <w:rPr>
          <w:rFonts w:ascii="Arial" w:hAnsi="Arial"/>
        </w:rPr>
        <w:tab/>
      </w:r>
      <w:proofErr w:type="gramStart"/>
      <w:r w:rsidRPr="002E0BC3">
        <w:rPr>
          <w:rFonts w:ascii="Arial" w:hAnsi="Arial"/>
          <w:u w:val="single"/>
        </w:rPr>
        <w:tab/>
      </w:r>
      <w:r w:rsidRPr="002E0BC3">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bookmarkStart w:id="0" w:name="_GoBack"/>
      <w:bookmarkEnd w:id="0"/>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142698">
        <w:rPr>
          <w:rFonts w:ascii="Arial" w:hAnsi="Arial"/>
        </w:rPr>
        <w:t>:</w:t>
      </w:r>
      <w:proofErr w:type="gramEnd"/>
      <w:r w:rsidR="00142698">
        <w:rPr>
          <w:rFonts w:ascii="Arial" w:hAnsi="Arial"/>
        </w:rPr>
        <w:t xml:space="preserve"> </w:t>
      </w:r>
      <w:r w:rsidR="00142698" w:rsidRPr="00142698">
        <w:rPr>
          <w:rFonts w:ascii="Arial" w:hAnsi="Arial"/>
          <w:i/>
          <w:iCs/>
          <w:u w:val="single"/>
        </w:rPr>
        <w:t>Common Shares</w:t>
      </w:r>
      <w:r w:rsidR="00142698">
        <w:rPr>
          <w:rFonts w:ascii="Arial" w:hAnsi="Arial"/>
        </w:rPr>
        <w:t xml:space="preserv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r>
      <w:proofErr w:type="gramStart"/>
      <w:r>
        <w:rPr>
          <w:rFonts w:ascii="Arial" w:hAnsi="Arial"/>
        </w:rPr>
        <w:t xml:space="preserve">Number </w:t>
      </w:r>
      <w:r w:rsidR="008752DF">
        <w:rPr>
          <w:rFonts w:ascii="Arial" w:hAnsi="Arial"/>
        </w:rPr>
        <w:t xml:space="preserve"> </w:t>
      </w:r>
      <w:r w:rsidR="008752DF" w:rsidRPr="008752DF">
        <w:rPr>
          <w:rFonts w:ascii="Arial" w:hAnsi="Arial"/>
          <w:u w:val="single"/>
        </w:rPr>
        <w:t>10,000,000</w:t>
      </w:r>
      <w:proofErr w:type="gramEnd"/>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w:t>
      </w:r>
      <w:proofErr w:type="gramStart"/>
      <w:r>
        <w:rPr>
          <w:rFonts w:ascii="Arial" w:hAnsi="Arial"/>
        </w:rPr>
        <w:t xml:space="preserve">security </w:t>
      </w:r>
      <w:r w:rsidR="008752DF">
        <w:rPr>
          <w:rFonts w:ascii="Arial" w:hAnsi="Arial"/>
        </w:rPr>
        <w:t xml:space="preserve"> </w:t>
      </w:r>
      <w:r w:rsidR="008752DF" w:rsidRPr="008752DF">
        <w:rPr>
          <w:rFonts w:ascii="Arial" w:hAnsi="Arial"/>
          <w:u w:val="single"/>
        </w:rPr>
        <w:t>0.0</w:t>
      </w:r>
      <w:r w:rsidR="004C4F49">
        <w:rPr>
          <w:rFonts w:ascii="Arial" w:hAnsi="Arial"/>
          <w:u w:val="single"/>
        </w:rPr>
        <w:t>5</w:t>
      </w:r>
      <w:proofErr w:type="gramEnd"/>
      <w:r w:rsidR="008752DF" w:rsidRPr="008752DF">
        <w:rPr>
          <w:rFonts w:ascii="Arial" w:hAnsi="Arial"/>
          <w:u w:val="single"/>
        </w:rPr>
        <w:t xml:space="preserve"> cents per share</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w:t>
      </w:r>
      <w:proofErr w:type="gramStart"/>
      <w:r>
        <w:rPr>
          <w:rFonts w:ascii="Arial" w:hAnsi="Arial"/>
        </w:rPr>
        <w:t xml:space="preserve">rights </w:t>
      </w:r>
      <w:r w:rsidR="008752DF">
        <w:rPr>
          <w:rFonts w:ascii="Arial" w:hAnsi="Arial"/>
        </w:rPr>
        <w:t xml:space="preserve"> </w:t>
      </w:r>
      <w:r w:rsidR="008752DF" w:rsidRPr="008752DF">
        <w:rPr>
          <w:rFonts w:ascii="Arial" w:hAnsi="Arial"/>
          <w:u w:val="single"/>
        </w:rPr>
        <w:t>Yes</w:t>
      </w:r>
      <w:proofErr w:type="gramEnd"/>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Number </w:t>
      </w:r>
      <w:r w:rsidR="005610B0">
        <w:rPr>
          <w:rFonts w:ascii="Arial" w:hAnsi="Arial"/>
          <w:u w:val="single"/>
        </w:rPr>
        <w:t xml:space="preserve"> </w:t>
      </w:r>
      <w:r w:rsidR="00142698">
        <w:rPr>
          <w:rFonts w:ascii="Arial" w:hAnsi="Arial"/>
          <w:u w:val="single"/>
        </w:rPr>
        <w:t>10,000,000</w:t>
      </w:r>
      <w:proofErr w:type="gramEnd"/>
      <w:r w:rsidR="00142698">
        <w:rPr>
          <w:rFonts w:ascii="Arial" w:hAnsi="Arial"/>
          <w:u w:val="single"/>
        </w:rPr>
        <w:t xml:space="preserve"> Warrants </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142698" w:rsidRPr="00142698">
        <w:rPr>
          <w:rFonts w:ascii="Arial" w:hAnsi="Arial"/>
          <w:u w:val="single"/>
        </w:rPr>
        <w:t>10,000,000</w:t>
      </w:r>
      <w:proofErr w:type="gramEnd"/>
      <w:r w:rsidR="00142698" w:rsidRPr="00142698">
        <w:rPr>
          <w:rFonts w:ascii="Arial" w:hAnsi="Arial"/>
          <w:u w:val="single"/>
        </w:rPr>
        <w:t xml:space="preserve"> Warrants</w:t>
      </w:r>
      <w:r w:rsidR="00142698">
        <w:rPr>
          <w:rFonts w:ascii="Arial" w:hAnsi="Arial"/>
        </w:rPr>
        <w:t xml:space="preserve">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142698">
        <w:rPr>
          <w:rFonts w:ascii="Arial" w:hAnsi="Arial"/>
        </w:rPr>
        <w:t xml:space="preserve"> </w:t>
      </w:r>
      <w:r w:rsidR="00142698" w:rsidRPr="00142698">
        <w:rPr>
          <w:rFonts w:ascii="Arial" w:hAnsi="Arial"/>
          <w:u w:val="single"/>
        </w:rPr>
        <w:t>.20 cents</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142698">
        <w:rPr>
          <w:rFonts w:ascii="Arial" w:hAnsi="Arial"/>
          <w:u w:val="single"/>
        </w:rPr>
        <w:t>1 year from closing of private placement</w:t>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5610B0">
        <w:rPr>
          <w:rFonts w:ascii="Arial" w:hAnsi="Arial"/>
          <w:u w:val="single"/>
        </w:rPr>
        <w:t>N/A</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roofErr w:type="gramStart"/>
      <w:r>
        <w:rPr>
          <w:rFonts w:ascii="Arial" w:hAnsi="Arial"/>
          <w:u w:val="single"/>
        </w:rPr>
        <w:tab/>
      </w:r>
      <w:r>
        <w:rPr>
          <w:rFonts w:ascii="Arial" w:hAnsi="Arial"/>
        </w:rPr>
        <w:t xml:space="preserve"> .</w:t>
      </w:r>
      <w:proofErr w:type="gramEnd"/>
    </w:p>
    <w:p w:rsidR="00EA4133" w:rsidRDefault="00EA4133">
      <w:pPr>
        <w:pStyle w:val="BodyText"/>
        <w:tabs>
          <w:tab w:val="left" w:pos="1080"/>
          <w:tab w:val="left" w:pos="1440"/>
          <w:tab w:val="left" w:pos="2160"/>
          <w:tab w:val="left" w:pos="9180"/>
        </w:tabs>
        <w:rPr>
          <w:rFonts w:ascii="Arial" w:hAnsi="Arial"/>
        </w:rPr>
      </w:pPr>
      <w:r>
        <w:rPr>
          <w:rFonts w:ascii="Arial" w:hAnsi="Arial"/>
        </w:rPr>
        <w:lastRenderedPageBreak/>
        <w:tab/>
        <w:t xml:space="preserve">(d) </w:t>
      </w:r>
      <w:r>
        <w:rPr>
          <w:rFonts w:ascii="Arial" w:hAnsi="Arial"/>
        </w:rPr>
        <w:tab/>
        <w:t xml:space="preserve">Conversion terms </w:t>
      </w:r>
      <w:proofErr w:type="gramStart"/>
      <w:r>
        <w:rPr>
          <w:rFonts w:ascii="Arial" w:hAnsi="Arial"/>
          <w:u w:val="single"/>
        </w:rPr>
        <w:tab/>
      </w:r>
      <w:r>
        <w:rPr>
          <w:rFonts w:ascii="Arial" w:hAnsi="Arial"/>
        </w:rPr>
        <w:t xml:space="preserve"> .</w:t>
      </w:r>
      <w:proofErr w:type="gramEnd"/>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r>
      <w:proofErr w:type="gramStart"/>
      <w:r>
        <w:rPr>
          <w:rFonts w:ascii="Arial" w:hAnsi="Arial"/>
        </w:rPr>
        <w:t xml:space="preserve">Cash </w:t>
      </w:r>
      <w:r w:rsidR="00784B1F">
        <w:rPr>
          <w:rFonts w:ascii="Arial" w:hAnsi="Arial"/>
        </w:rPr>
        <w:t xml:space="preserve"> </w:t>
      </w:r>
      <w:r w:rsidR="00784B1F">
        <w:rPr>
          <w:rFonts w:ascii="Arial" w:hAnsi="Arial"/>
          <w:u w:val="single"/>
        </w:rPr>
        <w:t>5</w:t>
      </w:r>
      <w:proofErr w:type="gramEnd"/>
      <w:r w:rsidR="00784B1F">
        <w:rPr>
          <w:rFonts w:ascii="Arial" w:hAnsi="Arial"/>
          <w:u w:val="single"/>
        </w:rPr>
        <w:t xml:space="preserve"> % cash</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784B1F">
        <w:rPr>
          <w:rFonts w:ascii="Arial" w:hAnsi="Arial"/>
          <w:u w:val="single"/>
        </w:rPr>
        <w:t xml:space="preserve">$ 100,000 will be flow-through shares - The flow through shares will have no </w:t>
      </w:r>
      <w:r w:rsidR="00784B1F" w:rsidRPr="00784B1F">
        <w:rPr>
          <w:rFonts w:ascii="Arial" w:hAnsi="Arial"/>
        </w:rPr>
        <w:tab/>
      </w:r>
      <w:r w:rsidR="00784B1F">
        <w:rPr>
          <w:rFonts w:ascii="Arial" w:hAnsi="Arial"/>
          <w:u w:val="single"/>
        </w:rPr>
        <w:t>warrant</w:t>
      </w:r>
      <w:r w:rsidR="004C4F49">
        <w:rPr>
          <w:rFonts w:ascii="Arial" w:hAnsi="Arial"/>
          <w:u w:val="single"/>
        </w:rPr>
        <w:t>s</w:t>
      </w:r>
      <w:r w:rsidR="00784B1F">
        <w:rPr>
          <w:rFonts w:ascii="Arial" w:hAnsi="Arial"/>
          <w:u w:val="single"/>
        </w:rPr>
        <w:t>.</w:t>
      </w:r>
      <w:r w:rsidR="00784B1F">
        <w:rPr>
          <w:rFonts w:ascii="Arial" w:hAnsi="Arial"/>
          <w:u w:val="single"/>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5610B0">
        <w:rPr>
          <w:rFonts w:ascii="Arial" w:hAnsi="Arial"/>
          <w:u w:val="single"/>
        </w:rPr>
        <w:t>None</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lastRenderedPageBreak/>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142698"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142698">
        <w:rPr>
          <w:rFonts w:ascii="Arial" w:hAnsi="Arial"/>
          <w:color w:val="000000"/>
        </w:rPr>
        <w:t xml:space="preserve"> </w:t>
      </w:r>
    </w:p>
    <w:p w:rsidR="00142698" w:rsidRDefault="00142698" w:rsidP="00142698">
      <w:pPr>
        <w:pStyle w:val="List"/>
        <w:tabs>
          <w:tab w:val="num" w:pos="1080"/>
          <w:tab w:val="left" w:pos="9180"/>
        </w:tabs>
        <w:spacing w:before="0"/>
        <w:ind w:left="0" w:firstLine="0"/>
        <w:jc w:val="both"/>
        <w:rPr>
          <w:rFonts w:ascii="Arial" w:hAnsi="Arial"/>
          <w:color w:val="000000"/>
          <w:u w:val="single"/>
        </w:rPr>
      </w:pPr>
    </w:p>
    <w:p w:rsidR="00142698" w:rsidRDefault="00142698" w:rsidP="004C4F49">
      <w:pPr>
        <w:pStyle w:val="NormalWeb"/>
        <w:jc w:val="both"/>
        <w:rPr>
          <w:rFonts w:asciiTheme="majorBidi" w:hAnsiTheme="majorBidi" w:cstheme="majorBidi"/>
          <w:i/>
          <w:iCs/>
        </w:rPr>
      </w:pPr>
      <w:r w:rsidRPr="00142698">
        <w:rPr>
          <w:rFonts w:ascii="Arial" w:hAnsi="Arial"/>
          <w:color w:val="000000"/>
        </w:rPr>
        <w:tab/>
      </w:r>
      <w:r w:rsidR="004C4F49" w:rsidRPr="004C4F49">
        <w:rPr>
          <w:rFonts w:asciiTheme="majorBidi" w:hAnsiTheme="majorBidi" w:cstheme="majorBidi"/>
          <w:i/>
          <w:iCs/>
        </w:rPr>
        <w:t>First Energy</w:t>
      </w:r>
      <w:r w:rsidR="004C4F49" w:rsidRPr="004C4F49">
        <w:rPr>
          <w:rFonts w:asciiTheme="majorBidi" w:hAnsiTheme="majorBidi" w:cstheme="majorBidi"/>
          <w:i/>
          <w:iCs/>
        </w:rPr>
        <w:t xml:space="preserve"> Metals</w:t>
      </w:r>
      <w:r w:rsidR="004C4F49" w:rsidRPr="004C4F49">
        <w:rPr>
          <w:rFonts w:asciiTheme="majorBidi" w:hAnsiTheme="majorBidi" w:cstheme="majorBidi"/>
          <w:b/>
          <w:bCs/>
          <w:i/>
          <w:iCs/>
        </w:rPr>
        <w:t xml:space="preserve"> </w:t>
      </w:r>
      <w:r w:rsidR="004C4F49" w:rsidRPr="004C4F49">
        <w:rPr>
          <w:rFonts w:asciiTheme="majorBidi" w:hAnsiTheme="majorBidi" w:cstheme="majorBidi"/>
          <w:i/>
          <w:iCs/>
        </w:rPr>
        <w:t xml:space="preserve">has entered into an option agreement with </w:t>
      </w:r>
      <w:proofErr w:type="spellStart"/>
      <w:r w:rsidR="004C4F49" w:rsidRPr="004C4F49">
        <w:rPr>
          <w:rFonts w:asciiTheme="majorBidi" w:hAnsiTheme="majorBidi" w:cstheme="majorBidi"/>
          <w:i/>
          <w:iCs/>
        </w:rPr>
        <w:t>Geomap</w:t>
      </w:r>
      <w:proofErr w:type="spellEnd"/>
      <w:r w:rsidR="004C4F49" w:rsidRPr="004C4F49">
        <w:rPr>
          <w:rFonts w:asciiTheme="majorBidi" w:hAnsiTheme="majorBidi" w:cstheme="majorBidi"/>
          <w:i/>
          <w:iCs/>
        </w:rPr>
        <w:t xml:space="preserve"> Exploration Inc. </w:t>
      </w:r>
      <w:r w:rsidR="004C4F49" w:rsidRPr="004C4F49">
        <w:rPr>
          <w:rFonts w:asciiTheme="majorBidi" w:hAnsiTheme="majorBidi" w:cstheme="majorBidi"/>
          <w:i/>
          <w:iCs/>
        </w:rPr>
        <w:tab/>
      </w:r>
      <w:r w:rsidR="004C4F49" w:rsidRPr="004C4F49">
        <w:rPr>
          <w:rFonts w:asciiTheme="majorBidi" w:hAnsiTheme="majorBidi" w:cstheme="majorBidi"/>
          <w:i/>
          <w:iCs/>
        </w:rPr>
        <w:t xml:space="preserve">(“the </w:t>
      </w:r>
      <w:proofErr w:type="spellStart"/>
      <w:r w:rsidR="004C4F49" w:rsidRPr="004C4F49">
        <w:rPr>
          <w:rFonts w:asciiTheme="majorBidi" w:hAnsiTheme="majorBidi" w:cstheme="majorBidi"/>
          <w:i/>
          <w:iCs/>
        </w:rPr>
        <w:t>Optionor</w:t>
      </w:r>
      <w:proofErr w:type="spellEnd"/>
      <w:r w:rsidR="004C4F49" w:rsidRPr="004C4F49">
        <w:rPr>
          <w:rFonts w:asciiTheme="majorBidi" w:hAnsiTheme="majorBidi" w:cstheme="majorBidi"/>
          <w:i/>
          <w:iCs/>
        </w:rPr>
        <w:t xml:space="preserve">”), a private Corporation registered in British Columbia, Canada, to </w:t>
      </w:r>
      <w:r w:rsidR="004C4F49" w:rsidRPr="004C4F49">
        <w:rPr>
          <w:rFonts w:asciiTheme="majorBidi" w:hAnsiTheme="majorBidi" w:cstheme="majorBidi"/>
          <w:i/>
          <w:iCs/>
        </w:rPr>
        <w:tab/>
      </w:r>
      <w:proofErr w:type="gramStart"/>
      <w:r w:rsidR="004C4F49" w:rsidRPr="004C4F49">
        <w:rPr>
          <w:rFonts w:asciiTheme="majorBidi" w:hAnsiTheme="majorBidi" w:cstheme="majorBidi"/>
          <w:i/>
          <w:iCs/>
        </w:rPr>
        <w:t>acquire  two</w:t>
      </w:r>
      <w:proofErr w:type="gramEnd"/>
      <w:r w:rsidR="004C4F49" w:rsidRPr="004C4F49">
        <w:rPr>
          <w:rFonts w:asciiTheme="majorBidi" w:hAnsiTheme="majorBidi" w:cstheme="majorBidi"/>
          <w:i/>
          <w:iCs/>
        </w:rPr>
        <w:t xml:space="preserve"> gold exploration properties located in the Province of British Columbia, </w:t>
      </w:r>
      <w:r w:rsidR="004C4F49" w:rsidRPr="004C4F49">
        <w:rPr>
          <w:rFonts w:asciiTheme="majorBidi" w:hAnsiTheme="majorBidi" w:cstheme="majorBidi"/>
          <w:i/>
          <w:iCs/>
        </w:rPr>
        <w:tab/>
      </w:r>
      <w:r w:rsidR="004C4F49" w:rsidRPr="004C4F49">
        <w:rPr>
          <w:rFonts w:asciiTheme="majorBidi" w:hAnsiTheme="majorBidi" w:cstheme="majorBidi"/>
          <w:i/>
          <w:iCs/>
        </w:rPr>
        <w:t xml:space="preserve">Canada. </w:t>
      </w:r>
      <w:r w:rsidR="004C4F49" w:rsidRPr="004C4F49">
        <w:rPr>
          <w:rFonts w:asciiTheme="majorBidi" w:hAnsiTheme="majorBidi" w:cstheme="majorBidi"/>
          <w:i/>
          <w:iCs/>
          <w:lang w:val="en-US"/>
        </w:rPr>
        <w:t>Pursuant to a property purchase option agreement (the “</w:t>
      </w:r>
      <w:r w:rsidR="004C4F49" w:rsidRPr="004C4F49">
        <w:rPr>
          <w:rFonts w:asciiTheme="majorBidi" w:hAnsiTheme="majorBidi" w:cstheme="majorBidi"/>
          <w:b/>
          <w:bCs/>
          <w:i/>
          <w:iCs/>
          <w:lang w:val="en-US"/>
        </w:rPr>
        <w:t xml:space="preserve">Option </w:t>
      </w:r>
      <w:r w:rsidR="004C4F49" w:rsidRPr="004C4F49">
        <w:rPr>
          <w:rFonts w:asciiTheme="majorBidi" w:hAnsiTheme="majorBidi" w:cstheme="majorBidi"/>
          <w:b/>
          <w:bCs/>
          <w:i/>
          <w:iCs/>
          <w:lang w:val="en-US"/>
        </w:rPr>
        <w:tab/>
      </w:r>
      <w:r w:rsidR="004C4F49" w:rsidRPr="004C4F49">
        <w:rPr>
          <w:rFonts w:asciiTheme="majorBidi" w:hAnsiTheme="majorBidi" w:cstheme="majorBidi"/>
          <w:b/>
          <w:bCs/>
          <w:i/>
          <w:iCs/>
          <w:lang w:val="en-US"/>
        </w:rPr>
        <w:t>Agreement</w:t>
      </w:r>
      <w:r w:rsidR="004C4F49" w:rsidRPr="004C4F49">
        <w:rPr>
          <w:rFonts w:asciiTheme="majorBidi" w:hAnsiTheme="majorBidi" w:cstheme="majorBidi"/>
          <w:i/>
          <w:iCs/>
          <w:lang w:val="en-US"/>
        </w:rPr>
        <w:t xml:space="preserve">”) </w:t>
      </w:r>
      <w:r w:rsidR="004C4F49" w:rsidRPr="004C4F49">
        <w:rPr>
          <w:rFonts w:asciiTheme="majorBidi" w:hAnsiTheme="majorBidi" w:cstheme="majorBidi"/>
          <w:i/>
          <w:iCs/>
          <w:lang w:val="en-US"/>
        </w:rPr>
        <w:tab/>
      </w:r>
      <w:r w:rsidR="004C4F49" w:rsidRPr="004C4F49">
        <w:rPr>
          <w:rFonts w:asciiTheme="majorBidi" w:hAnsiTheme="majorBidi" w:cstheme="majorBidi"/>
          <w:i/>
          <w:iCs/>
          <w:lang w:val="en-US"/>
        </w:rPr>
        <w:t xml:space="preserve">between the </w:t>
      </w:r>
      <w:proofErr w:type="spellStart"/>
      <w:r w:rsidR="004C4F49" w:rsidRPr="004C4F49">
        <w:rPr>
          <w:rFonts w:asciiTheme="majorBidi" w:hAnsiTheme="majorBidi" w:cstheme="majorBidi"/>
          <w:i/>
          <w:iCs/>
          <w:lang w:val="en-US"/>
        </w:rPr>
        <w:t>Optionor</w:t>
      </w:r>
      <w:proofErr w:type="spellEnd"/>
      <w:r w:rsidR="004C4F49" w:rsidRPr="004C4F49">
        <w:rPr>
          <w:rFonts w:asciiTheme="majorBidi" w:hAnsiTheme="majorBidi" w:cstheme="majorBidi"/>
          <w:i/>
          <w:iCs/>
          <w:lang w:val="en-US"/>
        </w:rPr>
        <w:t xml:space="preserve"> and the Company, dated March 17, 2020, First Energy holds an </w:t>
      </w:r>
      <w:r w:rsidR="004C4F49" w:rsidRPr="004C4F49">
        <w:rPr>
          <w:rFonts w:asciiTheme="majorBidi" w:hAnsiTheme="majorBidi" w:cstheme="majorBidi"/>
          <w:i/>
          <w:iCs/>
          <w:lang w:val="en-US"/>
        </w:rPr>
        <w:tab/>
      </w:r>
      <w:r w:rsidR="004C4F49" w:rsidRPr="004C4F49">
        <w:rPr>
          <w:rFonts w:asciiTheme="majorBidi" w:hAnsiTheme="majorBidi" w:cstheme="majorBidi"/>
          <w:i/>
          <w:iCs/>
        </w:rPr>
        <w:t xml:space="preserve">option to acquire a 100% interest in the Kokanee Creek and Independence Gold </w:t>
      </w:r>
      <w:r w:rsidR="004C4F49" w:rsidRPr="004C4F49">
        <w:rPr>
          <w:rFonts w:asciiTheme="majorBidi" w:hAnsiTheme="majorBidi" w:cstheme="majorBidi"/>
          <w:i/>
          <w:iCs/>
        </w:rPr>
        <w:tab/>
      </w:r>
      <w:r w:rsidR="004C4F49" w:rsidRPr="004C4F49">
        <w:rPr>
          <w:rFonts w:asciiTheme="majorBidi" w:hAnsiTheme="majorBidi" w:cstheme="majorBidi"/>
          <w:i/>
          <w:iCs/>
        </w:rPr>
        <w:t>Properties (“the Properties”) located in southeastern British Columbia, Canada</w:t>
      </w:r>
    </w:p>
    <w:p w:rsidR="004C4F49" w:rsidRPr="004C4F49" w:rsidRDefault="004C4F49" w:rsidP="004C4F49">
      <w:pPr>
        <w:pStyle w:val="Default"/>
        <w:jc w:val="both"/>
        <w:rPr>
          <w:rFonts w:asciiTheme="majorBidi" w:hAnsiTheme="majorBidi" w:cstheme="majorBidi"/>
          <w:b/>
          <w:bCs/>
          <w:i/>
          <w:iCs/>
          <w:sz w:val="22"/>
          <w:szCs w:val="22"/>
          <w:lang w:val="en-CA"/>
        </w:rPr>
      </w:pPr>
      <w:r>
        <w:rPr>
          <w:rFonts w:asciiTheme="majorBidi" w:hAnsiTheme="majorBidi" w:cstheme="majorBidi"/>
          <w:b/>
          <w:bCs/>
          <w:sz w:val="22"/>
          <w:szCs w:val="22"/>
          <w:lang w:val="en-CA"/>
        </w:rPr>
        <w:tab/>
      </w:r>
      <w:r w:rsidRPr="004C4F49">
        <w:rPr>
          <w:rFonts w:asciiTheme="majorBidi" w:hAnsiTheme="majorBidi" w:cstheme="majorBidi"/>
          <w:b/>
          <w:bCs/>
          <w:i/>
          <w:iCs/>
          <w:sz w:val="22"/>
          <w:szCs w:val="22"/>
          <w:lang w:val="en-CA"/>
        </w:rPr>
        <w:t xml:space="preserve">Properties: </w:t>
      </w:r>
    </w:p>
    <w:p w:rsidR="004C4F49" w:rsidRPr="004C4F49" w:rsidRDefault="004C4F49" w:rsidP="004C4F49">
      <w:pPr>
        <w:pStyle w:val="Default"/>
        <w:jc w:val="both"/>
        <w:rPr>
          <w:rFonts w:asciiTheme="majorBidi" w:hAnsiTheme="majorBidi" w:cstheme="majorBidi"/>
          <w:i/>
          <w:iCs/>
          <w:sz w:val="22"/>
          <w:szCs w:val="22"/>
          <w:lang w:val="en-CA"/>
        </w:rPr>
      </w:pPr>
    </w:p>
    <w:p w:rsidR="004C4F49" w:rsidRPr="004C4F49" w:rsidRDefault="004C4F49" w:rsidP="004C4F49">
      <w:pPr>
        <w:jc w:val="both"/>
        <w:rPr>
          <w:i/>
          <w:iCs/>
        </w:rPr>
      </w:pPr>
      <w:r w:rsidRPr="004C4F49">
        <w:rPr>
          <w:b/>
          <w:bCs/>
          <w:i/>
          <w:iCs/>
        </w:rPr>
        <w:tab/>
      </w:r>
      <w:r w:rsidRPr="004C4F49">
        <w:rPr>
          <w:b/>
          <w:bCs/>
          <w:i/>
          <w:iCs/>
          <w:u w:val="single"/>
        </w:rPr>
        <w:t>The Kokanee Creek Gold Property</w:t>
      </w:r>
      <w:r w:rsidRPr="004C4F49">
        <w:rPr>
          <w:i/>
          <w:iCs/>
        </w:rPr>
        <w:t xml:space="preserve"> consists of three mineral claims covering approximately 1,590.29 </w:t>
      </w:r>
      <w:r w:rsidRPr="004C4F49">
        <w:rPr>
          <w:i/>
          <w:iCs/>
        </w:rPr>
        <w:tab/>
      </w:r>
      <w:r w:rsidRPr="004C4F49">
        <w:rPr>
          <w:i/>
          <w:iCs/>
        </w:rPr>
        <w:t xml:space="preserve">hectares area in Nelson Mining Division in British Columbia, Canada. It is located 18 km to the east of </w:t>
      </w:r>
      <w:r w:rsidRPr="004C4F49">
        <w:rPr>
          <w:i/>
          <w:iCs/>
        </w:rPr>
        <w:tab/>
      </w:r>
      <w:r w:rsidRPr="004C4F49">
        <w:rPr>
          <w:i/>
          <w:iCs/>
        </w:rPr>
        <w:t xml:space="preserve">Nelson on NTS map 082F055. The Property is part of a very active mining area with several historical and </w:t>
      </w:r>
      <w:r w:rsidRPr="004C4F49">
        <w:rPr>
          <w:i/>
          <w:iCs/>
        </w:rPr>
        <w:tab/>
      </w:r>
      <w:r w:rsidRPr="004C4F49">
        <w:rPr>
          <w:i/>
          <w:iCs/>
        </w:rPr>
        <w:t xml:space="preserve">current gold, silver and base metals deposits located in the region. Nelson is a historical mining town dating </w:t>
      </w:r>
      <w:r w:rsidRPr="004C4F49">
        <w:rPr>
          <w:i/>
          <w:iCs/>
        </w:rPr>
        <w:tab/>
      </w:r>
      <w:r w:rsidRPr="004C4F49">
        <w:rPr>
          <w:i/>
          <w:iCs/>
        </w:rPr>
        <w:t xml:space="preserve">back to the discovery of Toad Mountain Silver deposit in 1886. The Blue Bell Mine, located near the town </w:t>
      </w:r>
      <w:r w:rsidRPr="004C4F49">
        <w:rPr>
          <w:i/>
          <w:iCs/>
        </w:rPr>
        <w:tab/>
      </w:r>
      <w:r w:rsidRPr="004C4F49">
        <w:rPr>
          <w:i/>
          <w:iCs/>
        </w:rPr>
        <w:t xml:space="preserve">of </w:t>
      </w:r>
      <w:proofErr w:type="spellStart"/>
      <w:r w:rsidRPr="004C4F49">
        <w:rPr>
          <w:i/>
          <w:iCs/>
        </w:rPr>
        <w:t>Riondel</w:t>
      </w:r>
      <w:proofErr w:type="spellEnd"/>
      <w:r w:rsidRPr="004C4F49">
        <w:rPr>
          <w:i/>
          <w:iCs/>
        </w:rPr>
        <w:t xml:space="preserve"> approximately 20 km NE of the Kokanee Creek Claims, is a </w:t>
      </w:r>
      <w:proofErr w:type="spellStart"/>
      <w:r w:rsidRPr="004C4F49">
        <w:rPr>
          <w:i/>
          <w:iCs/>
        </w:rPr>
        <w:t>manteau</w:t>
      </w:r>
      <w:proofErr w:type="spellEnd"/>
      <w:r w:rsidRPr="004C4F49">
        <w:rPr>
          <w:i/>
          <w:iCs/>
        </w:rPr>
        <w:t xml:space="preserve">-type base metal deposit </w:t>
      </w:r>
      <w:r w:rsidRPr="004C4F49">
        <w:rPr>
          <w:i/>
          <w:iCs/>
        </w:rPr>
        <w:tab/>
      </w:r>
      <w:r w:rsidRPr="004C4F49">
        <w:rPr>
          <w:i/>
          <w:iCs/>
        </w:rPr>
        <w:t xml:space="preserve">hosted by the </w:t>
      </w:r>
      <w:proofErr w:type="spellStart"/>
      <w:r w:rsidRPr="004C4F49">
        <w:rPr>
          <w:i/>
          <w:iCs/>
        </w:rPr>
        <w:t>Badshot</w:t>
      </w:r>
      <w:proofErr w:type="spellEnd"/>
      <w:r w:rsidRPr="004C4F49">
        <w:rPr>
          <w:i/>
          <w:iCs/>
        </w:rPr>
        <w:t xml:space="preserve"> limestones of the </w:t>
      </w:r>
      <w:proofErr w:type="spellStart"/>
      <w:r w:rsidRPr="004C4F49">
        <w:rPr>
          <w:i/>
          <w:iCs/>
        </w:rPr>
        <w:t>Lardeau</w:t>
      </w:r>
      <w:proofErr w:type="spellEnd"/>
      <w:r w:rsidRPr="004C4F49">
        <w:rPr>
          <w:i/>
          <w:iCs/>
        </w:rPr>
        <w:t xml:space="preserve"> Group. Closer to the Kokanee Claims are historical past </w:t>
      </w:r>
      <w:r w:rsidRPr="004C4F49">
        <w:rPr>
          <w:i/>
          <w:iCs/>
        </w:rPr>
        <w:tab/>
      </w:r>
      <w:r w:rsidRPr="004C4F49">
        <w:rPr>
          <w:i/>
          <w:iCs/>
        </w:rPr>
        <w:t xml:space="preserve">producers the Molly Gibson and the Alpine. </w:t>
      </w:r>
    </w:p>
    <w:p w:rsidR="004C4F49" w:rsidRPr="004C4F49" w:rsidRDefault="004C4F49" w:rsidP="004C4F49">
      <w:pPr>
        <w:jc w:val="both"/>
        <w:rPr>
          <w:i/>
          <w:iCs/>
        </w:rPr>
      </w:pPr>
    </w:p>
    <w:p w:rsidR="004C4F49" w:rsidRPr="004C4F49" w:rsidRDefault="004C4F49" w:rsidP="004C4F49">
      <w:pPr>
        <w:jc w:val="both"/>
        <w:rPr>
          <w:i/>
          <w:iCs/>
          <w:color w:val="000000"/>
          <w:lang w:eastAsia="en-CA"/>
        </w:rPr>
      </w:pPr>
      <w:r w:rsidRPr="004C4F49">
        <w:rPr>
          <w:b/>
          <w:bCs/>
          <w:i/>
          <w:iCs/>
          <w:color w:val="000000"/>
          <w:lang w:eastAsia="en-CA"/>
        </w:rPr>
        <w:tab/>
      </w:r>
      <w:r w:rsidRPr="004C4F49">
        <w:rPr>
          <w:b/>
          <w:bCs/>
          <w:i/>
          <w:iCs/>
          <w:color w:val="000000"/>
          <w:u w:val="single"/>
          <w:lang w:eastAsia="en-CA"/>
        </w:rPr>
        <w:t>The Independence Gold Property</w:t>
      </w:r>
      <w:r w:rsidRPr="004C4F49">
        <w:rPr>
          <w:i/>
          <w:iCs/>
          <w:color w:val="000000"/>
          <w:lang w:eastAsia="en-CA"/>
        </w:rPr>
        <w:t xml:space="preserve"> consists of two mineral claims (Independence 1 and 2) </w:t>
      </w:r>
      <w:proofErr w:type="spellStart"/>
      <w:r w:rsidRPr="004C4F49">
        <w:rPr>
          <w:i/>
          <w:iCs/>
          <w:color w:val="000000"/>
          <w:lang w:eastAsia="en-CA"/>
        </w:rPr>
        <w:t>totalling</w:t>
      </w:r>
      <w:proofErr w:type="spellEnd"/>
      <w:r w:rsidRPr="004C4F49">
        <w:rPr>
          <w:i/>
          <w:iCs/>
          <w:color w:val="000000"/>
          <w:lang w:eastAsia="en-CA"/>
        </w:rPr>
        <w:t xml:space="preserve"> 1,099.43 </w:t>
      </w:r>
      <w:r w:rsidRPr="004C4F49">
        <w:rPr>
          <w:i/>
          <w:iCs/>
          <w:color w:val="000000"/>
          <w:lang w:eastAsia="en-CA"/>
        </w:rPr>
        <w:tab/>
      </w:r>
      <w:r w:rsidRPr="004C4F49">
        <w:rPr>
          <w:i/>
          <w:iCs/>
          <w:color w:val="000000"/>
          <w:lang w:eastAsia="en-CA"/>
        </w:rPr>
        <w:t xml:space="preserve">hectares land in southeastern British Columbia, Canada. It is road accessible, located 20 to 29 </w:t>
      </w:r>
      <w:proofErr w:type="spellStart"/>
      <w:r w:rsidRPr="004C4F49">
        <w:rPr>
          <w:i/>
          <w:iCs/>
          <w:color w:val="000000"/>
          <w:lang w:eastAsia="en-CA"/>
        </w:rPr>
        <w:t>kilometres</w:t>
      </w:r>
      <w:proofErr w:type="spellEnd"/>
      <w:r w:rsidRPr="004C4F49">
        <w:rPr>
          <w:i/>
          <w:iCs/>
          <w:color w:val="000000"/>
          <w:lang w:eastAsia="en-CA"/>
        </w:rPr>
        <w:t xml:space="preserve"> </w:t>
      </w:r>
      <w:r>
        <w:rPr>
          <w:i/>
          <w:iCs/>
          <w:color w:val="000000"/>
          <w:lang w:eastAsia="en-CA"/>
        </w:rPr>
        <w:tab/>
      </w:r>
      <w:r w:rsidRPr="004C4F49">
        <w:rPr>
          <w:i/>
          <w:iCs/>
          <w:color w:val="000000"/>
          <w:lang w:eastAsia="en-CA"/>
        </w:rPr>
        <w:t xml:space="preserve">to the southeast of </w:t>
      </w:r>
      <w:proofErr w:type="spellStart"/>
      <w:r w:rsidRPr="004C4F49">
        <w:rPr>
          <w:i/>
          <w:iCs/>
          <w:color w:val="000000"/>
          <w:lang w:eastAsia="en-CA"/>
        </w:rPr>
        <w:t>Nakusp</w:t>
      </w:r>
      <w:proofErr w:type="spellEnd"/>
      <w:r w:rsidRPr="004C4F49">
        <w:rPr>
          <w:i/>
          <w:iCs/>
          <w:color w:val="000000"/>
          <w:lang w:eastAsia="en-CA"/>
        </w:rPr>
        <w:t xml:space="preserve">, British Columbia, Canada, on the eastern slope of Silver Mountain on NTS map </w:t>
      </w:r>
      <w:r w:rsidRPr="004C4F49">
        <w:rPr>
          <w:i/>
          <w:iCs/>
          <w:color w:val="000000"/>
          <w:lang w:eastAsia="en-CA"/>
        </w:rPr>
        <w:tab/>
      </w:r>
      <w:r w:rsidRPr="004C4F49">
        <w:rPr>
          <w:i/>
          <w:iCs/>
          <w:color w:val="000000"/>
          <w:lang w:eastAsia="en-CA"/>
        </w:rPr>
        <w:t xml:space="preserve">082K. The most common type of deposit in the </w:t>
      </w:r>
      <w:proofErr w:type="spellStart"/>
      <w:r w:rsidRPr="004C4F49">
        <w:rPr>
          <w:i/>
          <w:iCs/>
          <w:color w:val="000000"/>
          <w:lang w:eastAsia="en-CA"/>
        </w:rPr>
        <w:t>Nakusp</w:t>
      </w:r>
      <w:proofErr w:type="spellEnd"/>
      <w:r w:rsidRPr="004C4F49">
        <w:rPr>
          <w:i/>
          <w:iCs/>
          <w:color w:val="000000"/>
          <w:lang w:eastAsia="en-CA"/>
        </w:rPr>
        <w:t xml:space="preserve"> area is the lead-zinc-silver-gold bearing quartz veins </w:t>
      </w:r>
      <w:r w:rsidRPr="004C4F49">
        <w:rPr>
          <w:i/>
          <w:iCs/>
          <w:color w:val="000000"/>
          <w:lang w:eastAsia="en-CA"/>
        </w:rPr>
        <w:tab/>
      </w:r>
      <w:r w:rsidRPr="004C4F49">
        <w:rPr>
          <w:i/>
          <w:iCs/>
          <w:color w:val="000000"/>
          <w:lang w:eastAsia="en-CA"/>
        </w:rPr>
        <w:t>in graphitic shear zones</w:t>
      </w:r>
    </w:p>
    <w:p w:rsidR="004C4F49" w:rsidRPr="004C4F49" w:rsidRDefault="004C4F49" w:rsidP="004C4F49">
      <w:pPr>
        <w:jc w:val="both"/>
        <w:rPr>
          <w:rFonts w:cs="Arial"/>
          <w:i/>
          <w:iCs/>
          <w:color w:val="000000"/>
          <w:lang w:eastAsia="en-CA"/>
        </w:rPr>
      </w:pPr>
    </w:p>
    <w:p w:rsidR="004C4F49" w:rsidRPr="004C4F49" w:rsidRDefault="004C4F49" w:rsidP="004C4F49">
      <w:pPr>
        <w:jc w:val="both"/>
        <w:rPr>
          <w:i/>
          <w:iCs/>
          <w:color w:val="000000"/>
          <w:lang w:eastAsia="en-CA"/>
        </w:rPr>
      </w:pPr>
      <w:r w:rsidRPr="004C4F49">
        <w:rPr>
          <w:i/>
          <w:iCs/>
          <w:lang w:eastAsia="en-CA"/>
        </w:rPr>
        <w:tab/>
      </w:r>
      <w:r w:rsidRPr="004C4F49">
        <w:rPr>
          <w:i/>
          <w:iCs/>
          <w:lang w:eastAsia="en-CA"/>
        </w:rPr>
        <w:t xml:space="preserve">Cautionary Statement: Investors are cautioned that the above information has been taken from the BC </w:t>
      </w:r>
      <w:r w:rsidRPr="004C4F49">
        <w:rPr>
          <w:i/>
          <w:iCs/>
          <w:lang w:eastAsia="en-CA"/>
        </w:rPr>
        <w:tab/>
      </w:r>
      <w:r w:rsidRPr="004C4F49">
        <w:rPr>
          <w:i/>
          <w:iCs/>
          <w:lang w:eastAsia="en-CA"/>
        </w:rPr>
        <w:t xml:space="preserve">Government’s database at following websites: </w:t>
      </w:r>
      <w:hyperlink r:id="rId8" w:history="1">
        <w:r w:rsidRPr="004C4F49">
          <w:rPr>
            <w:rStyle w:val="Hyperlink"/>
            <w:i/>
            <w:iCs/>
          </w:rPr>
          <w:t>https://www.mtonline.gov.bc.ca/mtov/home.do</w:t>
        </w:r>
      </w:hyperlink>
      <w:r w:rsidRPr="004C4F49">
        <w:rPr>
          <w:i/>
          <w:iCs/>
        </w:rPr>
        <w:t>.</w:t>
      </w:r>
      <w:r w:rsidRPr="004C4F49">
        <w:rPr>
          <w:i/>
          <w:iCs/>
          <w:lang w:eastAsia="en-CA"/>
        </w:rPr>
        <w:t xml:space="preserve"> The Company </w:t>
      </w:r>
      <w:r w:rsidRPr="004C4F49">
        <w:rPr>
          <w:i/>
          <w:iCs/>
          <w:lang w:eastAsia="en-CA"/>
        </w:rPr>
        <w:tab/>
      </w:r>
      <w:r w:rsidRPr="004C4F49">
        <w:rPr>
          <w:i/>
          <w:iCs/>
          <w:lang w:eastAsia="en-CA"/>
        </w:rPr>
        <w:t xml:space="preserve">has not verified the information and the information is not necessarily indicative of the mineralization on </w:t>
      </w:r>
      <w:r w:rsidRPr="004C4F49">
        <w:rPr>
          <w:i/>
          <w:iCs/>
          <w:lang w:eastAsia="en-CA"/>
        </w:rPr>
        <w:tab/>
      </w:r>
      <w:r w:rsidRPr="004C4F49">
        <w:rPr>
          <w:i/>
          <w:iCs/>
          <w:lang w:eastAsia="en-CA"/>
        </w:rPr>
        <w:t xml:space="preserve">these properties. </w:t>
      </w:r>
      <w:r w:rsidRPr="004C4F49">
        <w:rPr>
          <w:i/>
          <w:iCs/>
          <w:color w:val="000000"/>
          <w:lang w:eastAsia="en-CA"/>
        </w:rPr>
        <w:t xml:space="preserve">The Company is in the process of compiling geological and historical exploration work on </w:t>
      </w:r>
      <w:r w:rsidRPr="004C4F49">
        <w:rPr>
          <w:i/>
          <w:iCs/>
          <w:color w:val="000000"/>
          <w:lang w:eastAsia="en-CA"/>
        </w:rPr>
        <w:tab/>
      </w:r>
      <w:r w:rsidRPr="004C4F49">
        <w:rPr>
          <w:i/>
          <w:iCs/>
          <w:color w:val="000000"/>
          <w:lang w:eastAsia="en-CA"/>
        </w:rPr>
        <w:t>each property and will provide an update as soon as the information is available.</w:t>
      </w:r>
    </w:p>
    <w:p w:rsidR="004C4F49" w:rsidRPr="004C4F49" w:rsidRDefault="004C4F49" w:rsidP="004C4F49">
      <w:pPr>
        <w:jc w:val="both"/>
        <w:rPr>
          <w:i/>
          <w:iCs/>
          <w:color w:val="000000"/>
          <w:lang w:eastAsia="en-CA"/>
        </w:rPr>
      </w:pPr>
    </w:p>
    <w:p w:rsidR="004C4F49" w:rsidRPr="004C4F49" w:rsidRDefault="004C4F49" w:rsidP="004C4F49">
      <w:pPr>
        <w:jc w:val="both"/>
        <w:rPr>
          <w:rFonts w:asciiTheme="majorBidi" w:hAnsiTheme="majorBidi" w:cstheme="majorBidi"/>
          <w:i/>
          <w:iCs/>
        </w:rPr>
      </w:pPr>
      <w:r w:rsidRPr="004C4F49">
        <w:rPr>
          <w:rFonts w:asciiTheme="majorBidi" w:hAnsiTheme="majorBidi" w:cstheme="majorBidi"/>
          <w:i/>
          <w:iCs/>
        </w:rPr>
        <w:tab/>
      </w:r>
      <w:r w:rsidRPr="004C4F49">
        <w:rPr>
          <w:rFonts w:asciiTheme="majorBidi" w:hAnsiTheme="majorBidi" w:cstheme="majorBidi"/>
          <w:i/>
          <w:iCs/>
        </w:rPr>
        <w:t xml:space="preserve">Technical data pertaining to this new release was reviewed and approved by </w:t>
      </w:r>
      <w:proofErr w:type="spellStart"/>
      <w:r w:rsidRPr="004C4F49">
        <w:rPr>
          <w:rFonts w:asciiTheme="majorBidi" w:hAnsiTheme="majorBidi" w:cstheme="majorBidi"/>
          <w:i/>
          <w:iCs/>
        </w:rPr>
        <w:t>Afzaal</w:t>
      </w:r>
      <w:proofErr w:type="spellEnd"/>
      <w:r w:rsidRPr="004C4F49">
        <w:rPr>
          <w:rFonts w:asciiTheme="majorBidi" w:hAnsiTheme="majorBidi" w:cstheme="majorBidi"/>
          <w:i/>
          <w:iCs/>
        </w:rPr>
        <w:t xml:space="preserve"> Pirzada, </w:t>
      </w:r>
      <w:proofErr w:type="spellStart"/>
      <w:r w:rsidRPr="004C4F49">
        <w:rPr>
          <w:rFonts w:asciiTheme="majorBidi" w:hAnsiTheme="majorBidi" w:cstheme="majorBidi"/>
          <w:i/>
          <w:iCs/>
        </w:rPr>
        <w:t>P.Geo</w:t>
      </w:r>
      <w:proofErr w:type="spellEnd"/>
      <w:r w:rsidRPr="004C4F49">
        <w:rPr>
          <w:rFonts w:asciiTheme="majorBidi" w:hAnsiTheme="majorBidi" w:cstheme="majorBidi"/>
          <w:i/>
          <w:iCs/>
        </w:rPr>
        <w:t xml:space="preserve">., who is </w:t>
      </w:r>
      <w:r w:rsidRPr="004C4F49">
        <w:rPr>
          <w:rFonts w:asciiTheme="majorBidi" w:hAnsiTheme="majorBidi" w:cstheme="majorBidi"/>
          <w:i/>
          <w:iCs/>
        </w:rPr>
        <w:tab/>
      </w:r>
      <w:r w:rsidRPr="004C4F49">
        <w:rPr>
          <w:rFonts w:asciiTheme="majorBidi" w:hAnsiTheme="majorBidi" w:cstheme="majorBidi"/>
          <w:i/>
          <w:iCs/>
        </w:rPr>
        <w:t xml:space="preserve">the Property Vendor and acting as First Energy’s qualified person under National Instrument 43-101. </w:t>
      </w:r>
    </w:p>
    <w:p w:rsidR="00142698" w:rsidRPr="00142698" w:rsidRDefault="00142698" w:rsidP="00142698">
      <w:pPr>
        <w:rPr>
          <w:sz w:val="24"/>
          <w:szCs w:val="24"/>
          <w:lang w:val="en-CA" w:eastAsia="zh-CN"/>
        </w:rPr>
      </w:pPr>
    </w:p>
    <w:p w:rsidR="00142698" w:rsidRPr="00142698" w:rsidRDefault="00142698" w:rsidP="00142698">
      <w:pPr>
        <w:pStyle w:val="List"/>
        <w:tabs>
          <w:tab w:val="num" w:pos="1080"/>
          <w:tab w:val="left" w:pos="9180"/>
        </w:tabs>
        <w:spacing w:before="0"/>
        <w:ind w:left="0" w:firstLine="0"/>
        <w:jc w:val="both"/>
        <w:rPr>
          <w:rFonts w:ascii="Arial" w:hAnsi="Arial"/>
          <w:color w:val="000000"/>
          <w:lang w:val="en-CA"/>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5610B0">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lastRenderedPageBreak/>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4C4F49">
        <w:rPr>
          <w:rFonts w:ascii="Arial" w:hAnsi="Arial"/>
          <w:color w:val="000000"/>
          <w:u w:val="single"/>
        </w:rPr>
        <w:t>$ 50,000</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sidR="004C4F49">
        <w:rPr>
          <w:rFonts w:ascii="Arial" w:hAnsi="Arial"/>
          <w:color w:val="000000"/>
        </w:rPr>
        <w:t xml:space="preserve"> </w:t>
      </w:r>
      <w:r w:rsidR="004C4F49">
        <w:rPr>
          <w:rFonts w:ascii="Arial" w:hAnsi="Arial"/>
          <w:color w:val="000000"/>
          <w:u w:val="single"/>
        </w:rPr>
        <w:t>2,500,000 shares at deemed cost base of 0.05 cents</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610B0">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C4F49">
        <w:rPr>
          <w:rFonts w:ascii="Arial" w:hAnsi="Arial"/>
          <w:u w:val="single"/>
        </w:rPr>
        <w:t xml:space="preserve">5 %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4C4F49">
        <w:rPr>
          <w:rFonts w:ascii="Arial" w:hAnsi="Arial"/>
          <w:u w:val="single"/>
        </w:rPr>
        <w:t xml:space="preserve"> 0.20 cents</w:t>
      </w:r>
      <w:proofErr w:type="gramStart"/>
      <w:r>
        <w:rPr>
          <w:rFonts w:ascii="Arial" w:hAnsi="Arial"/>
          <w:u w:val="single"/>
        </w:rPr>
        <w:tab/>
      </w:r>
      <w:r>
        <w:rPr>
          <w:rFonts w:ascii="Arial" w:hAnsi="Arial"/>
        </w:rPr>
        <w:t xml:space="preserve"> .</w:t>
      </w:r>
      <w:proofErr w:type="gramEnd"/>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 xml:space="preserve">Certificate </w:t>
      </w:r>
      <w:r w:rsidR="005610B0">
        <w:rPr>
          <w:rFonts w:ascii="Arial" w:hAnsi="Arial"/>
          <w:b/>
        </w:rPr>
        <w:t>of</w:t>
      </w:r>
      <w:r>
        <w:rPr>
          <w:rFonts w:ascii="Arial" w:hAnsi="Arial"/>
          <w:b/>
        </w:rPr>
        <w:t xml:space="preserve">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4C4F49">
        <w:rPr>
          <w:rFonts w:ascii="Arial" w:hAnsi="Arial"/>
          <w:u w:val="single"/>
        </w:rPr>
        <w:t>March 17</w:t>
      </w:r>
      <w:r w:rsidR="005610B0">
        <w:rPr>
          <w:rFonts w:ascii="Arial" w:hAnsi="Arial"/>
          <w:u w:val="single"/>
        </w:rPr>
        <w:t>, 20</w:t>
      </w:r>
      <w:r w:rsidR="00142698">
        <w:rPr>
          <w:rFonts w:ascii="Arial" w:hAnsi="Arial"/>
          <w:u w:val="single"/>
        </w:rPr>
        <w:t>20</w:t>
      </w:r>
      <w:r w:rsidR="005610B0">
        <w:rPr>
          <w:rFonts w:ascii="Arial" w:hAnsi="Arial"/>
          <w:u w:val="single"/>
        </w:rPr>
        <w:t xml:space="preserve"> </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5610B0">
        <w:rPr>
          <w:rFonts w:ascii="Arial" w:hAnsi="Arial"/>
          <w:u w:val="single"/>
        </w:rPr>
        <w:t xml:space="preserve">Gurminder Sangha </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5F2221">
        <w:rPr>
          <w:rFonts w:ascii="Arial" w:hAnsi="Arial"/>
        </w:rPr>
        <w:t>"</w:t>
      </w:r>
      <w:r w:rsidR="005F2221">
        <w:rPr>
          <w:rFonts w:ascii="Arial" w:hAnsi="Arial"/>
          <w:i/>
          <w:iCs/>
          <w:u w:val="single"/>
        </w:rPr>
        <w:t>Gurminder Sangha"</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5F2221">
        <w:rPr>
          <w:rFonts w:ascii="Arial" w:hAnsi="Arial"/>
          <w:u w:val="single"/>
        </w:rPr>
        <w:t xml:space="preserve">Director </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lastRenderedPageBreak/>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585" w:rsidRDefault="001B0585">
      <w:r>
        <w:separator/>
      </w:r>
    </w:p>
  </w:endnote>
  <w:endnote w:type="continuationSeparator" w:id="0">
    <w:p w:rsidR="001B0585" w:rsidRDefault="001B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panose1 w:val="01010601010101010101"/>
    <w:charset w:val="4D"/>
    <w:family w:val="auto"/>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5610B0"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8F7A0"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&#13;&#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1B0585">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585" w:rsidRDefault="001B0585">
      <w:r>
        <w:separator/>
      </w:r>
    </w:p>
  </w:footnote>
  <w:footnote w:type="continuationSeparator" w:id="0">
    <w:p w:rsidR="001B0585" w:rsidRDefault="001B0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B64EF"/>
    <w:rsid w:val="000C7CEC"/>
    <w:rsid w:val="000F2FA2"/>
    <w:rsid w:val="00116314"/>
    <w:rsid w:val="00122D6D"/>
    <w:rsid w:val="00142698"/>
    <w:rsid w:val="00173F0B"/>
    <w:rsid w:val="00186DA5"/>
    <w:rsid w:val="001B0585"/>
    <w:rsid w:val="002557FD"/>
    <w:rsid w:val="002560F1"/>
    <w:rsid w:val="002E0BC3"/>
    <w:rsid w:val="002E1DFE"/>
    <w:rsid w:val="002F0416"/>
    <w:rsid w:val="00305EB6"/>
    <w:rsid w:val="00326D55"/>
    <w:rsid w:val="00331ECC"/>
    <w:rsid w:val="003431FD"/>
    <w:rsid w:val="0035331C"/>
    <w:rsid w:val="003C6D7E"/>
    <w:rsid w:val="00456624"/>
    <w:rsid w:val="004A1403"/>
    <w:rsid w:val="004B214D"/>
    <w:rsid w:val="004C4F49"/>
    <w:rsid w:val="00544BCF"/>
    <w:rsid w:val="005610B0"/>
    <w:rsid w:val="005673E2"/>
    <w:rsid w:val="005F2221"/>
    <w:rsid w:val="00617A0E"/>
    <w:rsid w:val="0062717F"/>
    <w:rsid w:val="006B6410"/>
    <w:rsid w:val="007568B3"/>
    <w:rsid w:val="007730B4"/>
    <w:rsid w:val="00784B1F"/>
    <w:rsid w:val="00793228"/>
    <w:rsid w:val="007B0425"/>
    <w:rsid w:val="007C4F86"/>
    <w:rsid w:val="008003B9"/>
    <w:rsid w:val="00827E95"/>
    <w:rsid w:val="00840B45"/>
    <w:rsid w:val="008752DF"/>
    <w:rsid w:val="008F27FF"/>
    <w:rsid w:val="009136E7"/>
    <w:rsid w:val="009466F0"/>
    <w:rsid w:val="0097763E"/>
    <w:rsid w:val="009C1EC2"/>
    <w:rsid w:val="00A00C54"/>
    <w:rsid w:val="00A10285"/>
    <w:rsid w:val="00A90670"/>
    <w:rsid w:val="00A93530"/>
    <w:rsid w:val="00A9392C"/>
    <w:rsid w:val="00AC441A"/>
    <w:rsid w:val="00B10B9D"/>
    <w:rsid w:val="00B7107F"/>
    <w:rsid w:val="00B923F6"/>
    <w:rsid w:val="00BE2894"/>
    <w:rsid w:val="00C10A32"/>
    <w:rsid w:val="00C500F0"/>
    <w:rsid w:val="00C536D3"/>
    <w:rsid w:val="00CC2519"/>
    <w:rsid w:val="00CF076A"/>
    <w:rsid w:val="00CF2A90"/>
    <w:rsid w:val="00CF5580"/>
    <w:rsid w:val="00CF72A4"/>
    <w:rsid w:val="00D00A3F"/>
    <w:rsid w:val="00D23787"/>
    <w:rsid w:val="00DA6830"/>
    <w:rsid w:val="00DB640C"/>
    <w:rsid w:val="00DE01A8"/>
    <w:rsid w:val="00E55E58"/>
    <w:rsid w:val="00E83A64"/>
    <w:rsid w:val="00E97C13"/>
    <w:rsid w:val="00EA4133"/>
    <w:rsid w:val="00F33BBE"/>
    <w:rsid w:val="00F70E7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BFA0D"/>
  <w15:docId w15:val="{F5AA9B3B-B63F-BA4D-A3F1-45963989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styleId="NormalWeb">
    <w:name w:val="Normal (Web)"/>
    <w:basedOn w:val="Normal"/>
    <w:uiPriority w:val="99"/>
    <w:unhideWhenUsed/>
    <w:rsid w:val="00142698"/>
    <w:pPr>
      <w:spacing w:before="100" w:beforeAutospacing="1" w:after="100" w:afterAutospacing="1"/>
    </w:pPr>
    <w:rPr>
      <w:sz w:val="24"/>
      <w:szCs w:val="24"/>
      <w:lang w:val="en-CA" w:eastAsia="zh-CN"/>
    </w:rPr>
  </w:style>
  <w:style w:type="character" w:customStyle="1" w:styleId="apple-converted-space">
    <w:name w:val="apple-converted-space"/>
    <w:basedOn w:val="DefaultParagraphFont"/>
    <w:rsid w:val="00142698"/>
  </w:style>
  <w:style w:type="paragraph" w:customStyle="1" w:styleId="Default">
    <w:name w:val="Default"/>
    <w:link w:val="DefaultChar"/>
    <w:rsid w:val="004C4F49"/>
    <w:pPr>
      <w:autoSpaceDE w:val="0"/>
      <w:autoSpaceDN w:val="0"/>
      <w:adjustRightInd w:val="0"/>
    </w:pPr>
    <w:rPr>
      <w:rFonts w:ascii="Arial" w:eastAsiaTheme="minorHAnsi" w:hAnsi="Arial" w:cs="Arial"/>
      <w:color w:val="000000"/>
      <w:sz w:val="24"/>
      <w:szCs w:val="24"/>
    </w:rPr>
  </w:style>
  <w:style w:type="character" w:customStyle="1" w:styleId="DefaultChar">
    <w:name w:val="Default Char"/>
    <w:link w:val="Default"/>
    <w:rsid w:val="004C4F49"/>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12505">
      <w:bodyDiv w:val="1"/>
      <w:marLeft w:val="0"/>
      <w:marRight w:val="0"/>
      <w:marTop w:val="0"/>
      <w:marBottom w:val="0"/>
      <w:divBdr>
        <w:top w:val="none" w:sz="0" w:space="0" w:color="auto"/>
        <w:left w:val="none" w:sz="0" w:space="0" w:color="auto"/>
        <w:bottom w:val="none" w:sz="0" w:space="0" w:color="auto"/>
        <w:right w:val="none" w:sz="0" w:space="0" w:color="auto"/>
      </w:divBdr>
    </w:div>
    <w:div w:id="1233080998">
      <w:bodyDiv w:val="1"/>
      <w:marLeft w:val="0"/>
      <w:marRight w:val="0"/>
      <w:marTop w:val="0"/>
      <w:marBottom w:val="0"/>
      <w:divBdr>
        <w:top w:val="none" w:sz="0" w:space="0" w:color="auto"/>
        <w:left w:val="none" w:sz="0" w:space="0" w:color="auto"/>
        <w:bottom w:val="none" w:sz="0" w:space="0" w:color="auto"/>
        <w:right w:val="none" w:sz="0" w:space="0" w:color="auto"/>
      </w:divBdr>
    </w:div>
    <w:div w:id="1353261338">
      <w:bodyDiv w:val="1"/>
      <w:marLeft w:val="0"/>
      <w:marRight w:val="0"/>
      <w:marTop w:val="0"/>
      <w:marBottom w:val="0"/>
      <w:divBdr>
        <w:top w:val="none" w:sz="0" w:space="0" w:color="auto"/>
        <w:left w:val="none" w:sz="0" w:space="0" w:color="auto"/>
        <w:bottom w:val="none" w:sz="0" w:space="0" w:color="auto"/>
        <w:right w:val="none" w:sz="0" w:space="0" w:color="auto"/>
      </w:divBdr>
    </w:div>
    <w:div w:id="1415543734">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78874248">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tonline.gov.bc.ca/mtov/home.do" TargetMode="Externa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Gurminder  Sangha</cp:lastModifiedBy>
  <cp:revision>2</cp:revision>
  <cp:lastPrinted>2004-05-20T20:47:00Z</cp:lastPrinted>
  <dcterms:created xsi:type="dcterms:W3CDTF">2020-03-18T02:08:00Z</dcterms:created>
  <dcterms:modified xsi:type="dcterms:W3CDTF">2020-03-18T02:08:00Z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