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2.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spacing w:before="0"/>
        <w:rPr>
          <w:sz w:val="28"/>
          <w:lang w:val="en-CA"/>
        </w:rPr>
      </w:pPr>
      <w:bookmarkStart w:id="0" w:name="_GoBack"/>
      <w:bookmarkEnd w:id="0"/>
      <w:r>
        <w:rPr>
          <w:sz w:val="28"/>
          <w:lang w:val="en-CA"/>
        </w:rPr>
        <w:t>FORM 9</w:t>
      </w:r>
    </w:p>
    <w:p>
      <w:pPr>
        <w:pStyle w:val="Title"/>
        <w:spacing w:before="0" w:after="0"/>
        <w:rPr>
          <w:sz w:val="28"/>
          <w:u w:val="single"/>
          <w:lang w:val="en-CA"/>
        </w:rPr>
      </w:pPr>
      <w:r>
        <w:rPr>
          <w:sz w:val="28"/>
          <w:u w:val="single"/>
          <w:lang w:val="en-CA"/>
        </w:rPr>
        <w:t xml:space="preserve">NOTICE OF ISSUANCE OR PROPOSED ISSUANCE OF LISTED SECURITIES </w:t>
      </w:r>
    </w:p>
    <w:p>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pPr>
        <w:pStyle w:val="BodyText"/>
        <w:rPr>
          <w:rFonts w:ascii="Arial" w:hAnsi="Arial"/>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firstRow="1" w:lastRow="0" w:firstColumn="1" w:lastColumn="0" w:noHBand="0" w:noVBand="1"/>
      </w:tblPr>
      <w:tblGrid>
        <w:gridCol w:w="6329"/>
        <w:gridCol w:w="3021"/>
      </w:tblGrid>
      <w:tr>
        <w:tc>
          <w:tcPr>
            <w:tcW w:w="6487" w:type="dxa"/>
          </w:tcPr>
          <w:p>
            <w:pPr>
              <w:pStyle w:val="BodyText"/>
              <w:rPr>
                <w:rFonts w:ascii="Arial" w:hAnsi="Arial"/>
                <w:lang w:val="en-CA"/>
              </w:rPr>
            </w:pPr>
            <w:r>
              <w:rPr>
                <w:rFonts w:ascii="Arial" w:hAnsi="Arial"/>
                <w:lang w:val="en-CA"/>
              </w:rPr>
              <w:t xml:space="preserve">Trulieve Cannabis Corp. (the “Issuer”).  </w:t>
            </w:r>
          </w:p>
        </w:tc>
        <w:tc>
          <w:tcPr>
            <w:tcW w:w="3089" w:type="dxa"/>
          </w:tcPr>
          <w:p>
            <w:pPr>
              <w:pStyle w:val="BodyText"/>
              <w:rPr>
                <w:rFonts w:ascii="Arial" w:hAnsi="Arial"/>
                <w:lang w:val="en-CA"/>
              </w:rPr>
            </w:pPr>
            <w:r>
              <w:rPr>
                <w:rFonts w:ascii="Arial" w:hAnsi="Arial"/>
                <w:lang w:val="en-CA"/>
              </w:rPr>
              <w:t>TRUL</w:t>
            </w:r>
          </w:p>
        </w:tc>
      </w:tr>
    </w:tbl>
    <w:p>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 xml:space="preserve">September 17, 2020 </w:t>
      </w:r>
      <w:r>
        <w:rPr>
          <w:rFonts w:ascii="Arial" w:hAnsi="Arial"/>
          <w:lang w:val="en-CA"/>
        </w:rPr>
        <w:t xml:space="preserve">Is this an updating or amending Notice: </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t>X</w:t>
      </w:r>
      <w:r>
        <w:rPr>
          <w:rFonts w:ascii="Arial" w:hAnsi="Arial"/>
          <w:b/>
          <w:lang w:val="en-CA"/>
        </w:rPr>
        <w:t xml:space="preserve"> </w:t>
      </w:r>
      <w:r>
        <w:rPr>
          <w:rFonts w:ascii="Arial" w:hAnsi="Arial"/>
          <w:lang w:val="en-CA"/>
        </w:rPr>
        <w:t>No</w:t>
      </w:r>
      <w:r>
        <w:rPr>
          <w:rFonts w:ascii="Arial" w:hAnsi="Arial"/>
          <w:sz w:val="32"/>
          <w:lang w:val="en-CA"/>
        </w:rPr>
        <w:tab/>
      </w:r>
    </w:p>
    <w:p>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Pr>
          <w:rFonts w:ascii="Arial" w:hAnsi="Arial"/>
          <w:u w:val="single"/>
          <w:lang w:val="en-CA"/>
        </w:rPr>
        <w:t>‎53,401,630 Subordinate Voting Shares</w:t>
      </w:r>
      <w:r>
        <w:rPr>
          <w:rFonts w:ascii="Arial" w:hAnsi="Arial"/>
          <w:lang w:val="en-CA"/>
        </w:rPr>
        <w:t>.</w:t>
      </w:r>
    </w:p>
    <w:p>
      <w:pPr>
        <w:pStyle w:val="BodyText"/>
        <w:tabs>
          <w:tab w:val="left" w:pos="9180"/>
        </w:tabs>
        <w:spacing w:before="0" w:after="120"/>
        <w:rPr>
          <w:rFonts w:ascii="Arial" w:hAnsi="Arial"/>
          <w:b/>
          <w:lang w:val="en-CA"/>
        </w:rPr>
      </w:pPr>
      <w:r>
        <w:rPr>
          <w:rFonts w:ascii="Arial" w:hAnsi="Arial"/>
          <w:b/>
          <w:lang w:val="en-CA"/>
        </w:rPr>
        <w:t>Pricing</w:t>
      </w:r>
    </w:p>
    <w:p>
      <w:pPr>
        <w:pStyle w:val="BodyText"/>
        <w:tabs>
          <w:tab w:val="left" w:pos="9180"/>
        </w:tabs>
        <w:spacing w:before="0" w:after="120"/>
        <w:rPr>
          <w:rFonts w:ascii="Arial" w:hAnsi="Arial"/>
          <w:lang w:val="en-CA"/>
        </w:rPr>
      </w:pPr>
      <w:r>
        <w:rPr>
          <w:rFonts w:ascii="Arial" w:hAnsi="Arial"/>
          <w:lang w:val="en-CA"/>
        </w:rPr>
        <w:t xml:space="preserve">Date of news release announcing proposed issuance:  </w:t>
      </w:r>
      <w:r>
        <w:rPr>
          <w:rFonts w:ascii="Arial" w:hAnsi="Arial"/>
          <w:u w:val="single"/>
          <w:lang w:val="en-CA"/>
        </w:rPr>
        <w:t>September 16, 2020 (after market close) (announcing the Private Placement and the concurrent proposed prospectus offering (the “</w:t>
      </w:r>
      <w:r>
        <w:rPr>
          <w:rFonts w:ascii="Arial" w:hAnsi="Arial"/>
          <w:b/>
          <w:u w:val="single"/>
          <w:lang w:val="en-CA"/>
        </w:rPr>
        <w:t>Concurrent</w:t>
      </w:r>
      <w:r>
        <w:rPr>
          <w:rFonts w:ascii="Arial" w:hAnsi="Arial"/>
          <w:u w:val="single"/>
          <w:lang w:val="en-CA"/>
        </w:rPr>
        <w:t xml:space="preserve"> </w:t>
      </w:r>
      <w:r>
        <w:rPr>
          <w:rFonts w:ascii="Arial" w:hAnsi="Arial"/>
          <w:b/>
          <w:u w:val="single"/>
          <w:lang w:val="en-CA"/>
        </w:rPr>
        <w:t>Prospectus Offering</w:t>
      </w:r>
      <w:r>
        <w:rPr>
          <w:rFonts w:ascii="Arial" w:hAnsi="Arial"/>
          <w:u w:val="single"/>
          <w:lang w:val="en-CA"/>
        </w:rPr>
        <w:t>”)</w:t>
      </w:r>
      <w:r>
        <w:rPr>
          <w:rFonts w:ascii="Arial" w:hAnsi="Arial"/>
          <w:lang w:val="en-CA"/>
        </w:rPr>
        <w:t xml:space="preserve"> or</w:t>
      </w:r>
    </w:p>
    <w:p>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pPr>
        <w:pStyle w:val="BodyText"/>
        <w:tabs>
          <w:tab w:val="left" w:pos="9180"/>
        </w:tabs>
        <w:spacing w:before="0" w:after="120"/>
        <w:rPr>
          <w:rFonts w:ascii="Arial" w:hAnsi="Arial"/>
          <w:lang w:val="en-CA"/>
        </w:rPr>
      </w:pPr>
      <w:r>
        <w:rPr>
          <w:rFonts w:ascii="Arial" w:hAnsi="Arial"/>
          <w:lang w:val="en-CA"/>
        </w:rPr>
        <w:t xml:space="preserve">Closing Market Price on Day Preceding the news release: </w:t>
      </w:r>
      <w:r>
        <w:rPr>
          <w:rFonts w:ascii="Arial" w:hAnsi="Arial"/>
          <w:u w:val="single"/>
          <w:lang w:val="en-CA"/>
        </w:rPr>
        <w:t>C$26.98 (as of September 16, 2020)</w:t>
      </w:r>
      <w:r>
        <w:rPr>
          <w:rFonts w:ascii="Arial" w:hAnsi="Arial"/>
          <w:lang w:val="en-CA"/>
        </w:rPr>
        <w:t xml:space="preserve"> or  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pPr>
        <w:pStyle w:val="BodyText"/>
        <w:tabs>
          <w:tab w:val="left" w:pos="9180"/>
        </w:tabs>
        <w:spacing w:before="0" w:after="120"/>
        <w:rPr>
          <w:rFonts w:ascii="Arial" w:hAnsi="Arial"/>
          <w:b/>
          <w:lang w:val="en-CA"/>
        </w:rPr>
      </w:pPr>
      <w:r>
        <w:rPr>
          <w:rFonts w:ascii="Arial" w:hAnsi="Arial"/>
          <w:b/>
          <w:lang w:val="en-CA"/>
        </w:rPr>
        <w:t>Closing</w:t>
      </w:r>
    </w:p>
    <w:p>
      <w:pPr>
        <w:pStyle w:val="BodyText"/>
        <w:tabs>
          <w:tab w:val="left" w:pos="9180"/>
        </w:tabs>
        <w:spacing w:before="0" w:after="120"/>
        <w:rPr>
          <w:rFonts w:ascii="Arial" w:hAnsi="Arial"/>
          <w:lang w:val="en-CA"/>
        </w:rPr>
      </w:pPr>
      <w:r>
        <w:rPr>
          <w:rFonts w:ascii="Arial" w:hAnsi="Arial"/>
          <w:lang w:val="en-CA"/>
        </w:rPr>
        <w:t xml:space="preserve">Number of securities to be issued: </w:t>
      </w:r>
      <w:r>
        <w:rPr>
          <w:rFonts w:ascii="Arial" w:hAnsi="Arial"/>
          <w:u w:val="single"/>
          <w:lang w:val="en-CA"/>
        </w:rPr>
        <w:t>4,715,000 Subordinate Voting Shares pursuant to the Private Placement and the Concurrent Prospectus Offering.</w:t>
      </w:r>
    </w:p>
    <w:p>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i/>
          <w:u w:val="single"/>
          <w:lang w:val="en-CA"/>
        </w:rPr>
        <w:t>To be determined</w:t>
      </w:r>
      <w:r>
        <w:rPr>
          <w:rFonts w:ascii="Arial" w:hAnsi="Arial"/>
          <w:u w:val="single"/>
          <w:lang w:val="en-CA"/>
        </w:rPr>
        <w:t>.</w:t>
      </w:r>
    </w:p>
    <w:p>
      <w:pPr>
        <w:pStyle w:val="BodyText"/>
        <w:tabs>
          <w:tab w:val="left" w:pos="9180"/>
        </w:tabs>
        <w:spacing w:before="0" w:after="120"/>
        <w:rPr>
          <w:rFonts w:ascii="Arial" w:hAnsi="Arial"/>
          <w:b/>
          <w:lang w:val="en-CA"/>
        </w:rPr>
      </w:pPr>
      <w:r>
        <w:rPr>
          <w:rFonts w:ascii="Arial" w:hAnsi="Arial"/>
          <w:b/>
          <w:lang w:val="en-CA"/>
        </w:rPr>
        <w:t>Instructions:</w:t>
      </w:r>
    </w:p>
    <w:p>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 – Notice of Proposed Transaction</w:t>
      </w:r>
    </w:p>
    <w:p>
      <w:pPr>
        <w:pStyle w:val="BodyText"/>
        <w:numPr>
          <w:ilvl w:val="0"/>
          <w:numId w:val="18"/>
        </w:numPr>
        <w:tabs>
          <w:tab w:val="left" w:pos="9180"/>
        </w:tabs>
        <w:spacing w:before="0" w:after="120"/>
        <w:ind w:left="426"/>
        <w:rPr>
          <w:rFonts w:ascii="Arial" w:hAnsi="Arial"/>
          <w:b/>
          <w:lang w:val="en-CA"/>
        </w:rPr>
      </w:pPr>
      <w:r>
        <w:rPr>
          <w:rFonts w:ascii="Arial" w:hAnsi="Arial"/>
          <w:lang w:val="en-CA"/>
        </w:rPr>
        <w:t xml:space="preserve">Post the completed Form 9 to the CSE website in accordance with </w:t>
      </w:r>
      <w:r>
        <w:rPr>
          <w:rFonts w:ascii="Arial" w:hAnsi="Arial"/>
          <w:i/>
          <w:lang w:val="en-CA"/>
        </w:rPr>
        <w:t>Policy 6 – Distributions.</w:t>
      </w:r>
      <w:r>
        <w:rPr>
          <w:rFonts w:ascii="Arial" w:hAnsi="Arial"/>
          <w:lang w:val="en-CA"/>
        </w:rPr>
        <w:t xml:space="preserve">  In addition, the completed form must be delivered to </w:t>
      </w:r>
      <w:hyperlink r:id="rId7" w:history="1">
        <w:r>
          <w:rPr>
            <w:rStyle w:val="Hyperlink"/>
            <w:rFonts w:ascii="Arial" w:hAnsi="Arial"/>
            <w:lang w:val="en-CA"/>
          </w:rPr>
          <w:t>listings@thecse.com</w:t>
        </w:r>
      </w:hyperlink>
      <w:r>
        <w:rPr>
          <w:rFonts w:ascii="Arial" w:hAnsi="Arial"/>
          <w:lang w:val="en-CA"/>
        </w:rPr>
        <w:t xml:space="preserve"> with an appendix that includes the information in Table 1B for ALL placees.</w:t>
      </w:r>
      <w:r>
        <w:rPr>
          <w:rFonts w:ascii="Arial" w:hAnsi="Arial"/>
          <w:b/>
          <w:lang w:val="en-CA"/>
        </w:rPr>
        <w:br w:type="page"/>
      </w:r>
    </w:p>
    <w:p>
      <w:pPr>
        <w:pStyle w:val="BodyText"/>
        <w:spacing w:before="0" w:after="240"/>
        <w:rPr>
          <w:rFonts w:ascii="Arial" w:hAnsi="Arial"/>
          <w:b/>
          <w:lang w:val="en-CA"/>
        </w:rPr>
      </w:pPr>
      <w:r>
        <w:rPr>
          <w:rFonts w:ascii="Arial" w:hAnsi="Arial"/>
          <w:b/>
          <w:lang w:val="en-CA"/>
        </w:rPr>
        <w:lastRenderedPageBreak/>
        <w:t>Part 1.</w:t>
      </w:r>
      <w:r>
        <w:rPr>
          <w:rFonts w:ascii="Arial" w:hAnsi="Arial"/>
          <w:b/>
          <w:lang w:val="en-CA"/>
        </w:rPr>
        <w:tab/>
        <w:t xml:space="preserve">Private Placement </w:t>
      </w:r>
    </w:p>
    <w:p>
      <w:pPr>
        <w:pStyle w:val="BodyText"/>
        <w:rPr>
          <w:rFonts w:ascii="Arial" w:hAnsi="Arial"/>
          <w:b/>
          <w:u w:val="single"/>
          <w:lang w:val="en-CA"/>
        </w:rPr>
      </w:pPr>
      <w:r>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tc>
          <w:tcPr>
            <w:tcW w:w="3652" w:type="dxa"/>
          </w:tcPr>
          <w:p>
            <w:pPr>
              <w:pStyle w:val="BodyText"/>
              <w:rPr>
                <w:rFonts w:ascii="Arial" w:hAnsi="Arial"/>
                <w:lang w:val="en-CA"/>
              </w:rPr>
            </w:pPr>
            <w:r>
              <w:rPr>
                <w:rFonts w:ascii="Arial" w:hAnsi="Arial"/>
                <w:lang w:val="en-CA"/>
              </w:rPr>
              <w:t>Each jurisdiction in which purchasers reside</w:t>
            </w:r>
          </w:p>
        </w:tc>
        <w:tc>
          <w:tcPr>
            <w:tcW w:w="1701" w:type="dxa"/>
          </w:tcPr>
          <w:p>
            <w:pPr>
              <w:pStyle w:val="BodyText"/>
              <w:rPr>
                <w:rFonts w:ascii="Arial" w:hAnsi="Arial"/>
                <w:lang w:val="en-CA"/>
              </w:rPr>
            </w:pPr>
            <w:r>
              <w:rPr>
                <w:rFonts w:ascii="Arial" w:hAnsi="Arial"/>
                <w:lang w:val="en-CA"/>
              </w:rPr>
              <w:t>Number of Purchasers</w:t>
            </w:r>
          </w:p>
        </w:tc>
        <w:tc>
          <w:tcPr>
            <w:tcW w:w="1829" w:type="dxa"/>
          </w:tcPr>
          <w:p>
            <w:pPr>
              <w:pStyle w:val="BodyText"/>
              <w:rPr>
                <w:rFonts w:ascii="Arial" w:hAnsi="Arial"/>
                <w:lang w:val="en-CA"/>
              </w:rPr>
            </w:pPr>
            <w:r>
              <w:rPr>
                <w:rFonts w:ascii="Arial" w:hAnsi="Arial"/>
                <w:lang w:val="en-CA"/>
              </w:rPr>
              <w:t>Price per Security</w:t>
            </w:r>
          </w:p>
        </w:tc>
        <w:tc>
          <w:tcPr>
            <w:tcW w:w="2394" w:type="dxa"/>
          </w:tcPr>
          <w:p>
            <w:pPr>
              <w:pStyle w:val="BodyText"/>
              <w:rPr>
                <w:rFonts w:ascii="Arial" w:hAnsi="Arial"/>
                <w:lang w:val="en-CA"/>
              </w:rPr>
            </w:pPr>
            <w:r>
              <w:rPr>
                <w:rFonts w:ascii="Arial" w:hAnsi="Arial"/>
                <w:lang w:val="en-CA"/>
              </w:rPr>
              <w:t>Total dollar value (CDN$) raised in the jurisdiction</w:t>
            </w:r>
          </w:p>
        </w:tc>
      </w:tr>
      <w:tr>
        <w:tc>
          <w:tcPr>
            <w:tcW w:w="3652" w:type="dxa"/>
          </w:tcPr>
          <w:p>
            <w:pPr>
              <w:pStyle w:val="BodyText"/>
              <w:rPr>
                <w:rFonts w:ascii="Arial" w:hAnsi="Arial"/>
                <w:lang w:val="en-CA"/>
              </w:rPr>
            </w:pPr>
            <w:r>
              <w:rPr>
                <w:rFonts w:ascii="Arial" w:hAnsi="Arial"/>
                <w:i/>
                <w:u w:val="single"/>
                <w:lang w:val="en-CA"/>
              </w:rPr>
              <w:t>To be determined</w:t>
            </w:r>
          </w:p>
        </w:tc>
        <w:tc>
          <w:tcPr>
            <w:tcW w:w="1701" w:type="dxa"/>
          </w:tcPr>
          <w:p>
            <w:pPr>
              <w:pStyle w:val="BodyText"/>
              <w:rPr>
                <w:rFonts w:ascii="Arial" w:hAnsi="Arial"/>
                <w:lang w:val="en-CA"/>
              </w:rPr>
            </w:pPr>
          </w:p>
        </w:tc>
        <w:tc>
          <w:tcPr>
            <w:tcW w:w="1829" w:type="dxa"/>
          </w:tcPr>
          <w:p>
            <w:pPr>
              <w:pStyle w:val="BodyText"/>
              <w:rPr>
                <w:rFonts w:ascii="Arial" w:hAnsi="Arial"/>
                <w:lang w:val="en-CA"/>
              </w:rPr>
            </w:pPr>
          </w:p>
        </w:tc>
        <w:tc>
          <w:tcPr>
            <w:tcW w:w="2394" w:type="dxa"/>
          </w:tcPr>
          <w:p>
            <w:pPr>
              <w:pStyle w:val="BodyText"/>
              <w:rPr>
                <w:rFonts w:ascii="Arial" w:hAnsi="Arial"/>
                <w:lang w:val="en-CA"/>
              </w:rPr>
            </w:pPr>
          </w:p>
        </w:tc>
      </w:tr>
      <w:tr>
        <w:tc>
          <w:tcPr>
            <w:tcW w:w="3652" w:type="dxa"/>
          </w:tcPr>
          <w:p>
            <w:pPr>
              <w:pStyle w:val="BodyText"/>
              <w:rPr>
                <w:rFonts w:ascii="Arial" w:hAnsi="Arial"/>
                <w:lang w:val="en-CA"/>
              </w:rPr>
            </w:pPr>
          </w:p>
        </w:tc>
        <w:tc>
          <w:tcPr>
            <w:tcW w:w="1701" w:type="dxa"/>
          </w:tcPr>
          <w:p>
            <w:pPr>
              <w:pStyle w:val="BodyText"/>
              <w:rPr>
                <w:rFonts w:ascii="Arial" w:hAnsi="Arial"/>
                <w:lang w:val="en-CA"/>
              </w:rPr>
            </w:pPr>
          </w:p>
        </w:tc>
        <w:tc>
          <w:tcPr>
            <w:tcW w:w="1829" w:type="dxa"/>
          </w:tcPr>
          <w:p>
            <w:pPr>
              <w:pStyle w:val="BodyText"/>
              <w:rPr>
                <w:rFonts w:ascii="Arial" w:hAnsi="Arial"/>
                <w:lang w:val="en-CA"/>
              </w:rPr>
            </w:pPr>
          </w:p>
        </w:tc>
        <w:tc>
          <w:tcPr>
            <w:tcW w:w="2394" w:type="dxa"/>
          </w:tcPr>
          <w:p>
            <w:pPr>
              <w:pStyle w:val="BodyText"/>
              <w:rPr>
                <w:rFonts w:ascii="Arial" w:hAnsi="Arial"/>
                <w:lang w:val="en-CA"/>
              </w:rPr>
            </w:pPr>
          </w:p>
        </w:tc>
      </w:tr>
      <w:tr>
        <w:tc>
          <w:tcPr>
            <w:tcW w:w="3652" w:type="dxa"/>
          </w:tcPr>
          <w:p>
            <w:pPr>
              <w:pStyle w:val="BodyText"/>
              <w:rPr>
                <w:rFonts w:ascii="Arial" w:hAnsi="Arial"/>
                <w:lang w:val="en-CA"/>
              </w:rPr>
            </w:pPr>
            <w:r>
              <w:rPr>
                <w:rFonts w:ascii="Arial" w:hAnsi="Arial"/>
                <w:lang w:val="en-CA"/>
              </w:rPr>
              <w:t>Total number of purchasers:</w:t>
            </w:r>
          </w:p>
        </w:tc>
        <w:tc>
          <w:tcPr>
            <w:tcW w:w="1701" w:type="dxa"/>
          </w:tcPr>
          <w:p>
            <w:pPr>
              <w:pStyle w:val="BodyText"/>
              <w:rPr>
                <w:rFonts w:ascii="Arial" w:hAnsi="Arial"/>
                <w:lang w:val="en-CA"/>
              </w:rPr>
            </w:pPr>
          </w:p>
        </w:tc>
        <w:tc>
          <w:tcPr>
            <w:tcW w:w="1829" w:type="dxa"/>
          </w:tcPr>
          <w:p>
            <w:pPr>
              <w:pStyle w:val="BodyText"/>
              <w:rPr>
                <w:rFonts w:ascii="Arial" w:hAnsi="Arial"/>
                <w:lang w:val="en-CA"/>
              </w:rPr>
            </w:pPr>
          </w:p>
        </w:tc>
        <w:tc>
          <w:tcPr>
            <w:tcW w:w="2394" w:type="dxa"/>
          </w:tcPr>
          <w:p>
            <w:pPr>
              <w:pStyle w:val="BodyText"/>
              <w:rPr>
                <w:rFonts w:ascii="Arial" w:hAnsi="Arial"/>
                <w:lang w:val="en-CA"/>
              </w:rPr>
            </w:pPr>
          </w:p>
        </w:tc>
      </w:tr>
      <w:tr>
        <w:tc>
          <w:tcPr>
            <w:tcW w:w="7182" w:type="dxa"/>
            <w:gridSpan w:val="3"/>
          </w:tcPr>
          <w:p>
            <w:pPr>
              <w:pStyle w:val="BodyText"/>
              <w:rPr>
                <w:rFonts w:ascii="Arial" w:hAnsi="Arial"/>
                <w:lang w:val="en-CA"/>
              </w:rPr>
            </w:pPr>
            <w:r>
              <w:rPr>
                <w:rFonts w:ascii="Arial" w:hAnsi="Arial"/>
                <w:lang w:val="en-CA"/>
              </w:rPr>
              <w:t>Total dollar value of distribution in all jurisdictions:</w:t>
            </w:r>
          </w:p>
        </w:tc>
        <w:tc>
          <w:tcPr>
            <w:tcW w:w="2394" w:type="dxa"/>
          </w:tcPr>
          <w:p>
            <w:pPr>
              <w:pStyle w:val="BodyText"/>
              <w:rPr>
                <w:rFonts w:ascii="Arial" w:hAnsi="Arial"/>
                <w:lang w:val="en-CA"/>
              </w:rPr>
            </w:pPr>
          </w:p>
        </w:tc>
      </w:tr>
    </w:tbl>
    <w:p>
      <w:pPr>
        <w:pStyle w:val="BodyText"/>
        <w:rPr>
          <w:rFonts w:ascii="Arial" w:hAnsi="Arial"/>
          <w:b/>
          <w:u w:val="single"/>
          <w:lang w:val="en-CA"/>
        </w:rPr>
      </w:pPr>
    </w:p>
    <w:p>
      <w:pPr>
        <w:pStyle w:val="BodyText"/>
        <w:rPr>
          <w:rFonts w:ascii="Arial" w:hAnsi="Arial"/>
          <w:b/>
          <w:u w:val="single"/>
          <w:lang w:val="en-CA"/>
        </w:rPr>
      </w:pPr>
      <w:r>
        <w:rPr>
          <w:rFonts w:ascii="Arial" w:hAnsi="Arial"/>
          <w:b/>
          <w:u w:val="single"/>
          <w:lang w:val="en-CA"/>
        </w:rPr>
        <w:t>Table 1B – Related Persons</w:t>
      </w:r>
    </w:p>
    <w:p>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trPr>
          <w:trHeight w:val="1965"/>
        </w:trPr>
        <w:tc>
          <w:tcPr>
            <w:tcW w:w="1368"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Full Name &amp;Municipality of Residence of Placee</w:t>
            </w:r>
          </w:p>
        </w:tc>
        <w:tc>
          <w:tcPr>
            <w:tcW w:w="135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Conversion</w:t>
            </w:r>
          </w:p>
          <w:p>
            <w:pPr>
              <w:pStyle w:val="BodyText"/>
              <w:spacing w:before="0" w:line="280" w:lineRule="exact"/>
              <w:jc w:val="center"/>
              <w:rPr>
                <w:rFonts w:ascii="Arial" w:hAnsi="Arial"/>
                <w:b/>
                <w:sz w:val="20"/>
                <w:lang w:val="en-CA"/>
              </w:rPr>
            </w:pPr>
            <w:r>
              <w:rPr>
                <w:rFonts w:ascii="Arial" w:hAnsi="Arial"/>
                <w:b/>
                <w:sz w:val="20"/>
                <w:lang w:val="en-CA"/>
              </w:rPr>
              <w:t>Price (if</w:t>
            </w:r>
          </w:p>
          <w:p>
            <w:pPr>
              <w:pStyle w:val="BodyText"/>
              <w:spacing w:before="0" w:line="280" w:lineRule="exact"/>
              <w:jc w:val="center"/>
              <w:rPr>
                <w:rFonts w:ascii="Arial" w:hAnsi="Arial"/>
                <w:b/>
                <w:sz w:val="20"/>
                <w:lang w:val="en-CA"/>
              </w:rPr>
            </w:pPr>
            <w:r>
              <w:rPr>
                <w:rFonts w:ascii="Arial" w:hAnsi="Arial"/>
                <w:b/>
                <w:sz w:val="20"/>
                <w:lang w:val="en-CA"/>
              </w:rPr>
              <w:t>Applicable)</w:t>
            </w:r>
          </w:p>
          <w:p>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pPr>
              <w:pStyle w:val="BodyText"/>
              <w:spacing w:before="0" w:line="280" w:lineRule="exact"/>
              <w:jc w:val="center"/>
              <w:rPr>
                <w:rFonts w:ascii="Arial" w:hAnsi="Arial"/>
                <w:b/>
                <w:sz w:val="20"/>
              </w:rPr>
            </w:pPr>
          </w:p>
          <w:p>
            <w:pPr>
              <w:pStyle w:val="BodyText"/>
              <w:spacing w:before="0" w:line="280" w:lineRule="exact"/>
              <w:jc w:val="center"/>
              <w:rPr>
                <w:rFonts w:ascii="Arial" w:hAnsi="Arial"/>
                <w:b/>
                <w:sz w:val="20"/>
                <w:lang w:val="en-CA"/>
              </w:rPr>
            </w:pPr>
            <w:r>
              <w:rPr>
                <w:rFonts w:ascii="Arial" w:hAnsi="Arial"/>
                <w:b/>
                <w:sz w:val="20"/>
              </w:rPr>
              <w:t>TotalSecuritiesPreviously Owned, Controlled or Directed</w:t>
            </w:r>
          </w:p>
        </w:tc>
        <w:tc>
          <w:tcPr>
            <w:tcW w:w="1080" w:type="dxa"/>
          </w:tcPr>
          <w:p>
            <w:pPr>
              <w:pStyle w:val="BodyText"/>
              <w:spacing w:before="0" w:line="280" w:lineRule="exact"/>
              <w:jc w:val="center"/>
              <w:rPr>
                <w:rFonts w:ascii="Arial" w:hAnsi="Arial"/>
                <w:b/>
                <w:sz w:val="20"/>
                <w:lang w:val="en-CA"/>
              </w:rPr>
            </w:pPr>
          </w:p>
          <w:p>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pPr>
              <w:pStyle w:val="BodyText"/>
              <w:spacing w:before="0" w:line="280" w:lineRule="exact"/>
              <w:jc w:val="center"/>
              <w:rPr>
                <w:rFonts w:ascii="Arial" w:hAnsi="Arial"/>
                <w:b/>
                <w:color w:val="000000"/>
                <w:sz w:val="20"/>
                <w:lang w:val="en-CA"/>
              </w:rPr>
            </w:pPr>
          </w:p>
          <w:p>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trPr>
          <w:trHeight w:val="864"/>
        </w:trPr>
        <w:tc>
          <w:tcPr>
            <w:tcW w:w="1368" w:type="dxa"/>
          </w:tcPr>
          <w:p>
            <w:pPr>
              <w:pStyle w:val="BodyText"/>
              <w:spacing w:before="0" w:line="280" w:lineRule="exact"/>
              <w:jc w:val="center"/>
              <w:rPr>
                <w:rFonts w:ascii="Arial" w:hAnsi="Arial"/>
                <w:sz w:val="20"/>
                <w:lang w:val="en-CA"/>
              </w:rPr>
            </w:pPr>
            <w:r>
              <w:rPr>
                <w:rFonts w:ascii="Arial" w:hAnsi="Arial"/>
                <w:i/>
                <w:sz w:val="20"/>
                <w:u w:val="single"/>
                <w:lang w:val="en-CA"/>
              </w:rPr>
              <w:t>To be determined</w:t>
            </w:r>
          </w:p>
        </w:tc>
        <w:tc>
          <w:tcPr>
            <w:tcW w:w="1350" w:type="dxa"/>
          </w:tcPr>
          <w:p>
            <w:pPr>
              <w:pStyle w:val="BodyText"/>
              <w:spacing w:before="0" w:line="280" w:lineRule="exact"/>
              <w:jc w:val="center"/>
              <w:rPr>
                <w:rFonts w:ascii="Arial" w:hAnsi="Arial"/>
                <w:b/>
                <w:sz w:val="20"/>
                <w:lang w:val="en-CA"/>
              </w:rPr>
            </w:pPr>
          </w:p>
        </w:tc>
        <w:tc>
          <w:tcPr>
            <w:tcW w:w="1170" w:type="dxa"/>
          </w:tcPr>
          <w:p>
            <w:pPr>
              <w:pStyle w:val="BodyText"/>
              <w:spacing w:before="0" w:line="280" w:lineRule="exact"/>
              <w:jc w:val="center"/>
              <w:rPr>
                <w:rFonts w:ascii="Arial" w:hAnsi="Arial"/>
                <w:b/>
                <w:sz w:val="20"/>
                <w:lang w:val="en-CA"/>
              </w:rPr>
            </w:pPr>
          </w:p>
        </w:tc>
        <w:tc>
          <w:tcPr>
            <w:tcW w:w="1350" w:type="dxa"/>
          </w:tcPr>
          <w:p>
            <w:pPr>
              <w:pStyle w:val="BodyText"/>
              <w:spacing w:before="0" w:line="280" w:lineRule="exact"/>
              <w:jc w:val="center"/>
              <w:rPr>
                <w:rFonts w:ascii="Arial" w:hAnsi="Arial"/>
                <w:b/>
                <w:sz w:val="20"/>
                <w:lang w:val="en-CA"/>
              </w:rPr>
            </w:pPr>
          </w:p>
        </w:tc>
        <w:tc>
          <w:tcPr>
            <w:tcW w:w="1350" w:type="dxa"/>
          </w:tcPr>
          <w:p>
            <w:pPr>
              <w:pStyle w:val="BodyText"/>
              <w:spacing w:before="0" w:line="280" w:lineRule="exact"/>
              <w:jc w:val="center"/>
              <w:rPr>
                <w:rFonts w:ascii="Arial" w:hAnsi="Arial"/>
                <w:b/>
                <w:sz w:val="20"/>
                <w:lang w:val="en-CA"/>
              </w:rPr>
            </w:pPr>
          </w:p>
        </w:tc>
        <w:tc>
          <w:tcPr>
            <w:tcW w:w="1710" w:type="dxa"/>
          </w:tcPr>
          <w:p>
            <w:pPr>
              <w:pStyle w:val="BodyText"/>
              <w:spacing w:before="0" w:line="280" w:lineRule="exact"/>
              <w:jc w:val="center"/>
              <w:rPr>
                <w:rFonts w:ascii="Arial" w:hAnsi="Arial"/>
                <w:b/>
                <w:sz w:val="20"/>
              </w:rPr>
            </w:pPr>
          </w:p>
        </w:tc>
        <w:tc>
          <w:tcPr>
            <w:tcW w:w="1080" w:type="dxa"/>
          </w:tcPr>
          <w:p>
            <w:pPr>
              <w:pStyle w:val="BodyText"/>
              <w:spacing w:before="0" w:line="280" w:lineRule="exact"/>
              <w:jc w:val="center"/>
              <w:rPr>
                <w:rFonts w:ascii="Arial" w:hAnsi="Arial"/>
                <w:b/>
                <w:sz w:val="20"/>
                <w:lang w:val="en-CA"/>
              </w:rPr>
            </w:pPr>
          </w:p>
        </w:tc>
        <w:tc>
          <w:tcPr>
            <w:tcW w:w="1080" w:type="dxa"/>
          </w:tcPr>
          <w:p>
            <w:pPr>
              <w:pStyle w:val="BodyText"/>
              <w:spacing w:before="0" w:line="280" w:lineRule="exact"/>
              <w:jc w:val="center"/>
              <w:rPr>
                <w:rFonts w:ascii="Arial" w:hAnsi="Arial"/>
                <w:b/>
                <w:color w:val="000000"/>
                <w:sz w:val="20"/>
                <w:lang w:val="en-CA"/>
              </w:rPr>
            </w:pPr>
          </w:p>
        </w:tc>
      </w:tr>
      <w:tr>
        <w:trPr>
          <w:trHeight w:val="864"/>
        </w:trPr>
        <w:tc>
          <w:tcPr>
            <w:tcW w:w="1368" w:type="dxa"/>
          </w:tcPr>
          <w:p>
            <w:pPr>
              <w:pStyle w:val="BodyText"/>
              <w:rPr>
                <w:rFonts w:ascii="Arial" w:hAnsi="Arial"/>
                <w:lang w:val="en-CA"/>
              </w:rPr>
            </w:pPr>
          </w:p>
          <w:p>
            <w:pPr>
              <w:pStyle w:val="BodyText"/>
              <w:rPr>
                <w:rFonts w:ascii="Arial" w:hAnsi="Arial"/>
                <w:lang w:val="en-CA"/>
              </w:rPr>
            </w:pPr>
          </w:p>
        </w:tc>
        <w:tc>
          <w:tcPr>
            <w:tcW w:w="1350" w:type="dxa"/>
          </w:tcPr>
          <w:p>
            <w:pPr>
              <w:pStyle w:val="BodyText"/>
              <w:rPr>
                <w:rFonts w:ascii="Arial" w:hAnsi="Arial"/>
                <w:lang w:val="en-CA"/>
              </w:rPr>
            </w:pPr>
          </w:p>
        </w:tc>
        <w:tc>
          <w:tcPr>
            <w:tcW w:w="1170" w:type="dxa"/>
          </w:tcPr>
          <w:p>
            <w:pPr>
              <w:pStyle w:val="BodyText"/>
              <w:rPr>
                <w:rFonts w:ascii="Arial" w:hAnsi="Arial"/>
                <w:lang w:val="en-CA"/>
              </w:rPr>
            </w:pPr>
          </w:p>
        </w:tc>
        <w:tc>
          <w:tcPr>
            <w:tcW w:w="1350" w:type="dxa"/>
          </w:tcPr>
          <w:p>
            <w:pPr>
              <w:pStyle w:val="BodyText"/>
              <w:rPr>
                <w:rFonts w:ascii="Arial" w:hAnsi="Arial"/>
                <w:lang w:val="en-CA"/>
              </w:rPr>
            </w:pPr>
          </w:p>
        </w:tc>
        <w:tc>
          <w:tcPr>
            <w:tcW w:w="1350" w:type="dxa"/>
          </w:tcPr>
          <w:p>
            <w:pPr>
              <w:pStyle w:val="BodyText"/>
              <w:rPr>
                <w:rFonts w:ascii="Arial" w:hAnsi="Arial"/>
                <w:lang w:val="en-CA"/>
              </w:rPr>
            </w:pPr>
          </w:p>
        </w:tc>
        <w:tc>
          <w:tcPr>
            <w:tcW w:w="1710" w:type="dxa"/>
          </w:tcPr>
          <w:p>
            <w:pPr>
              <w:pStyle w:val="BodyText"/>
              <w:rPr>
                <w:rFonts w:ascii="Arial" w:hAnsi="Arial"/>
                <w:lang w:val="en-CA"/>
              </w:rPr>
            </w:pPr>
          </w:p>
        </w:tc>
        <w:tc>
          <w:tcPr>
            <w:tcW w:w="1080" w:type="dxa"/>
          </w:tcPr>
          <w:p>
            <w:pPr>
              <w:pStyle w:val="BodyText"/>
              <w:rPr>
                <w:rFonts w:ascii="Arial" w:hAnsi="Arial"/>
                <w:lang w:val="en-CA"/>
              </w:rPr>
            </w:pPr>
          </w:p>
        </w:tc>
        <w:tc>
          <w:tcPr>
            <w:tcW w:w="1080" w:type="dxa"/>
          </w:tcPr>
          <w:p>
            <w:pPr>
              <w:pStyle w:val="BodyText"/>
              <w:rPr>
                <w:rFonts w:ascii="Arial" w:hAnsi="Arial"/>
                <w:lang w:val="en-CA"/>
              </w:rPr>
            </w:pPr>
          </w:p>
        </w:tc>
      </w:tr>
      <w:tr>
        <w:trPr>
          <w:trHeight w:val="864"/>
        </w:trPr>
        <w:tc>
          <w:tcPr>
            <w:tcW w:w="1368" w:type="dxa"/>
          </w:tcPr>
          <w:p>
            <w:pPr>
              <w:pStyle w:val="BodyText"/>
              <w:rPr>
                <w:rFonts w:ascii="Arial" w:hAnsi="Arial"/>
                <w:lang w:val="en-CA"/>
              </w:rPr>
            </w:pPr>
          </w:p>
        </w:tc>
        <w:tc>
          <w:tcPr>
            <w:tcW w:w="1350" w:type="dxa"/>
          </w:tcPr>
          <w:p>
            <w:pPr>
              <w:pStyle w:val="BodyText"/>
              <w:rPr>
                <w:rFonts w:ascii="Arial" w:hAnsi="Arial"/>
                <w:lang w:val="en-CA"/>
              </w:rPr>
            </w:pPr>
          </w:p>
        </w:tc>
        <w:tc>
          <w:tcPr>
            <w:tcW w:w="1170" w:type="dxa"/>
          </w:tcPr>
          <w:p>
            <w:pPr>
              <w:pStyle w:val="BodyText"/>
              <w:rPr>
                <w:rFonts w:ascii="Arial" w:hAnsi="Arial"/>
                <w:lang w:val="en-CA"/>
              </w:rPr>
            </w:pPr>
          </w:p>
        </w:tc>
        <w:tc>
          <w:tcPr>
            <w:tcW w:w="1350" w:type="dxa"/>
          </w:tcPr>
          <w:p>
            <w:pPr>
              <w:pStyle w:val="BodyText"/>
              <w:rPr>
                <w:rFonts w:ascii="Arial" w:hAnsi="Arial"/>
                <w:lang w:val="en-CA"/>
              </w:rPr>
            </w:pPr>
          </w:p>
        </w:tc>
        <w:tc>
          <w:tcPr>
            <w:tcW w:w="1350" w:type="dxa"/>
          </w:tcPr>
          <w:p>
            <w:pPr>
              <w:pStyle w:val="BodyText"/>
              <w:rPr>
                <w:rFonts w:ascii="Arial" w:hAnsi="Arial"/>
                <w:lang w:val="en-CA"/>
              </w:rPr>
            </w:pPr>
          </w:p>
        </w:tc>
        <w:tc>
          <w:tcPr>
            <w:tcW w:w="1710" w:type="dxa"/>
          </w:tcPr>
          <w:p>
            <w:pPr>
              <w:pStyle w:val="BodyText"/>
              <w:rPr>
                <w:rFonts w:ascii="Arial" w:hAnsi="Arial"/>
                <w:lang w:val="en-CA"/>
              </w:rPr>
            </w:pPr>
          </w:p>
        </w:tc>
        <w:tc>
          <w:tcPr>
            <w:tcW w:w="1080" w:type="dxa"/>
          </w:tcPr>
          <w:p>
            <w:pPr>
              <w:pStyle w:val="BodyText"/>
              <w:rPr>
                <w:rFonts w:ascii="Arial" w:hAnsi="Arial"/>
                <w:lang w:val="en-CA"/>
              </w:rPr>
            </w:pPr>
          </w:p>
        </w:tc>
        <w:tc>
          <w:tcPr>
            <w:tcW w:w="1080" w:type="dxa"/>
          </w:tcPr>
          <w:p>
            <w:pPr>
              <w:pStyle w:val="BodyText"/>
              <w:rPr>
                <w:rFonts w:ascii="Arial" w:hAnsi="Arial"/>
                <w:lang w:val="en-CA"/>
              </w:rPr>
            </w:pPr>
          </w:p>
        </w:tc>
      </w:tr>
    </w:tbl>
    <w:p>
      <w:pPr>
        <w:pStyle w:val="BodyText"/>
        <w:rPr>
          <w:rFonts w:ascii="Arial" w:hAnsi="Arial" w:cs="Arial"/>
          <w:sz w:val="20"/>
        </w:rPr>
      </w:pPr>
    </w:p>
    <w:p>
      <w:pPr>
        <w:pStyle w:val="FootnoteText"/>
        <w:rPr>
          <w:rFonts w:ascii="Arial" w:hAnsi="Arial" w:cs="Arial"/>
          <w:sz w:val="24"/>
          <w:szCs w:val="24"/>
        </w:rPr>
      </w:pPr>
      <w:r>
        <w:rPr>
          <w:rFonts w:ascii="Arial" w:hAnsi="Arial" w:cs="Arial"/>
          <w:vertAlign w:val="superscript"/>
        </w:rPr>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$115,517,500 pursuant to the Private Placement and the Concurrent Prospectus Offering</w:t>
      </w:r>
      <w:r>
        <w:rPr>
          <w:rFonts w:ascii="Arial" w:hAnsi="Arial"/>
        </w:rPr>
        <w:t>.</w:t>
      </w:r>
    </w:p>
    <w:p>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p>
    <w:p>
      <w:pPr>
        <w:pStyle w:val="BodyText"/>
        <w:tabs>
          <w:tab w:val="left" w:pos="1080"/>
          <w:tab w:val="left" w:pos="9180"/>
        </w:tabs>
        <w:ind w:left="1080" w:hanging="1080"/>
        <w:rPr>
          <w:rFonts w:ascii="Arial" w:hAnsi="Arial"/>
        </w:rPr>
      </w:pPr>
      <w:r>
        <w:rPr>
          <w:rFonts w:ascii="Arial" w:hAnsi="Arial"/>
        </w:rPr>
        <w:lastRenderedPageBreak/>
        <w:tab/>
      </w:r>
      <w:r>
        <w:rPr>
          <w:rFonts w:ascii="Arial" w:hAnsi="Arial"/>
          <w:u w:val="single"/>
        </w:rPr>
        <w:t>The Issuer intends to use the net proceeds from the Private Placement and ‎the Concurrent Prospectus Offering for capital expenditures, business ‎development and for general corporate purposes</w:t>
      </w:r>
      <w:r>
        <w:rPr>
          <w:rFonts w:ascii="Arial" w:hAnsi="Arial"/>
        </w:rPr>
        <w:t>.</w:t>
      </w:r>
    </w:p>
    <w:p>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pPr>
        <w:pStyle w:val="BodyText"/>
        <w:numPr>
          <w:ilvl w:val="0"/>
          <w:numId w:val="10"/>
        </w:numPr>
        <w:tabs>
          <w:tab w:val="left" w:pos="9180"/>
        </w:tabs>
        <w:rPr>
          <w:rFonts w:ascii="Arial" w:hAnsi="Arial"/>
        </w:rPr>
      </w:pPr>
      <w:r>
        <w:rPr>
          <w:rFonts w:ascii="Arial" w:hAnsi="Arial"/>
        </w:rPr>
        <w:t>If securities are issued in forgiveness of indebtedness, provide details of the debt agreement(s) or and the agreement to exchange the debt for securities.</w:t>
      </w:r>
    </w:p>
    <w:p>
      <w:pPr>
        <w:pStyle w:val="BodyText"/>
        <w:numPr>
          <w:ilvl w:val="0"/>
          <w:numId w:val="10"/>
        </w:numPr>
        <w:tabs>
          <w:tab w:val="left" w:pos="9180"/>
        </w:tabs>
        <w:rPr>
          <w:rFonts w:ascii="Arial" w:hAnsi="Arial"/>
        </w:rPr>
      </w:pPr>
      <w:r>
        <w:rPr>
          <w:rFonts w:ascii="Arial" w:hAnsi="Arial"/>
        </w:rPr>
        <w:t>Description of securities to be issued:</w:t>
      </w:r>
    </w:p>
    <w:p>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Subordinate Voting Shares</w:t>
      </w:r>
      <w:r>
        <w:rPr>
          <w:rFonts w:ascii="Arial" w:hAnsi="Arial"/>
          <w:u w:val="single"/>
        </w:rPr>
        <w:tab/>
      </w:r>
      <w:r>
        <w:rPr>
          <w:rFonts w:ascii="Arial" w:hAnsi="Arial"/>
        </w:rPr>
        <w:t xml:space="preserve"> .</w:t>
      </w:r>
    </w:p>
    <w:p>
      <w:pPr>
        <w:pStyle w:val="BodyText"/>
        <w:tabs>
          <w:tab w:val="left" w:pos="1080"/>
          <w:tab w:val="left" w:pos="1440"/>
          <w:tab w:val="left" w:pos="2160"/>
          <w:tab w:val="left" w:pos="9356"/>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4</w:t>
      </w:r>
      <w:r>
        <w:rPr>
          <w:rFonts w:ascii="Arial" w:hAnsi="Arial"/>
          <w:u w:val="single"/>
          <w:lang w:val="en-US"/>
        </w:rPr>
        <w:t>,100,000 Subordinate Voting Shares, plus an additional 615,000 Subordinate Voting Shares pursuant to an over-allotment option, for a total of 4,715,000 Subordinate Voting Shares to be issued under the Private Placement and the Concurrent Prospectus Offering.</w:t>
      </w:r>
      <w:r>
        <w:rPr>
          <w:rFonts w:ascii="Arial" w:hAnsi="Arial"/>
          <w:u w:val="single"/>
        </w:rPr>
        <w:tab/>
      </w:r>
      <w:r>
        <w:rPr>
          <w:rFonts w:ascii="Arial" w:hAnsi="Arial"/>
        </w:rPr>
        <w:t xml:space="preserve"> .</w:t>
      </w:r>
    </w:p>
    <w:p>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C$24.50 per Subordinate Voting Share</w:t>
      </w:r>
      <w:r>
        <w:rPr>
          <w:rFonts w:ascii="Arial" w:hAnsi="Arial"/>
          <w:u w:val="single"/>
        </w:rPr>
        <w:tab/>
      </w:r>
      <w:r>
        <w:rPr>
          <w:rFonts w:ascii="Arial" w:hAnsi="Arial"/>
        </w:rPr>
        <w:t xml:space="preserve"> .</w:t>
      </w:r>
    </w:p>
    <w:p>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One vote per Subordinate Voting Share</w:t>
      </w:r>
      <w:r>
        <w:rPr>
          <w:rFonts w:ascii="Arial" w:hAnsi="Arial"/>
          <w:u w:val="single"/>
        </w:rPr>
        <w:tab/>
      </w:r>
    </w:p>
    <w:p>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 N/A</w:t>
      </w:r>
    </w:p>
    <w:p>
      <w:pPr>
        <w:pStyle w:val="List"/>
        <w:tabs>
          <w:tab w:val="left" w:pos="1440"/>
          <w:tab w:val="left" w:pos="2160"/>
          <w:tab w:val="left" w:pos="3578"/>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u w:val="single"/>
        </w:rPr>
        <w:tab/>
      </w:r>
      <w:r>
        <w:rPr>
          <w:rFonts w:ascii="Arial" w:hAnsi="Arial"/>
        </w:rPr>
        <w:t xml:space="preserve"> .</w:t>
      </w:r>
    </w:p>
    <w:p>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p>
    <w:p>
      <w:pPr>
        <w:pStyle w:val="List"/>
        <w:tabs>
          <w:tab w:val="left" w:pos="1080"/>
          <w:tab w:val="left" w:pos="1440"/>
          <w:tab w:val="left" w:pos="2160"/>
          <w:tab w:val="left" w:pos="4135"/>
          <w:tab w:val="left" w:pos="9180"/>
        </w:tabs>
        <w:ind w:left="0" w:firstLine="0"/>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u w:val="single"/>
        </w:rPr>
        <w:tab/>
      </w:r>
      <w:r>
        <w:rPr>
          <w:rFonts w:ascii="Arial" w:hAnsi="Arial"/>
        </w:rPr>
        <w:t xml:space="preserve"> .</w:t>
      </w:r>
    </w:p>
    <w:p>
      <w:pPr>
        <w:pStyle w:val="List"/>
        <w:tabs>
          <w:tab w:val="left" w:pos="1440"/>
          <w:tab w:val="left" w:pos="2160"/>
          <w:tab w:val="left" w:pos="3600"/>
          <w:tab w:val="left" w:pos="3982"/>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Pr>
          <w:b w:val="0"/>
          <w:sz w:val="24"/>
        </w:rPr>
        <w:t xml:space="preserve"> N/A</w:t>
      </w:r>
    </w:p>
    <w:p>
      <w:pPr>
        <w:pStyle w:val="List"/>
        <w:tabs>
          <w:tab w:val="left" w:pos="1440"/>
          <w:tab w:val="left" w:pos="2160"/>
          <w:tab w:val="left" w:pos="5978"/>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u w:val="single"/>
        </w:rPr>
        <w:tab/>
      </w:r>
      <w:r>
        <w:rPr>
          <w:rFonts w:ascii="Arial" w:hAnsi="Arial"/>
        </w:rPr>
        <w:t xml:space="preserve"> .</w:t>
      </w:r>
    </w:p>
    <w:p>
      <w:pPr>
        <w:pStyle w:val="List"/>
        <w:tabs>
          <w:tab w:val="left" w:pos="1440"/>
          <w:tab w:val="left" w:pos="2160"/>
          <w:tab w:val="left" w:pos="4778"/>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u w:val="single"/>
        </w:rPr>
        <w:tab/>
      </w:r>
      <w:r>
        <w:rPr>
          <w:rFonts w:ascii="Arial" w:hAnsi="Arial"/>
        </w:rPr>
        <w:t xml:space="preserve"> .</w:t>
      </w:r>
    </w:p>
    <w:p>
      <w:pPr>
        <w:pStyle w:val="BodyText"/>
        <w:tabs>
          <w:tab w:val="left" w:pos="1080"/>
          <w:tab w:val="left" w:pos="1440"/>
          <w:tab w:val="left" w:pos="2160"/>
          <w:tab w:val="left" w:pos="4309"/>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u w:val="single"/>
        </w:rPr>
        <w:tab/>
      </w:r>
      <w:r>
        <w:rPr>
          <w:rFonts w:ascii="Arial" w:hAnsi="Arial"/>
        </w:rPr>
        <w:t xml:space="preserve"> .</w:t>
      </w:r>
    </w:p>
    <w:p>
      <w:pPr>
        <w:pStyle w:val="BodyText"/>
        <w:tabs>
          <w:tab w:val="left" w:pos="1080"/>
          <w:tab w:val="left" w:pos="1440"/>
          <w:tab w:val="left" w:pos="2160"/>
          <w:tab w:val="left" w:pos="45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u w:val="single"/>
        </w:rPr>
        <w:tab/>
      </w:r>
      <w:r>
        <w:rPr>
          <w:rFonts w:ascii="Arial" w:hAnsi="Arial"/>
        </w:rPr>
        <w:t xml:space="preserve"> .</w:t>
      </w:r>
    </w:p>
    <w:p>
      <w:pPr>
        <w:pStyle w:val="BodyText"/>
        <w:tabs>
          <w:tab w:val="left" w:pos="1080"/>
          <w:tab w:val="left" w:pos="1440"/>
          <w:tab w:val="left" w:pos="2160"/>
          <w:tab w:val="left" w:pos="4898"/>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u w:val="single"/>
        </w:rPr>
        <w:tab/>
      </w:r>
      <w:r>
        <w:rPr>
          <w:rFonts w:ascii="Arial" w:hAnsi="Arial"/>
        </w:rPr>
        <w:t xml:space="preserve"> .</w:t>
      </w:r>
    </w:p>
    <w:p>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p>
    <w:p>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p>
    <w:p>
      <w:pPr>
        <w:pStyle w:val="List"/>
        <w:tabs>
          <w:tab w:val="left" w:pos="2160"/>
          <w:tab w:val="left" w:pos="9180"/>
        </w:tabs>
        <w:ind w:left="2160"/>
        <w:jc w:val="both"/>
        <w:rPr>
          <w:rFonts w:ascii="Arial" w:hAnsi="Arial"/>
          <w:u w:val="single"/>
        </w:rPr>
      </w:pPr>
      <w:r>
        <w:rPr>
          <w:rFonts w:ascii="Arial" w:hAnsi="Arial"/>
        </w:rPr>
        <w:tab/>
      </w:r>
      <w:r>
        <w:rPr>
          <w:rFonts w:ascii="Arial" w:hAnsi="Arial"/>
          <w:u w:val="single"/>
        </w:rPr>
        <w:t>Canaccord Genuity Corp. 161 Bay Street, Suite 3000, Toronto, ‎Ontario, M5J 2S1</w:t>
      </w:r>
    </w:p>
    <w:p>
      <w:pPr>
        <w:pStyle w:val="List"/>
        <w:tabs>
          <w:tab w:val="left" w:pos="2160"/>
          <w:tab w:val="left" w:pos="9180"/>
        </w:tabs>
        <w:ind w:left="2160"/>
        <w:jc w:val="both"/>
        <w:rPr>
          <w:rFonts w:ascii="Arial" w:hAnsi="Arial"/>
          <w:u w:val="single"/>
          <w:lang w:val="en-US"/>
        </w:rPr>
      </w:pPr>
      <w:r>
        <w:rPr>
          <w:rFonts w:ascii="Arial" w:hAnsi="Arial"/>
        </w:rPr>
        <w:tab/>
      </w:r>
      <w:r>
        <w:rPr>
          <w:rFonts w:ascii="Arial" w:hAnsi="Arial"/>
          <w:u w:val="single"/>
        </w:rPr>
        <w:t xml:space="preserve">‎Beacon Securities Limited, 66 Wellington Street West, Suite 4050, Toronto, Ontario </w:t>
      </w:r>
      <w:r>
        <w:rPr>
          <w:rFonts w:ascii="Arial" w:hAnsi="Arial"/>
          <w:u w:val="single"/>
          <w:lang w:val="en-CA"/>
        </w:rPr>
        <w:t>M5K 1H1</w:t>
      </w:r>
    </w:p>
    <w:p>
      <w:pPr>
        <w:pStyle w:val="List"/>
        <w:tabs>
          <w:tab w:val="left" w:pos="2160"/>
          <w:tab w:val="left" w:pos="9180"/>
        </w:tabs>
        <w:ind w:left="2160"/>
        <w:jc w:val="both"/>
        <w:rPr>
          <w:rFonts w:ascii="Arial" w:hAnsi="Arial"/>
          <w:u w:val="single"/>
          <w:lang w:val="en-US"/>
        </w:rPr>
      </w:pPr>
      <w:r>
        <w:rPr>
          <w:rFonts w:ascii="Arial" w:hAnsi="Arial"/>
          <w:lang w:val="en-US"/>
        </w:rPr>
        <w:tab/>
      </w:r>
      <w:r>
        <w:rPr>
          <w:rFonts w:ascii="Arial" w:hAnsi="Arial"/>
          <w:u w:val="single"/>
          <w:lang w:val="en-US"/>
        </w:rPr>
        <w:t xml:space="preserve">Cormark Securities Inc. </w:t>
      </w:r>
      <w:r>
        <w:rPr>
          <w:rFonts w:ascii="Arial" w:hAnsi="Arial"/>
          <w:u w:val="single"/>
        </w:rPr>
        <w:t xml:space="preserve">Royal Bank Plaza, North Tower, 200 Bay Street, Suite 1800, Toronto, Ontario </w:t>
      </w:r>
      <w:r>
        <w:rPr>
          <w:rFonts w:ascii="Arial" w:hAnsi="Arial"/>
          <w:u w:val="single"/>
          <w:lang w:val="en-CA"/>
        </w:rPr>
        <w:t>M5J 2J2</w:t>
      </w:r>
    </w:p>
    <w:p>
      <w:pPr>
        <w:pStyle w:val="List"/>
        <w:tabs>
          <w:tab w:val="left" w:pos="2160"/>
          <w:tab w:val="left" w:pos="9180"/>
        </w:tabs>
        <w:ind w:left="2160" w:hanging="33"/>
        <w:jc w:val="both"/>
        <w:rPr>
          <w:rFonts w:ascii="Arial" w:hAnsi="Arial"/>
          <w:u w:val="single"/>
          <w:lang w:val="en-US"/>
        </w:rPr>
      </w:pPr>
      <w:r>
        <w:rPr>
          <w:rFonts w:ascii="Arial" w:hAnsi="Arial"/>
          <w:u w:val="single"/>
          <w:lang w:val="en-US"/>
        </w:rPr>
        <w:t xml:space="preserve">Echelon Wealth Partners Inc. </w:t>
      </w:r>
      <w:r>
        <w:rPr>
          <w:rFonts w:ascii="Arial" w:hAnsi="Arial"/>
          <w:u w:val="single"/>
        </w:rPr>
        <w:t xml:space="preserve">1 Adelaide Street East, Suite 2100, Toronto, Ontario </w:t>
      </w:r>
      <w:r>
        <w:rPr>
          <w:rFonts w:ascii="Arial" w:hAnsi="Arial"/>
          <w:u w:val="single"/>
          <w:lang w:val="en-CA"/>
        </w:rPr>
        <w:t>M5C 2V9</w:t>
      </w:r>
    </w:p>
    <w:p>
      <w:pPr>
        <w:pStyle w:val="List"/>
        <w:tabs>
          <w:tab w:val="left" w:pos="2160"/>
          <w:tab w:val="left" w:pos="9180"/>
        </w:tabs>
        <w:ind w:left="2160" w:hanging="33"/>
        <w:jc w:val="both"/>
        <w:rPr>
          <w:rFonts w:ascii="Arial" w:hAnsi="Arial"/>
          <w:u w:val="single"/>
        </w:rPr>
      </w:pPr>
      <w:r>
        <w:rPr>
          <w:rFonts w:ascii="Arial" w:hAnsi="Arial"/>
          <w:u w:val="single"/>
          <w:lang w:val="en-US"/>
        </w:rPr>
        <w:t>PI Financial Corp</w:t>
      </w:r>
      <w:r>
        <w:rPr>
          <w:rFonts w:ascii="Arial" w:hAnsi="Arial"/>
          <w:u w:val="single"/>
        </w:rPr>
        <w:t xml:space="preserve">. </w:t>
      </w:r>
      <w:r>
        <w:rPr>
          <w:rFonts w:ascii="Arial" w:hAnsi="Arial"/>
          <w:u w:val="single"/>
          <w:lang w:val="en-US"/>
        </w:rPr>
        <w:t xml:space="preserve">40 King Street West, Suite 3401, Toronto, Ontario </w:t>
      </w:r>
      <w:r>
        <w:rPr>
          <w:rFonts w:ascii="Arial" w:hAnsi="Arial"/>
          <w:u w:val="single"/>
          <w:lang w:val="en-CA"/>
        </w:rPr>
        <w:t>M5H 3Y2</w:t>
      </w:r>
    </w:p>
    <w:p>
      <w:pPr>
        <w:pStyle w:val="List"/>
        <w:tabs>
          <w:tab w:val="left" w:pos="2160"/>
          <w:tab w:val="left" w:pos="3131"/>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t>4.5% of the gross proceeds of the Private Placement and the Concurrent Prospectus Offering</w:t>
      </w:r>
      <w:r>
        <w:rPr>
          <w:rFonts w:ascii="Arial" w:hAnsi="Arial"/>
          <w:u w:val="single"/>
        </w:rPr>
        <w:tab/>
      </w:r>
      <w:r>
        <w:rPr>
          <w:rFonts w:ascii="Arial" w:hAnsi="Arial"/>
        </w:rPr>
        <w:t xml:space="preserve"> .</w:t>
      </w:r>
    </w:p>
    <w:p>
      <w:pPr>
        <w:pStyle w:val="List"/>
        <w:tabs>
          <w:tab w:val="left" w:pos="2160"/>
          <w:tab w:val="left" w:pos="3687"/>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t>N/A</w:t>
      </w:r>
      <w:r>
        <w:rPr>
          <w:rFonts w:ascii="Arial" w:hAnsi="Arial"/>
          <w:u w:val="single"/>
        </w:rPr>
        <w:tab/>
      </w:r>
      <w:r>
        <w:rPr>
          <w:rFonts w:ascii="Arial" w:hAnsi="Arial"/>
        </w:rPr>
        <w:t xml:space="preserve"> .</w:t>
      </w:r>
    </w:p>
    <w:p>
      <w:pPr>
        <w:pStyle w:val="List"/>
        <w:tabs>
          <w:tab w:val="left" w:pos="2160"/>
          <w:tab w:val="left" w:pos="3622"/>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t>reimbursement of the Underwriters’ expenses</w:t>
      </w:r>
      <w:r>
        <w:rPr>
          <w:rFonts w:ascii="Arial" w:hAnsi="Arial"/>
          <w:u w:val="single"/>
        </w:rPr>
        <w:tab/>
      </w:r>
      <w:r>
        <w:rPr>
          <w:rFonts w:ascii="Arial" w:hAnsi="Arial"/>
        </w:rPr>
        <w:t xml:space="preserve"> .</w:t>
      </w:r>
    </w:p>
    <w:p>
      <w:pPr>
        <w:pStyle w:val="List"/>
        <w:tabs>
          <w:tab w:val="left" w:pos="2160"/>
          <w:tab w:val="left" w:pos="7036"/>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t>N/A</w:t>
      </w:r>
      <w:r>
        <w:rPr>
          <w:rFonts w:ascii="Arial" w:hAnsi="Arial"/>
          <w:u w:val="single"/>
        </w:rPr>
        <w:tab/>
      </w:r>
      <w:r>
        <w:rPr>
          <w:rFonts w:ascii="Arial" w:hAnsi="Arial"/>
        </w:rPr>
        <w:t xml:space="preserve"> .</w:t>
      </w:r>
    </w:p>
    <w:p>
      <w:pPr>
        <w:pStyle w:val="List"/>
        <w:tabs>
          <w:tab w:val="num" w:pos="1080"/>
          <w:tab w:val="left" w:pos="2160"/>
          <w:tab w:val="left" w:pos="7124"/>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t>N/A</w:t>
      </w:r>
      <w:r>
        <w:rPr>
          <w:rFonts w:ascii="Arial" w:hAnsi="Arial"/>
          <w:u w:val="single"/>
        </w:rPr>
        <w:tab/>
      </w:r>
      <w:r>
        <w:rPr>
          <w:rFonts w:ascii="Arial" w:hAnsi="Arial"/>
        </w:rPr>
        <w:t xml:space="preserve"> .</w:t>
      </w:r>
    </w:p>
    <w:p>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pPr>
        <w:pStyle w:val="List"/>
        <w:tabs>
          <w:tab w:val="left" w:pos="1080"/>
          <w:tab w:val="left" w:pos="1265"/>
          <w:tab w:val="left" w:pos="9180"/>
        </w:tabs>
        <w:ind w:left="0" w:firstLine="0"/>
        <w:jc w:val="both"/>
        <w:rPr>
          <w:rFonts w:ascii="Arial" w:hAnsi="Arial"/>
        </w:rPr>
      </w:pPr>
      <w:r>
        <w:rPr>
          <w:rFonts w:ascii="Arial" w:hAnsi="Arial"/>
        </w:rPr>
        <w:tab/>
      </w:r>
      <w:r>
        <w:rPr>
          <w:rFonts w:ascii="Arial" w:hAnsi="Arial"/>
          <w:u w:val="single"/>
        </w:rPr>
        <w:tab/>
        <w:t>N/A</w:t>
      </w:r>
      <w:r>
        <w:rPr>
          <w:rFonts w:ascii="Arial" w:hAnsi="Arial"/>
          <w:u w:val="single"/>
        </w:rPr>
        <w:tab/>
      </w:r>
      <w:r>
        <w:rPr>
          <w:rFonts w:ascii="Arial" w:hAnsi="Arial"/>
        </w:rPr>
        <w:t xml:space="preserve"> .</w:t>
      </w:r>
    </w:p>
    <w:p>
      <w:pPr>
        <w:pStyle w:val="List"/>
        <w:numPr>
          <w:ilvl w:val="0"/>
          <w:numId w:val="10"/>
        </w:numPr>
        <w:rPr>
          <w:rFonts w:ascii="Arial" w:hAnsi="Arial"/>
        </w:rPr>
      </w:pPr>
      <w:r>
        <w:rPr>
          <w:rFonts w:ascii="Arial" w:hAnsi="Arial"/>
        </w:rPr>
        <w:t>Describe any unusual particulars of the transaction (i.e. tax “flow through” shares, etc.).</w:t>
      </w:r>
    </w:p>
    <w:p>
      <w:pPr>
        <w:pStyle w:val="List"/>
        <w:tabs>
          <w:tab w:val="left" w:pos="1080"/>
          <w:tab w:val="left" w:pos="1407"/>
          <w:tab w:val="left" w:pos="9180"/>
        </w:tabs>
        <w:ind w:left="0" w:firstLine="0"/>
        <w:jc w:val="both"/>
        <w:rPr>
          <w:rFonts w:ascii="Arial" w:hAnsi="Arial"/>
        </w:rPr>
      </w:pPr>
      <w:r>
        <w:rPr>
          <w:rFonts w:ascii="Arial" w:hAnsi="Arial"/>
        </w:rPr>
        <w:tab/>
      </w:r>
      <w:r>
        <w:rPr>
          <w:rFonts w:ascii="Arial" w:hAnsi="Arial"/>
          <w:u w:val="single"/>
        </w:rPr>
        <w:tab/>
        <w:t>N/A</w:t>
      </w:r>
      <w:r>
        <w:rPr>
          <w:rFonts w:ascii="Arial" w:hAnsi="Arial"/>
          <w:u w:val="single"/>
        </w:rPr>
        <w:tab/>
      </w:r>
      <w:r>
        <w:rPr>
          <w:rFonts w:ascii="Arial" w:hAnsi="Arial"/>
        </w:rPr>
        <w:t xml:space="preserve"> .</w:t>
      </w:r>
    </w:p>
    <w:p>
      <w:pPr>
        <w:pStyle w:val="List"/>
        <w:numPr>
          <w:ilvl w:val="0"/>
          <w:numId w:val="10"/>
        </w:numPr>
        <w:rPr>
          <w:rFonts w:ascii="Arial" w:hAnsi="Arial"/>
        </w:rPr>
      </w:pPr>
      <w:r>
        <w:rPr>
          <w:rFonts w:ascii="Arial" w:hAnsi="Arial"/>
        </w:rPr>
        <w:t>State whether the private placement will result in a change of control.</w:t>
      </w:r>
    </w:p>
    <w:p>
      <w:pPr>
        <w:pStyle w:val="List"/>
        <w:tabs>
          <w:tab w:val="left" w:pos="1080"/>
          <w:tab w:val="left" w:pos="9180"/>
        </w:tabs>
        <w:ind w:left="0" w:firstLine="0"/>
        <w:jc w:val="both"/>
        <w:rPr>
          <w:rFonts w:ascii="Arial" w:hAnsi="Arial"/>
        </w:rPr>
      </w:pPr>
      <w:r>
        <w:rPr>
          <w:rFonts w:ascii="Arial" w:hAnsi="Arial"/>
        </w:rPr>
        <w:tab/>
      </w:r>
      <w:r>
        <w:rPr>
          <w:rFonts w:ascii="Arial" w:hAnsi="Arial"/>
          <w:u w:val="single"/>
        </w:rPr>
        <w:t>No</w:t>
      </w:r>
      <w:r>
        <w:rPr>
          <w:rFonts w:ascii="Arial" w:hAnsi="Arial"/>
          <w:u w:val="single"/>
        </w:rPr>
        <w:tab/>
      </w:r>
      <w:r>
        <w:rPr>
          <w:rFonts w:ascii="Arial" w:hAnsi="Arial"/>
        </w:rPr>
        <w:t xml:space="preserve"> .</w:t>
      </w:r>
    </w:p>
    <w:p>
      <w:pPr>
        <w:pStyle w:val="List"/>
        <w:tabs>
          <w:tab w:val="left" w:pos="9180"/>
        </w:tabs>
        <w:spacing w:before="0"/>
        <w:jc w:val="both"/>
        <w:rPr>
          <w:rFonts w:ascii="Arial" w:hAnsi="Arial"/>
        </w:rPr>
      </w:pPr>
    </w:p>
    <w:p>
      <w:pPr>
        <w:pStyle w:val="List"/>
        <w:numPr>
          <w:ilvl w:val="0"/>
          <w:numId w:val="10"/>
        </w:numPr>
        <w:tabs>
          <w:tab w:val="left" w:pos="9180"/>
        </w:tabs>
        <w:spacing w:before="0"/>
        <w:jc w:val="both"/>
        <w:rPr>
          <w:rFonts w:ascii="Arial" w:hAnsi="Arial"/>
          <w:u w:val="single"/>
        </w:rPr>
      </w:pPr>
      <w:r>
        <w:rPr>
          <w:rFonts w:ascii="Arial" w:hAnsi="Arial"/>
        </w:rPr>
        <w:lastRenderedPageBreak/>
        <w:t xml:space="preserve">Where there is a change in the control of the Issuer resulting from the issuance of the private placement shares, indicate the names of the new controlling shareholders.  </w:t>
      </w:r>
      <w:r>
        <w:rPr>
          <w:rFonts w:ascii="Arial" w:hAnsi="Arial"/>
          <w:u w:val="single"/>
        </w:rPr>
        <w:t>N/A</w:t>
      </w:r>
      <w:r>
        <w:rPr>
          <w:rFonts w:ascii="Arial" w:hAnsi="Arial"/>
          <w:u w:val="single"/>
        </w:rPr>
        <w:tab/>
      </w:r>
    </w:p>
    <w:p>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pPr>
        <w:pStyle w:val="BodyText"/>
        <w:tabs>
          <w:tab w:val="left" w:pos="1080"/>
          <w:tab w:val="left" w:pos="4230"/>
        </w:tabs>
        <w:rPr>
          <w:rFonts w:ascii="Arial" w:hAnsi="Arial"/>
          <w:b/>
          <w:color w:val="000000"/>
        </w:rPr>
      </w:pPr>
      <w:r>
        <w:rPr>
          <w:rFonts w:ascii="Arial" w:hAnsi="Arial"/>
          <w:b/>
          <w:color w:val="000000"/>
        </w:rPr>
        <w:t>Part 2.</w:t>
      </w:r>
      <w:r>
        <w:rPr>
          <w:rFonts w:ascii="Arial" w:hAnsi="Arial"/>
          <w:b/>
          <w:color w:val="000000"/>
        </w:rPr>
        <w:tab/>
        <w:t>Acquisition</w:t>
      </w:r>
    </w:p>
    <w:p>
      <w:pPr>
        <w:pStyle w:val="BodyText"/>
        <w:tabs>
          <w:tab w:val="left" w:pos="1080"/>
          <w:tab w:val="left" w:pos="4230"/>
        </w:tabs>
        <w:rPr>
          <w:rFonts w:ascii="Arial" w:hAnsi="Arial"/>
          <w:color w:val="000000"/>
        </w:rPr>
      </w:pPr>
      <w:r>
        <w:rPr>
          <w:rFonts w:ascii="Arial" w:hAnsi="Arial"/>
          <w:color w:val="000000"/>
        </w:rPr>
        <w:t>Not Applicable.</w:t>
      </w:r>
    </w:p>
    <w:p>
      <w:pPr>
        <w:pStyle w:val="List"/>
        <w:tabs>
          <w:tab w:val="left" w:pos="9180"/>
        </w:tabs>
        <w:spacing w:before="0"/>
        <w:ind w:left="0" w:firstLine="0"/>
        <w:jc w:val="both"/>
        <w:rPr>
          <w:rFonts w:ascii="Arial" w:hAnsi="Arial"/>
          <w:color w:val="000000"/>
        </w:rPr>
      </w:pPr>
    </w:p>
    <w:p>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u w:val="single"/>
        </w:rPr>
        <w:t>.</w:t>
      </w:r>
    </w:p>
    <w:p>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 </w:t>
      </w:r>
      <w:r>
        <w:rPr>
          <w:rFonts w:ascii="Arial" w:hAnsi="Arial"/>
          <w:color w:val="000000"/>
          <w:u w:val="single"/>
        </w:rPr>
        <w:tab/>
      </w:r>
    </w:p>
    <w:p>
      <w:pPr>
        <w:pStyle w:val="List"/>
        <w:tabs>
          <w:tab w:val="left" w:pos="1080"/>
          <w:tab w:val="left" w:pos="1571"/>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p>
    <w:p>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pPr>
        <w:pStyle w:val="List"/>
        <w:numPr>
          <w:ilvl w:val="0"/>
          <w:numId w:val="13"/>
        </w:numPr>
        <w:tabs>
          <w:tab w:val="left" w:pos="7909"/>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3829"/>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pPr>
        <w:pStyle w:val="List"/>
        <w:tabs>
          <w:tab w:val="left" w:pos="1080"/>
          <w:tab w:val="left" w:pos="2160"/>
          <w:tab w:val="left" w:pos="3436"/>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3491"/>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7418"/>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7375"/>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3"/>
        </w:numPr>
        <w:tabs>
          <w:tab w:val="left" w:pos="2160"/>
          <w:tab w:val="left" w:pos="4724"/>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u w:val="single"/>
        </w:rPr>
        <w:tab/>
      </w:r>
      <w:r>
        <w:rPr>
          <w:rFonts w:ascii="Arial" w:hAnsi="Arial"/>
          <w:color w:val="000000"/>
        </w:rPr>
        <w:t xml:space="preserve"> .</w:t>
      </w:r>
    </w:p>
    <w:p>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pPr>
        <w:pStyle w:val="List"/>
        <w:numPr>
          <w:ilvl w:val="0"/>
          <w:numId w:val="16"/>
        </w:numPr>
        <w:tabs>
          <w:tab w:val="left" w:pos="9180"/>
        </w:tabs>
        <w:rPr>
          <w:rFonts w:ascii="Arial" w:hAnsi="Arial"/>
          <w:color w:val="000000"/>
        </w:rPr>
      </w:pPr>
      <w:r>
        <w:rPr>
          <w:rFonts w:ascii="Arial" w:hAnsi="Arial"/>
          <w:color w:val="000000"/>
        </w:rPr>
        <w:lastRenderedPageBreak/>
        <w:t>Provide details of any appraisal or valuation of the subject of the acquisition known to management of the Issuer:</w:t>
      </w:r>
      <w:r>
        <w:rPr>
          <w:rFonts w:ascii="Arial" w:hAnsi="Arial"/>
          <w:u w:val="single"/>
        </w:rPr>
        <w:t>.</w:t>
      </w:r>
    </w:p>
    <w:p>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pPr>
              <w:pStyle w:val="BodyText"/>
              <w:keepNext/>
              <w:keepLines/>
              <w:spacing w:before="0" w:line="280" w:lineRule="exact"/>
              <w:jc w:val="center"/>
              <w:rPr>
                <w:rFonts w:ascii="Arial" w:hAnsi="Arial"/>
                <w:b/>
                <w:sz w:val="20"/>
                <w:lang w:val="en-CA"/>
              </w:rPr>
            </w:pPr>
          </w:p>
          <w:p>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pPr>
              <w:pStyle w:val="BodyText"/>
              <w:keepNext/>
              <w:keepLines/>
              <w:spacing w:before="0" w:line="280" w:lineRule="exact"/>
              <w:jc w:val="center"/>
              <w:rPr>
                <w:rFonts w:ascii="Arial" w:hAnsi="Arial"/>
                <w:b/>
                <w:sz w:val="20"/>
              </w:rPr>
            </w:pPr>
          </w:p>
          <w:p>
            <w:pPr>
              <w:pStyle w:val="BodyText"/>
              <w:keepNext/>
              <w:keepLines/>
              <w:spacing w:before="0" w:line="280" w:lineRule="exact"/>
              <w:jc w:val="center"/>
              <w:rPr>
                <w:rFonts w:ascii="Arial" w:hAnsi="Arial"/>
                <w:b/>
                <w:sz w:val="20"/>
                <w:lang w:val="en-CA"/>
              </w:rPr>
            </w:pPr>
            <w:r>
              <w:rPr>
                <w:rFonts w:ascii="Arial" w:hAnsi="Arial"/>
                <w:b/>
                <w:sz w:val="20"/>
              </w:rPr>
              <w:t>Total Securities, Previously Owned, Controlled or Directed by Party</w:t>
            </w:r>
          </w:p>
        </w:tc>
        <w:tc>
          <w:tcPr>
            <w:tcW w:w="1530" w:type="dxa"/>
          </w:tcPr>
          <w:p>
            <w:pPr>
              <w:pStyle w:val="BodyText"/>
              <w:keepNext/>
              <w:keepLines/>
              <w:spacing w:before="0" w:line="280" w:lineRule="exact"/>
              <w:jc w:val="center"/>
              <w:rPr>
                <w:rFonts w:ascii="Arial" w:hAnsi="Arial"/>
                <w:b/>
                <w:color w:val="000000"/>
                <w:sz w:val="20"/>
                <w:lang w:val="en-CA"/>
              </w:rPr>
            </w:pPr>
          </w:p>
          <w:p>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trPr>
          <w:trHeight w:hRule="exact" w:val="280"/>
        </w:trPr>
        <w:tc>
          <w:tcPr>
            <w:tcW w:w="144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620" w:type="dxa"/>
          </w:tcPr>
          <w:p>
            <w:pPr>
              <w:pStyle w:val="BodyText"/>
              <w:keepNext/>
              <w:keepLines/>
              <w:rPr>
                <w:rFonts w:ascii="Arial" w:hAnsi="Arial"/>
                <w:lang w:val="en-CA"/>
              </w:rPr>
            </w:pPr>
          </w:p>
        </w:tc>
        <w:tc>
          <w:tcPr>
            <w:tcW w:w="1530" w:type="dxa"/>
          </w:tcPr>
          <w:p>
            <w:pPr>
              <w:pStyle w:val="BodyText"/>
              <w:keepNext/>
              <w:keepLines/>
              <w:rPr>
                <w:rFonts w:ascii="Arial" w:hAnsi="Arial"/>
                <w:lang w:val="en-CA"/>
              </w:rPr>
            </w:pPr>
          </w:p>
        </w:tc>
      </w:tr>
      <w:tr>
        <w:trPr>
          <w:trHeight w:hRule="exact" w:val="320"/>
        </w:trPr>
        <w:tc>
          <w:tcPr>
            <w:tcW w:w="144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26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440" w:type="dxa"/>
          </w:tcPr>
          <w:p>
            <w:pPr>
              <w:pStyle w:val="BodyText"/>
              <w:keepNext/>
              <w:keepLines/>
              <w:rPr>
                <w:rFonts w:ascii="Arial" w:hAnsi="Arial"/>
                <w:lang w:val="en-CA"/>
              </w:rPr>
            </w:pPr>
          </w:p>
        </w:tc>
        <w:tc>
          <w:tcPr>
            <w:tcW w:w="1620" w:type="dxa"/>
          </w:tcPr>
          <w:p>
            <w:pPr>
              <w:pStyle w:val="BodyText"/>
              <w:keepNext/>
              <w:keepLines/>
              <w:rPr>
                <w:rFonts w:ascii="Arial" w:hAnsi="Arial"/>
                <w:lang w:val="en-CA"/>
              </w:rPr>
            </w:pPr>
          </w:p>
        </w:tc>
        <w:tc>
          <w:tcPr>
            <w:tcW w:w="1530" w:type="dxa"/>
          </w:tcPr>
          <w:p>
            <w:pPr>
              <w:pStyle w:val="BodyText"/>
              <w:keepNext/>
              <w:keepLines/>
              <w:rPr>
                <w:rFonts w:ascii="Arial" w:hAnsi="Arial"/>
                <w:lang w:val="en-CA"/>
              </w:rPr>
            </w:pPr>
          </w:p>
        </w:tc>
      </w:tr>
    </w:tbl>
    <w:p>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andif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pPr>
        <w:pStyle w:val="List"/>
        <w:tabs>
          <w:tab w:val="left" w:pos="9180"/>
        </w:tabs>
        <w:ind w:left="0" w:firstLine="0"/>
        <w:rPr>
          <w:rFonts w:ascii="Arial" w:hAnsi="Arial"/>
          <w:color w:val="000000"/>
        </w:rPr>
      </w:pPr>
    </w:p>
    <w:p>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lastRenderedPageBreak/>
        <w:tab/>
      </w:r>
      <w:r>
        <w:rPr>
          <w:rFonts w:ascii="Arial" w:hAnsi="Arial"/>
          <w:color w:val="000000"/>
          <w:u w:val="single"/>
        </w:rPr>
        <w:tab/>
      </w:r>
      <w:r>
        <w:rPr>
          <w:rFonts w:ascii="Arial" w:hAnsi="Arial"/>
          <w:color w:val="000000"/>
          <w:u w:val="single"/>
        </w:rPr>
        <w:tab/>
      </w:r>
    </w:p>
    <w:p>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pPr>
        <w:pStyle w:val="List"/>
        <w:tabs>
          <w:tab w:val="left" w:pos="1080"/>
        </w:tabs>
        <w:ind w:left="0" w:firstLine="0"/>
        <w:rPr>
          <w:rFonts w:ascii="Arial" w:hAnsi="Arial"/>
        </w:rPr>
      </w:pPr>
      <w:r>
        <w:rPr>
          <w:rFonts w:ascii="Arial" w:hAnsi="Arial"/>
          <w:b/>
        </w:rPr>
        <w:t>Certificate Of Compliance</w:t>
      </w:r>
    </w:p>
    <w:p>
      <w:pPr>
        <w:pStyle w:val="BodyText"/>
        <w:rPr>
          <w:rFonts w:ascii="Arial" w:hAnsi="Arial"/>
        </w:rPr>
      </w:pPr>
      <w:r>
        <w:rPr>
          <w:rFonts w:ascii="Arial" w:hAnsi="Arial"/>
        </w:rPr>
        <w:t>The undersigned hereby certifies that:</w:t>
      </w:r>
    </w:p>
    <w:p>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pPr>
        <w:pStyle w:val="List"/>
        <w:numPr>
          <w:ilvl w:val="0"/>
          <w:numId w:val="7"/>
        </w:numPr>
        <w:spacing w:after="240"/>
        <w:jc w:val="both"/>
        <w:rPr>
          <w:rFonts w:ascii="Arial" w:hAnsi="Arial"/>
        </w:rPr>
      </w:pPr>
      <w:r>
        <w:rPr>
          <w:rFonts w:ascii="Arial" w:hAnsi="Arial"/>
        </w:rPr>
        <w:t>As of the date hereof there is not material information concerning the Issuer which has not been publicly disclosed.</w:t>
      </w:r>
    </w:p>
    <w:p>
      <w:pPr>
        <w:pStyle w:val="ListParagraph"/>
        <w:numPr>
          <w:ilvl w:val="0"/>
          <w:numId w:val="7"/>
        </w:numPr>
        <w:rPr>
          <w:rFonts w:ascii="Arial" w:hAnsi="Arial" w:cs="Arial"/>
          <w:sz w:val="24"/>
          <w:szCs w:val="24"/>
        </w:rPr>
      </w:pPr>
      <w:r>
        <w:rPr>
          <w:rFonts w:ascii="Arial" w:hAnsi="Arial" w:cs="Arial"/>
          <w:sz w:val="24"/>
          <w:szCs w:val="24"/>
        </w:rPr>
        <w:t>the Issuer has obtained the express written consent of each applicable individual to:</w:t>
      </w:r>
    </w:p>
    <w:p>
      <w:pPr>
        <w:pStyle w:val="ListParagraph"/>
        <w:rPr>
          <w:rFonts w:ascii="Arial" w:hAnsi="Arial" w:cs="Arial"/>
          <w:sz w:val="24"/>
          <w:szCs w:val="24"/>
        </w:rPr>
      </w:pPr>
    </w:p>
    <w:p>
      <w:pPr>
        <w:pStyle w:val="ListParagraph"/>
        <w:ind w:left="1440" w:hanging="360"/>
        <w:rPr>
          <w:rFonts w:ascii="Arial" w:hAnsi="Arial" w:cs="Arial"/>
          <w:sz w:val="24"/>
          <w:szCs w:val="24"/>
        </w:rPr>
      </w:pPr>
      <w:r>
        <w:rPr>
          <w:rFonts w:ascii="Arial" w:hAnsi="Arial" w:cs="Arial"/>
          <w:sz w:val="24"/>
          <w:szCs w:val="24"/>
        </w:rPr>
        <w:t>(a)</w:t>
      </w:r>
      <w:r>
        <w:rPr>
          <w:rFonts w:ascii="Arial" w:hAnsi="Arial" w:cs="Arial"/>
          <w:sz w:val="24"/>
          <w:szCs w:val="24"/>
        </w:rPr>
        <w:tab/>
        <w:t>the disclosure of their information to the Exchange pursuant to this Form or otherwise pursuant to this filing; and</w:t>
      </w:r>
    </w:p>
    <w:p>
      <w:pPr>
        <w:pStyle w:val="List"/>
        <w:ind w:left="1440" w:hanging="360"/>
        <w:jc w:val="both"/>
        <w:rPr>
          <w:rFonts w:ascii="Arial" w:hAnsi="Arial"/>
        </w:rPr>
      </w:pPr>
      <w:r>
        <w:rPr>
          <w:rFonts w:ascii="Arial" w:hAnsi="Arial" w:cs="Arial"/>
          <w:szCs w:val="24"/>
        </w:rPr>
        <w:t>(b)</w:t>
      </w:r>
      <w:r>
        <w:rPr>
          <w:rFonts w:ascii="Arial" w:hAnsi="Arial" w:cs="Arial"/>
          <w:szCs w:val="24"/>
        </w:rPr>
        <w:tab/>
        <w:t>the collection, use and disclosure of their information by the Exchange in the manner and for the purposes described in Appendix A or as otherwise identified by the Exchange, from time to time</w:t>
      </w:r>
    </w:p>
    <w:p>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pPr>
        <w:pStyle w:val="List"/>
        <w:numPr>
          <w:ilvl w:val="0"/>
          <w:numId w:val="7"/>
        </w:numPr>
        <w:jc w:val="both"/>
        <w:rPr>
          <w:rFonts w:ascii="Arial" w:hAnsi="Arial"/>
        </w:rPr>
      </w:pPr>
      <w:r>
        <w:rPr>
          <w:rFonts w:ascii="Arial" w:hAnsi="Arial"/>
        </w:rPr>
        <w:t>All of the information in this Form 9 Notice of Issuance of Securities is true.</w:t>
      </w:r>
    </w:p>
    <w:p>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September 17, 2020</w:t>
      </w:r>
      <w:r>
        <w:rPr>
          <w:rFonts w:ascii="Arial" w:hAnsi="Arial"/>
        </w:rPr>
        <w:t>.</w:t>
      </w:r>
    </w:p>
    <w:p>
      <w:pPr>
        <w:pStyle w:val="List"/>
        <w:tabs>
          <w:tab w:val="left" w:pos="9180"/>
        </w:tabs>
        <w:ind w:left="5760" w:hanging="5760"/>
        <w:rPr>
          <w:rFonts w:ascii="Arial" w:hAnsi="Arial"/>
        </w:rPr>
      </w:pPr>
      <w:r>
        <w:rPr>
          <w:rFonts w:ascii="Arial" w:hAnsi="Arial"/>
        </w:rPr>
        <w:tab/>
      </w:r>
      <w:r>
        <w:rPr>
          <w:rFonts w:ascii="Arial" w:hAnsi="Arial"/>
          <w:u w:val="single"/>
        </w:rPr>
        <w:t>Eric Powers</w:t>
      </w:r>
      <w:r>
        <w:rPr>
          <w:rFonts w:ascii="Arial" w:hAnsi="Arial"/>
          <w:u w:val="single"/>
        </w:rPr>
        <w:tab/>
      </w:r>
      <w:r>
        <w:rPr>
          <w:rFonts w:ascii="Arial" w:hAnsi="Arial"/>
          <w:u w:val="single"/>
        </w:rPr>
        <w:br/>
      </w:r>
      <w:r>
        <w:rPr>
          <w:rFonts w:ascii="Arial" w:hAnsi="Arial"/>
        </w:rPr>
        <w:t>Name of Director or Senior Officer</w:t>
      </w:r>
    </w:p>
    <w:p>
      <w:pPr>
        <w:pStyle w:val="List"/>
        <w:tabs>
          <w:tab w:val="left" w:pos="9180"/>
          <w:tab w:val="left" w:pos="9360"/>
        </w:tabs>
        <w:ind w:left="5760" w:hanging="5760"/>
        <w:rPr>
          <w:rFonts w:ascii="Arial" w:hAnsi="Arial"/>
        </w:rPr>
      </w:pPr>
      <w:r>
        <w:rPr>
          <w:rFonts w:ascii="Arial" w:hAnsi="Arial"/>
        </w:rPr>
        <w:tab/>
      </w:r>
      <w:r>
        <w:rPr>
          <w:rFonts w:ascii="Arial" w:hAnsi="Arial"/>
          <w:u w:val="single"/>
        </w:rPr>
        <w:t>‎(s) “</w:t>
      </w:r>
      <w:r>
        <w:rPr>
          <w:rFonts w:ascii="Arial" w:hAnsi="Arial"/>
          <w:i/>
          <w:u w:val="single"/>
        </w:rPr>
        <w:t>Eric Powers</w:t>
      </w:r>
      <w:r>
        <w:rPr>
          <w:rFonts w:ascii="Arial" w:hAnsi="Arial"/>
          <w:u w:val="single"/>
        </w:rPr>
        <w:t>”‎</w:t>
      </w:r>
      <w:r>
        <w:rPr>
          <w:rFonts w:ascii="Arial" w:hAnsi="Arial"/>
          <w:u w:val="single"/>
        </w:rPr>
        <w:tab/>
      </w:r>
      <w:r>
        <w:rPr>
          <w:rFonts w:ascii="Arial" w:hAnsi="Arial"/>
        </w:rPr>
        <w:br/>
        <w:t>Signature</w:t>
      </w:r>
    </w:p>
    <w:p>
      <w:pPr>
        <w:pStyle w:val="List"/>
        <w:tabs>
          <w:tab w:val="left" w:pos="9180"/>
        </w:tabs>
        <w:ind w:left="5760" w:hanging="5760"/>
        <w:rPr>
          <w:rFonts w:ascii="Arial" w:hAnsi="Arial"/>
        </w:rPr>
      </w:pPr>
      <w:r>
        <w:rPr>
          <w:rFonts w:ascii="Arial" w:hAnsi="Arial"/>
        </w:rPr>
        <w:tab/>
      </w:r>
      <w:r>
        <w:rPr>
          <w:rFonts w:ascii="Arial" w:hAnsi="Arial"/>
          <w:u w:val="single"/>
        </w:rPr>
        <w:t>Corporate Secretary</w:t>
      </w:r>
      <w:r>
        <w:rPr>
          <w:rFonts w:ascii="Arial" w:hAnsi="Arial"/>
          <w:u w:val="single"/>
        </w:rPr>
        <w:tab/>
      </w:r>
      <w:r>
        <w:rPr>
          <w:rFonts w:ascii="Arial" w:hAnsi="Arial"/>
        </w:rPr>
        <w:br/>
        <w:t>Official Capacity</w:t>
      </w:r>
    </w:p>
    <w:p>
      <w:pPr>
        <w:pStyle w:val="List"/>
        <w:tabs>
          <w:tab w:val="left" w:pos="9180"/>
          <w:tab w:val="left" w:pos="9360"/>
        </w:tabs>
        <w:ind w:left="5760" w:hanging="5760"/>
        <w:rPr>
          <w:rFonts w:ascii="Arial" w:hAnsi="Arial"/>
        </w:rPr>
      </w:pPr>
    </w:p>
    <w:p>
      <w:pPr>
        <w:pStyle w:val="List"/>
        <w:tabs>
          <w:tab w:val="left" w:pos="9180"/>
          <w:tab w:val="left" w:pos="9360"/>
        </w:tabs>
        <w:ind w:left="5760" w:hanging="5760"/>
        <w:rPr>
          <w:rFonts w:ascii="Arial" w:hAnsi="Arial"/>
        </w:rPr>
      </w:pPr>
    </w:p>
    <w:p>
      <w:pPr>
        <w:pStyle w:val="List"/>
        <w:tabs>
          <w:tab w:val="left" w:pos="9180"/>
          <w:tab w:val="left" w:pos="9360"/>
        </w:tabs>
        <w:ind w:left="5760" w:hanging="5760"/>
        <w:rPr>
          <w:rFonts w:ascii="Arial" w:hAnsi="Arial"/>
        </w:rPr>
      </w:pPr>
    </w:p>
    <w:p>
      <w:pPr>
        <w:spacing w:before="120"/>
        <w:ind w:left="720"/>
        <w:jc w:val="center"/>
        <w:rPr>
          <w:rFonts w:ascii="Arial" w:eastAsia="Calibri" w:hAnsi="Arial" w:cs="Arial"/>
          <w:b/>
          <w:sz w:val="24"/>
          <w:szCs w:val="24"/>
        </w:rPr>
      </w:pPr>
      <w:r>
        <w:rPr>
          <w:rFonts w:ascii="Arial" w:eastAsia="Calibri" w:hAnsi="Arial" w:cs="Arial"/>
          <w:b/>
          <w:sz w:val="24"/>
          <w:szCs w:val="24"/>
        </w:rPr>
        <w:t>Appendix A</w:t>
      </w:r>
    </w:p>
    <w:p>
      <w:pPr>
        <w:spacing w:before="120"/>
        <w:ind w:left="720"/>
        <w:jc w:val="center"/>
        <w:rPr>
          <w:rFonts w:ascii="Arial" w:eastAsia="Calibri" w:hAnsi="Arial" w:cs="Arial"/>
          <w:b/>
          <w:sz w:val="24"/>
          <w:szCs w:val="24"/>
        </w:rPr>
      </w:pPr>
      <w:r>
        <w:rPr>
          <w:rFonts w:ascii="Arial" w:eastAsia="Calibri" w:hAnsi="Arial" w:cs="Arial"/>
          <w:b/>
          <w:sz w:val="24"/>
          <w:szCs w:val="24"/>
        </w:rPr>
        <w:t>PERSONAL INFORMATION COLLECTION POLICY REGARDING FORM 9</w:t>
      </w:r>
    </w:p>
    <w:p>
      <w:pPr>
        <w:spacing w:before="120"/>
        <w:ind w:left="720"/>
        <w:jc w:val="both"/>
        <w:rPr>
          <w:rFonts w:ascii="Arial" w:eastAsia="Calibri" w:hAnsi="Arial" w:cs="Arial"/>
          <w:sz w:val="24"/>
          <w:szCs w:val="24"/>
        </w:rPr>
      </w:pPr>
      <w:r>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individual is suitable to be associated with a Listed Issuer;</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an issuer is suitable for listing;</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To conduct enforcement proceedings; </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ensure compliance with Exchange Requirements and applicable securities legislation; and</w:t>
      </w:r>
    </w:p>
    <w:p>
      <w:pPr>
        <w:spacing w:before="120"/>
        <w:ind w:left="1854" w:hanging="567"/>
        <w:jc w:val="both"/>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To fulfil the Exchange’s obligation to regulate its marketplace.</w:t>
      </w:r>
    </w:p>
    <w:p>
      <w:pPr>
        <w:spacing w:before="120"/>
        <w:ind w:left="720"/>
        <w:jc w:val="both"/>
        <w:rPr>
          <w:rFonts w:ascii="Arial" w:eastAsia="Calibri" w:hAnsi="Arial" w:cs="Arial"/>
          <w:sz w:val="24"/>
          <w:szCs w:val="24"/>
        </w:rPr>
      </w:pPr>
      <w:r>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pPr>
        <w:spacing w:before="120"/>
        <w:ind w:left="720"/>
        <w:jc w:val="both"/>
        <w:rPr>
          <w:rFonts w:ascii="Arial" w:eastAsia="Calibri" w:hAnsi="Arial" w:cs="Arial"/>
          <w:sz w:val="24"/>
          <w:szCs w:val="24"/>
        </w:rPr>
      </w:pPr>
      <w:r>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pPr>
        <w:spacing w:before="120"/>
        <w:ind w:left="720"/>
        <w:jc w:val="both"/>
        <w:rPr>
          <w:rFonts w:ascii="Arial" w:eastAsia="Calibri" w:hAnsi="Arial" w:cs="Arial"/>
          <w:sz w:val="24"/>
          <w:szCs w:val="24"/>
        </w:rPr>
      </w:pPr>
      <w:r>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pPr>
        <w:spacing w:before="120"/>
        <w:ind w:left="720"/>
        <w:jc w:val="both"/>
        <w:rPr>
          <w:rFonts w:ascii="Arial" w:eastAsia="Calibri" w:hAnsi="Arial" w:cs="Arial"/>
          <w:sz w:val="24"/>
          <w:szCs w:val="24"/>
        </w:rPr>
      </w:pPr>
      <w:r>
        <w:rPr>
          <w:rFonts w:ascii="Arial" w:eastAsia="Calibri" w:hAnsi="Arial" w:cs="Arial"/>
          <w:sz w:val="24"/>
          <w:szCs w:val="24"/>
        </w:rPr>
        <w:t>Information about you that is retained by the Exchange and that you have identified as inaccurate or obsolete will be corrected or removed.</w:t>
      </w:r>
    </w:p>
    <w:p>
      <w:pPr>
        <w:spacing w:before="120"/>
        <w:ind w:left="720"/>
        <w:jc w:val="both"/>
        <w:rPr>
          <w:rFonts w:ascii="Arial" w:hAnsi="Arial"/>
          <w:szCs w:val="24"/>
        </w:rPr>
      </w:pPr>
      <w:r>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sectPr>
      <w:footerReference w:type="default" r:id="rId8"/>
      <w:footerReference w:type="first" r:id="rId9"/>
      <w:pgSz w:w="12240" w:h="15840" w:code="1"/>
      <w:pgMar w:top="1152" w:right="1440" w:bottom="709" w:left="1440" w:header="720" w:footer="5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Pr>
        <w:rFonts w:ascii="Arial" w:hAnsi="Arial" w:cs="Arial"/>
        <w:b/>
      </w:rPr>
      <w:t>FORM 9 – NOTICE OF ISSUANCE OR PROPOSED ISSUANCE OF</w:t>
    </w:r>
  </w:p>
  <w:p>
    <w:pPr>
      <w:tabs>
        <w:tab w:val="center" w:pos="4674"/>
        <w:tab w:val="left" w:pos="8460"/>
      </w:tabs>
      <w:jc w:val="center"/>
      <w:rPr>
        <w:rStyle w:val="PageNumber"/>
        <w:rFonts w:ascii="Arial" w:hAnsi="Arial" w:cs="Arial"/>
        <w:b/>
      </w:rPr>
    </w:pPr>
    <w:r>
      <w:rPr>
        <w:rFonts w:ascii="Arial" w:hAnsi="Arial" w:cs="Arial"/>
        <w:b/>
      </w:rPr>
      <w:t>LISTED SECURITIES</w:t>
    </w:r>
  </w:p>
  <w:p>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pPr>
      <w:pStyle w:val="Footer"/>
      <w:jc w:val="center"/>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5</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Style w:val="DocID"/>
      </w:rPr>
      <w:t>CAN: 34305665.1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A49C9F-7CB3-4D4A-9F48-F8B2FB8E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DocID">
    <w:name w:val="DocID"/>
    <w:basedOn w:val="DefaultParagraphFont"/>
    <w:rPr>
      <w:rFonts w:ascii="Arial" w:hAnsi="Arial" w:cs="Arial"/>
      <w:b w:val="0"/>
      <w:i w:val="0"/>
      <w:caps w:val="0"/>
      <w:vanish w:val="0"/>
      <w:color w:val="000000"/>
      <w:sz w:val="14"/>
      <w:u w:val="none"/>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78815">
      <w:bodyDiv w:val="1"/>
      <w:marLeft w:val="0"/>
      <w:marRight w:val="0"/>
      <w:marTop w:val="0"/>
      <w:marBottom w:val="0"/>
      <w:divBdr>
        <w:top w:val="none" w:sz="0" w:space="0" w:color="auto"/>
        <w:left w:val="none" w:sz="0" w:space="0" w:color="auto"/>
        <w:bottom w:val="none" w:sz="0" w:space="0" w:color="auto"/>
        <w:right w:val="none" w:sz="0" w:space="0" w:color="auto"/>
      </w:divBdr>
    </w:div>
    <w:div w:id="1086923778">
      <w:bodyDiv w:val="1"/>
      <w:marLeft w:val="0"/>
      <w:marRight w:val="0"/>
      <w:marTop w:val="0"/>
      <w:marBottom w:val="0"/>
      <w:divBdr>
        <w:top w:val="none" w:sz="0" w:space="0" w:color="auto"/>
        <w:left w:val="none" w:sz="0" w:space="0" w:color="auto"/>
        <w:bottom w:val="none" w:sz="0" w:space="0" w:color="auto"/>
        <w:right w:val="none" w:sz="0" w:space="0" w:color="auto"/>
      </w:divBdr>
    </w:div>
    <w:div w:id="1501655513">
      <w:bodyDiv w:val="1"/>
      <w:marLeft w:val="0"/>
      <w:marRight w:val="0"/>
      <w:marTop w:val="0"/>
      <w:marBottom w:val="0"/>
      <w:divBdr>
        <w:top w:val="none" w:sz="0" w:space="0" w:color="auto"/>
        <w:left w:val="none" w:sz="0" w:space="0" w:color="auto"/>
        <w:bottom w:val="none" w:sz="0" w:space="0" w:color="auto"/>
        <w:right w:val="none" w:sz="0" w:space="0" w:color="auto"/>
      </w:divBdr>
    </w:div>
    <w:div w:id="1509363407">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yperlink" Target="mailto:listings@thecse.com"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7</Pages>
  <Words>2067</Words>
  <Characters>11158</Characters>
  <Application>Microsoft Office Word</Application>
  <DocSecurity>0</DocSecurity>
  <Lines>389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