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F556"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544FC5DF" w14:textId="5141F7EB"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Pr>
          <w:rFonts w:ascii="Arial" w:hAnsi="Arial"/>
          <w:color w:val="000000"/>
          <w:u w:val="single"/>
        </w:rPr>
        <w:tab/>
      </w:r>
      <w:r w:rsidR="00D87091">
        <w:rPr>
          <w:rFonts w:ascii="Arial" w:hAnsi="Arial"/>
          <w:color w:val="000000"/>
          <w:u w:val="single"/>
        </w:rPr>
        <w:t>VIREO GROWTH INC.</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p>
    <w:p w14:paraId="1366EFDB" w14:textId="6C656092"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D87091" w:rsidRPr="00D87091">
        <w:rPr>
          <w:rFonts w:ascii="Arial" w:hAnsi="Arial"/>
          <w:color w:val="000000"/>
          <w:u w:val="single"/>
        </w:rPr>
        <w:t>VREO</w:t>
      </w:r>
      <w:r>
        <w:rPr>
          <w:rFonts w:ascii="Arial" w:hAnsi="Arial"/>
          <w:color w:val="000000"/>
          <w:u w:val="single"/>
        </w:rPr>
        <w:tab/>
      </w:r>
      <w:r>
        <w:rPr>
          <w:rFonts w:ascii="Arial" w:hAnsi="Arial"/>
          <w:color w:val="000000"/>
          <w:u w:val="single"/>
        </w:rPr>
        <w:tab/>
      </w:r>
    </w:p>
    <w:p w14:paraId="6F0C50FD" w14:textId="1CC5CC58"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D87091" w:rsidRPr="00222A4E">
        <w:rPr>
          <w:rFonts w:ascii="Arial" w:hAnsi="Arial"/>
          <w:b/>
          <w:bCs/>
          <w:color w:val="000000"/>
          <w:u w:val="single"/>
        </w:rPr>
        <w:t>1,</w:t>
      </w:r>
      <w:r w:rsidR="00121986">
        <w:rPr>
          <w:rFonts w:ascii="Arial" w:hAnsi="Arial"/>
          <w:b/>
          <w:bCs/>
          <w:color w:val="000000"/>
          <w:u w:val="single"/>
        </w:rPr>
        <w:t>451</w:t>
      </w:r>
      <w:r w:rsidR="00D018F7" w:rsidRPr="00D018F7">
        <w:rPr>
          <w:rFonts w:ascii="Arial" w:hAnsi="Arial"/>
          <w:b/>
          <w:bCs/>
          <w:color w:val="000000"/>
          <w:u w:val="single"/>
        </w:rPr>
        <w:t>,</w:t>
      </w:r>
      <w:r w:rsidR="00121986">
        <w:rPr>
          <w:rFonts w:ascii="Arial" w:hAnsi="Arial"/>
          <w:b/>
          <w:bCs/>
          <w:color w:val="000000"/>
          <w:u w:val="single"/>
        </w:rPr>
        <w:t>322,103</w:t>
      </w:r>
      <w:r>
        <w:rPr>
          <w:rFonts w:ascii="Arial" w:hAnsi="Arial"/>
          <w:color w:val="000000"/>
          <w:u w:val="single"/>
        </w:rPr>
        <w:tab/>
      </w:r>
      <w:r>
        <w:rPr>
          <w:rFonts w:ascii="Arial" w:hAnsi="Arial"/>
          <w:color w:val="000000"/>
          <w:u w:val="single"/>
        </w:rPr>
        <w:tab/>
      </w:r>
    </w:p>
    <w:p w14:paraId="468BEF19" w14:textId="6AC3B823"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111187">
        <w:rPr>
          <w:rFonts w:ascii="Arial" w:hAnsi="Arial"/>
          <w:color w:val="000000"/>
          <w:u w:val="single"/>
        </w:rPr>
        <w:t>May 6</w:t>
      </w:r>
      <w:r w:rsidR="007718D2">
        <w:rPr>
          <w:rFonts w:ascii="Arial" w:hAnsi="Arial"/>
          <w:color w:val="000000"/>
          <w:u w:val="single"/>
        </w:rPr>
        <w:t xml:space="preserve">, </w:t>
      </w:r>
      <w:r w:rsidR="00D87091" w:rsidRPr="00D87091">
        <w:rPr>
          <w:rFonts w:ascii="Arial" w:hAnsi="Arial"/>
          <w:color w:val="000000"/>
          <w:u w:val="single"/>
        </w:rPr>
        <w:t>202</w:t>
      </w:r>
      <w:r w:rsidR="00D87091">
        <w:rPr>
          <w:rFonts w:ascii="Arial" w:hAnsi="Arial"/>
          <w:color w:val="000000"/>
          <w:u w:val="single"/>
        </w:rPr>
        <w:t>6</w:t>
      </w:r>
      <w:r>
        <w:rPr>
          <w:rFonts w:ascii="Arial" w:hAnsi="Arial"/>
          <w:color w:val="000000"/>
          <w:u w:val="single"/>
        </w:rPr>
        <w:tab/>
      </w:r>
      <w:r>
        <w:rPr>
          <w:rFonts w:ascii="Arial" w:hAnsi="Arial"/>
          <w:color w:val="000000"/>
          <w:u w:val="single"/>
        </w:rPr>
        <w:tab/>
      </w:r>
    </w:p>
    <w:p w14:paraId="01606F39"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6B9788B7"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2F64B85D"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46018BBF"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445AEE8F"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6F7ECB6C"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6E4EE884" w14:textId="77777777" w:rsidR="00640E94" w:rsidRDefault="00640E94">
      <w:pPr>
        <w:pStyle w:val="List"/>
        <w:keepLines/>
        <w:spacing w:before="120"/>
        <w:ind w:left="0" w:firstLine="0"/>
        <w:rPr>
          <w:rFonts w:ascii="Arial" w:hAnsi="Arial"/>
          <w:b/>
        </w:rPr>
      </w:pPr>
      <w:r>
        <w:rPr>
          <w:rFonts w:ascii="Arial" w:hAnsi="Arial"/>
          <w:b/>
        </w:rPr>
        <w:t>Report on Business</w:t>
      </w:r>
    </w:p>
    <w:p w14:paraId="643AFA93"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04186CAE" w14:textId="778252B9" w:rsidR="00D87091" w:rsidRDefault="00D87091" w:rsidP="00D87091">
      <w:pPr>
        <w:pStyle w:val="List"/>
        <w:spacing w:before="120"/>
        <w:ind w:left="720" w:firstLine="0"/>
        <w:jc w:val="both"/>
        <w:rPr>
          <w:rFonts w:ascii="Arial" w:hAnsi="Arial"/>
        </w:rPr>
      </w:pPr>
      <w:r w:rsidRPr="00D87091">
        <w:rPr>
          <w:rFonts w:ascii="Arial" w:hAnsi="Arial"/>
          <w:b/>
          <w:bCs/>
          <w:lang w:val="en-US"/>
        </w:rPr>
        <w:t xml:space="preserve">The Issuer is a U.S. multi-state cannabis company headquartered in Minneapolis, MN.  The Issuer’s business is focused on patients and adult-use customers and providing them with safe, science-based, high quality cannabis products. The Issuer cultivates cannabis, then manufactures cannabis extracts, cannabis edibles and flower.  The Issuer retails cannabis </w:t>
      </w:r>
      <w:r w:rsidRPr="00D87091">
        <w:rPr>
          <w:rFonts w:ascii="Arial" w:hAnsi="Arial"/>
          <w:b/>
          <w:bCs/>
          <w:lang w:val="en-US"/>
        </w:rPr>
        <w:lastRenderedPageBreak/>
        <w:t>products in dispensaries located across Maryland, Minnesota, Missouri, Nevada</w:t>
      </w:r>
      <w:r>
        <w:rPr>
          <w:rFonts w:ascii="Arial" w:hAnsi="Arial"/>
          <w:b/>
          <w:bCs/>
          <w:lang w:val="en-US"/>
        </w:rPr>
        <w:t>,</w:t>
      </w:r>
      <w:r w:rsidRPr="00D87091">
        <w:rPr>
          <w:rFonts w:ascii="Arial" w:hAnsi="Arial"/>
          <w:b/>
          <w:bCs/>
          <w:lang w:val="en-US"/>
        </w:rPr>
        <w:t xml:space="preserve"> New York</w:t>
      </w:r>
      <w:r w:rsidR="00632800">
        <w:rPr>
          <w:rFonts w:ascii="Arial" w:hAnsi="Arial"/>
          <w:b/>
          <w:bCs/>
          <w:lang w:val="en-US"/>
        </w:rPr>
        <w:t>,</w:t>
      </w:r>
      <w:r w:rsidR="00111187">
        <w:rPr>
          <w:rFonts w:ascii="Arial" w:hAnsi="Arial"/>
          <w:b/>
          <w:bCs/>
          <w:lang w:val="en-US"/>
        </w:rPr>
        <w:t xml:space="preserve"> </w:t>
      </w:r>
      <w:r w:rsidRPr="00D87091">
        <w:rPr>
          <w:rFonts w:ascii="Arial" w:hAnsi="Arial"/>
          <w:b/>
          <w:bCs/>
          <w:lang w:val="en-US"/>
        </w:rPr>
        <w:t>Utah</w:t>
      </w:r>
      <w:r w:rsidR="00632800">
        <w:rPr>
          <w:rFonts w:ascii="Arial" w:hAnsi="Arial"/>
          <w:b/>
          <w:bCs/>
          <w:lang w:val="en-US"/>
        </w:rPr>
        <w:t>, Colorado and New Mexico</w:t>
      </w:r>
      <w:r w:rsidR="00111187">
        <w:rPr>
          <w:rFonts w:ascii="Arial" w:hAnsi="Arial"/>
          <w:b/>
          <w:bCs/>
          <w:lang w:val="en-US"/>
        </w:rPr>
        <w:t>, California and Florida</w:t>
      </w:r>
      <w:r w:rsidR="00632800">
        <w:rPr>
          <w:rFonts w:ascii="Arial" w:hAnsi="Arial"/>
          <w:b/>
          <w:bCs/>
          <w:lang w:val="en-US"/>
        </w:rPr>
        <w:t xml:space="preserve"> </w:t>
      </w:r>
      <w:r w:rsidRPr="00D87091">
        <w:rPr>
          <w:rFonts w:ascii="Arial" w:hAnsi="Arial"/>
          <w:b/>
          <w:bCs/>
          <w:lang w:val="en-US"/>
        </w:rPr>
        <w:t xml:space="preserve"> and wholesale cannabis products, through third-party companies, in Maryland, Minnesota, Missouri, Nevada, New York</w:t>
      </w:r>
      <w:r w:rsidR="00632800">
        <w:rPr>
          <w:rFonts w:ascii="Arial" w:hAnsi="Arial"/>
          <w:b/>
          <w:bCs/>
          <w:lang w:val="en-US"/>
        </w:rPr>
        <w:t xml:space="preserve">, </w:t>
      </w:r>
      <w:r w:rsidRPr="00D87091">
        <w:rPr>
          <w:rFonts w:ascii="Arial" w:hAnsi="Arial"/>
          <w:b/>
          <w:bCs/>
          <w:lang w:val="en-US"/>
        </w:rPr>
        <w:t>Utah</w:t>
      </w:r>
      <w:r w:rsidR="00632800">
        <w:rPr>
          <w:rFonts w:ascii="Arial" w:hAnsi="Arial"/>
          <w:b/>
          <w:bCs/>
          <w:lang w:val="en-US"/>
        </w:rPr>
        <w:t>, New Mexico</w:t>
      </w:r>
      <w:r w:rsidR="00111187">
        <w:rPr>
          <w:rFonts w:ascii="Arial" w:hAnsi="Arial"/>
          <w:b/>
          <w:bCs/>
          <w:lang w:val="en-US"/>
        </w:rPr>
        <w:t xml:space="preserve">, </w:t>
      </w:r>
      <w:r w:rsidR="00632800">
        <w:rPr>
          <w:rFonts w:ascii="Arial" w:hAnsi="Arial"/>
          <w:b/>
          <w:bCs/>
          <w:lang w:val="en-US"/>
        </w:rPr>
        <w:t>Colorado</w:t>
      </w:r>
      <w:r w:rsidR="00111187">
        <w:rPr>
          <w:rFonts w:ascii="Arial" w:hAnsi="Arial"/>
          <w:b/>
          <w:bCs/>
          <w:lang w:val="en-US"/>
        </w:rPr>
        <w:t>, California and Florida</w:t>
      </w:r>
      <w:r w:rsidRPr="00D87091">
        <w:rPr>
          <w:rFonts w:ascii="Arial" w:hAnsi="Arial"/>
          <w:b/>
          <w:bCs/>
          <w:lang w:val="en-US"/>
        </w:rPr>
        <w:t>.</w:t>
      </w:r>
    </w:p>
    <w:p w14:paraId="45ABC586"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0DC33D84" w14:textId="3073BDE1" w:rsidR="00D87091" w:rsidRPr="00836C8E" w:rsidRDefault="00D87091" w:rsidP="7C9C4382">
      <w:pPr>
        <w:pStyle w:val="List"/>
        <w:spacing w:before="120"/>
        <w:ind w:left="720" w:firstLine="0"/>
        <w:jc w:val="both"/>
        <w:rPr>
          <w:rFonts w:ascii="Arial" w:hAnsi="Arial"/>
          <w:b/>
          <w:bCs/>
          <w:lang w:val="en-US"/>
        </w:rPr>
      </w:pPr>
      <w:r w:rsidRPr="7C9C4382">
        <w:rPr>
          <w:rFonts w:ascii="Arial" w:hAnsi="Arial"/>
          <w:b/>
          <w:bCs/>
          <w:lang w:val="en-US"/>
        </w:rPr>
        <w:t xml:space="preserve">The Issuer’s management team focuses on developing licensed facilities, reducing costs, increasing access to capital, and improving operations. In the month of </w:t>
      </w:r>
      <w:r w:rsidR="00111187">
        <w:rPr>
          <w:rFonts w:ascii="Arial" w:hAnsi="Arial"/>
          <w:b/>
          <w:bCs/>
          <w:lang w:val="en-US"/>
        </w:rPr>
        <w:t>April</w:t>
      </w:r>
      <w:r w:rsidRPr="7C9C4382">
        <w:rPr>
          <w:rFonts w:ascii="Arial" w:hAnsi="Arial"/>
          <w:b/>
          <w:bCs/>
          <w:lang w:val="en-US"/>
        </w:rPr>
        <w:t>, management focused its attention on reviewing potential target acquisitions to support the Issuer's growth plans and improving operations and continued its efforts to finalize the acquisition</w:t>
      </w:r>
      <w:r w:rsidR="00836C8E" w:rsidRPr="7C9C4382">
        <w:rPr>
          <w:rFonts w:ascii="Arial" w:hAnsi="Arial"/>
          <w:b/>
          <w:bCs/>
          <w:lang w:val="en-US"/>
        </w:rPr>
        <w:t>s</w:t>
      </w:r>
      <w:r w:rsidRPr="7C9C4382">
        <w:rPr>
          <w:rFonts w:ascii="Arial" w:hAnsi="Arial"/>
          <w:b/>
          <w:bCs/>
          <w:lang w:val="en-US"/>
        </w:rPr>
        <w:t xml:space="preserve"> of</w:t>
      </w:r>
      <w:r w:rsidR="00836C8E" w:rsidRPr="7C9C4382">
        <w:rPr>
          <w:rFonts w:ascii="Arial" w:hAnsi="Arial"/>
          <w:b/>
          <w:bCs/>
          <w:lang w:val="en-US"/>
        </w:rPr>
        <w:t xml:space="preserve"> (1) all of the equity of </w:t>
      </w:r>
      <w:r w:rsidRPr="7C9C4382">
        <w:rPr>
          <w:rFonts w:ascii="Arial" w:hAnsi="Arial"/>
          <w:b/>
          <w:bCs/>
          <w:lang w:val="en-US"/>
        </w:rPr>
        <w:t>Eaze Inc. (“Eaze”), a vertically-integrated cannabis retailer and delivery technology platform with operations in California, Florida and Colorado</w:t>
      </w:r>
      <w:r w:rsidR="00111187">
        <w:rPr>
          <w:rFonts w:ascii="Arial" w:hAnsi="Arial"/>
          <w:b/>
          <w:bCs/>
          <w:lang w:val="en-US"/>
        </w:rPr>
        <w:t xml:space="preserve"> and (2) The Hawthorne Gardening Company LLC (“Hawthorne”) a </w:t>
      </w:r>
      <w:r w:rsidR="00111187" w:rsidRPr="00111187">
        <w:rPr>
          <w:rFonts w:ascii="Arial" w:hAnsi="Arial"/>
          <w:b/>
          <w:bCs/>
          <w:lang w:val="en-US"/>
        </w:rPr>
        <w:t>vertically integrated manufacturer, direct seller and service provider dedicated to servicing North America’s licensed producers and hydroponics retail industry</w:t>
      </w:r>
      <w:r w:rsidR="00F93A35">
        <w:rPr>
          <w:rFonts w:ascii="Arial" w:hAnsi="Arial"/>
          <w:b/>
          <w:bCs/>
          <w:lang w:val="en-US"/>
        </w:rPr>
        <w:t xml:space="preserve"> (such transactions, the “Hawthorne Transaction”)</w:t>
      </w:r>
      <w:r w:rsidR="00111187">
        <w:rPr>
          <w:rFonts w:ascii="Arial" w:hAnsi="Arial"/>
          <w:b/>
          <w:bCs/>
          <w:lang w:val="en-US"/>
        </w:rPr>
        <w:t xml:space="preserve">. The Company also </w:t>
      </w:r>
      <w:r w:rsidR="009A3A94">
        <w:rPr>
          <w:rFonts w:ascii="Arial" w:hAnsi="Arial"/>
          <w:b/>
          <w:bCs/>
          <w:lang w:val="en-US"/>
        </w:rPr>
        <w:t>entered into a definitive agreement</w:t>
      </w:r>
      <w:r w:rsidR="00111187">
        <w:rPr>
          <w:rFonts w:ascii="Arial" w:hAnsi="Arial"/>
          <w:b/>
          <w:bCs/>
          <w:lang w:val="en-US"/>
        </w:rPr>
        <w:t xml:space="preserve"> to acquire FLUENT Corp. (“Fluent” and such transaction the “Fluent Transaction”)</w:t>
      </w:r>
      <w:r w:rsidR="00111187" w:rsidRPr="00111187">
        <w:rPr>
          <w:rFonts w:ascii="Arial" w:hAnsi="Arial"/>
          <w:b/>
          <w:bCs/>
          <w:lang w:val="en-US"/>
        </w:rPr>
        <w:t>, a vertically-integrated, multi-state cannabis company with operations in New York, Florida and Texas</w:t>
      </w:r>
      <w:r w:rsidRPr="7C9C4382">
        <w:rPr>
          <w:rFonts w:ascii="Arial" w:hAnsi="Arial"/>
          <w:b/>
          <w:bCs/>
          <w:lang w:val="en-US"/>
        </w:rPr>
        <w:t>.</w:t>
      </w:r>
      <w:r w:rsidR="00111187">
        <w:rPr>
          <w:rFonts w:ascii="Arial" w:hAnsi="Arial"/>
          <w:b/>
          <w:bCs/>
          <w:lang w:val="en-US"/>
        </w:rPr>
        <w:t xml:space="preserve"> The Fluent Transaction</w:t>
      </w:r>
      <w:r w:rsidRPr="7C9C4382">
        <w:rPr>
          <w:rFonts w:ascii="Arial" w:hAnsi="Arial"/>
          <w:b/>
          <w:bCs/>
          <w:lang w:val="en-US"/>
        </w:rPr>
        <w:t xml:space="preserve"> </w:t>
      </w:r>
      <w:r w:rsidR="00111187">
        <w:rPr>
          <w:rFonts w:ascii="Arial" w:hAnsi="Arial"/>
          <w:b/>
          <w:bCs/>
          <w:lang w:val="en-US"/>
        </w:rPr>
        <w:t>remains subject to regulatory approvals</w:t>
      </w:r>
      <w:r w:rsidR="009A3A94">
        <w:rPr>
          <w:rFonts w:ascii="Arial" w:hAnsi="Arial"/>
          <w:b/>
          <w:bCs/>
          <w:lang w:val="en-US"/>
        </w:rPr>
        <w:t>, court approval, Fluent shareholder approval</w:t>
      </w:r>
      <w:r w:rsidR="00111187">
        <w:rPr>
          <w:rFonts w:ascii="Arial" w:hAnsi="Arial"/>
          <w:b/>
          <w:bCs/>
          <w:lang w:val="en-US"/>
        </w:rPr>
        <w:t xml:space="preserve"> and other </w:t>
      </w:r>
      <w:r w:rsidR="009A3A94">
        <w:rPr>
          <w:rFonts w:ascii="Arial" w:hAnsi="Arial"/>
          <w:b/>
          <w:bCs/>
          <w:lang w:val="en-US"/>
        </w:rPr>
        <w:t xml:space="preserve">customary </w:t>
      </w:r>
      <w:r w:rsidR="00111187">
        <w:rPr>
          <w:rFonts w:ascii="Arial" w:hAnsi="Arial"/>
          <w:b/>
          <w:bCs/>
          <w:lang w:val="en-US"/>
        </w:rPr>
        <w:t>closing conditions.</w:t>
      </w:r>
    </w:p>
    <w:p w14:paraId="69C583A3" w14:textId="77777777" w:rsidR="00640E94" w:rsidRDefault="00640E94">
      <w:pPr>
        <w:pStyle w:val="List"/>
        <w:numPr>
          <w:ilvl w:val="0"/>
          <w:numId w:val="28"/>
        </w:numPr>
        <w:spacing w:before="12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place">
        <w:smartTag w:uri="urn:schemas-microsoft-com:office:smarttags" w:element="State">
          <w:r>
            <w:rPr>
              <w:rFonts w:ascii="Arial" w:hAnsi="Arial"/>
            </w:rPr>
            <w:t>Ontario</w:t>
          </w:r>
        </w:smartTag>
      </w:smartTag>
      <w:r>
        <w:rPr>
          <w:rFonts w:ascii="Arial" w:hAnsi="Arial"/>
        </w:rPr>
        <w:t xml:space="preserve"> securities law.</w:t>
      </w:r>
    </w:p>
    <w:p w14:paraId="0E0AD576" w14:textId="63482E5D" w:rsidR="00D87091" w:rsidRPr="00D87091" w:rsidRDefault="00632800" w:rsidP="00D87091">
      <w:pPr>
        <w:pStyle w:val="List"/>
        <w:spacing w:before="120"/>
        <w:ind w:left="720" w:firstLine="0"/>
        <w:jc w:val="both"/>
        <w:rPr>
          <w:rFonts w:ascii="Arial" w:hAnsi="Arial"/>
          <w:b/>
          <w:bCs/>
        </w:rPr>
      </w:pPr>
      <w:r>
        <w:rPr>
          <w:rFonts w:ascii="Arial" w:hAnsi="Arial"/>
          <w:b/>
          <w:bCs/>
          <w:lang w:val="en-US"/>
        </w:rPr>
        <w:t xml:space="preserve">The Company closed its acquisition of </w:t>
      </w:r>
      <w:r w:rsidR="00111187">
        <w:rPr>
          <w:rFonts w:ascii="Arial" w:hAnsi="Arial"/>
          <w:b/>
          <w:bCs/>
          <w:lang w:val="en-US"/>
        </w:rPr>
        <w:t>Eaze</w:t>
      </w:r>
      <w:r>
        <w:rPr>
          <w:rFonts w:ascii="Arial" w:hAnsi="Arial"/>
          <w:b/>
          <w:bCs/>
          <w:lang w:val="en-US"/>
        </w:rPr>
        <w:t xml:space="preserve">, which has retail and cultivation facilities in </w:t>
      </w:r>
      <w:r w:rsidR="00111187">
        <w:rPr>
          <w:rFonts w:ascii="Arial" w:hAnsi="Arial"/>
          <w:b/>
          <w:bCs/>
          <w:lang w:val="en-US"/>
        </w:rPr>
        <w:t>California, Florida</w:t>
      </w:r>
      <w:r>
        <w:rPr>
          <w:rFonts w:ascii="Arial" w:hAnsi="Arial"/>
          <w:b/>
          <w:bCs/>
          <w:lang w:val="en-US"/>
        </w:rPr>
        <w:t xml:space="preserve"> and Colorado.</w:t>
      </w:r>
      <w:r w:rsidR="007A5B65">
        <w:rPr>
          <w:rFonts w:ascii="Arial" w:hAnsi="Arial"/>
          <w:b/>
          <w:bCs/>
          <w:lang w:val="en-US"/>
        </w:rPr>
        <w:t xml:space="preserve"> It also closed its acquisition of Hawthorne</w:t>
      </w:r>
      <w:r w:rsidR="00324ECD">
        <w:rPr>
          <w:rFonts w:ascii="Arial" w:hAnsi="Arial"/>
          <w:b/>
          <w:bCs/>
          <w:lang w:val="en-US"/>
        </w:rPr>
        <w:t xml:space="preserve">, a </w:t>
      </w:r>
      <w:r w:rsidR="00324ECD" w:rsidRPr="00111187">
        <w:rPr>
          <w:rFonts w:ascii="Arial" w:hAnsi="Arial"/>
          <w:b/>
          <w:bCs/>
          <w:lang w:val="en-US"/>
        </w:rPr>
        <w:t>vertically integrated manufacturer, direct seller and service provider dedicated to servicing North America’s licensed producers and hydroponics retail industry</w:t>
      </w:r>
      <w:r w:rsidR="009A3A94">
        <w:rPr>
          <w:rFonts w:ascii="Arial" w:hAnsi="Arial"/>
          <w:b/>
          <w:bCs/>
          <w:lang w:val="en-US"/>
        </w:rPr>
        <w:t>.</w:t>
      </w:r>
    </w:p>
    <w:p w14:paraId="5957FBE0" w14:textId="10259D29"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48D1CA96" w14:textId="3FFC1B02" w:rsidR="00D87091" w:rsidRPr="00D87091" w:rsidRDefault="00D87091" w:rsidP="00D87091">
      <w:pPr>
        <w:pStyle w:val="List"/>
        <w:spacing w:before="120"/>
        <w:ind w:left="720" w:firstLine="0"/>
        <w:jc w:val="both"/>
        <w:rPr>
          <w:rFonts w:ascii="Arial" w:hAnsi="Arial"/>
          <w:b/>
          <w:bCs/>
        </w:rPr>
      </w:pPr>
      <w:r w:rsidRPr="00D87091">
        <w:rPr>
          <w:rFonts w:ascii="Arial" w:hAnsi="Arial"/>
          <w:b/>
          <w:bCs/>
          <w:lang w:val="en-US"/>
        </w:rPr>
        <w:t>This item is not applicable to the Issuer for the current reporting period.</w:t>
      </w:r>
    </w:p>
    <w:p w14:paraId="1F669D4A" w14:textId="7E769898" w:rsidR="00640E94" w:rsidRDefault="00640E94">
      <w:pPr>
        <w:pStyle w:val="List"/>
        <w:numPr>
          <w:ilvl w:val="0"/>
          <w:numId w:val="28"/>
        </w:numPr>
        <w:spacing w:before="120"/>
        <w:jc w:val="both"/>
        <w:rPr>
          <w:rFonts w:ascii="Arial" w:hAnsi="Arial"/>
        </w:rPr>
      </w:pPr>
      <w:r>
        <w:rPr>
          <w:rFonts w:ascii="Arial" w:hAnsi="Arial"/>
        </w:rPr>
        <w:t>Describe any new business relationships entered into between the Issuer, the Issuer’s affiliates or third pa</w:t>
      </w:r>
      <w:r w:rsidR="00111187">
        <w:rPr>
          <w:rFonts w:ascii="Arial" w:hAnsi="Arial"/>
        </w:rPr>
        <w:t>r</w:t>
      </w:r>
      <w:r>
        <w:rPr>
          <w:rFonts w:ascii="Arial" w:hAnsi="Arial"/>
        </w:rPr>
        <w:t>ties including contracts to supply products or services, joint venture agreements and licensing agreements etc. State whether the relationship is with a Related Person of the Issuer and provide details of the relationship.</w:t>
      </w:r>
    </w:p>
    <w:p w14:paraId="0B6A683F" w14:textId="52BEEF70" w:rsidR="00A304C3" w:rsidRPr="00A304C3" w:rsidRDefault="00632800" w:rsidP="00222A4E">
      <w:pPr>
        <w:pStyle w:val="List"/>
        <w:spacing w:before="120"/>
        <w:ind w:left="720" w:firstLine="0"/>
        <w:jc w:val="both"/>
        <w:rPr>
          <w:rFonts w:ascii="Arial" w:hAnsi="Arial"/>
          <w:b/>
          <w:bCs/>
        </w:rPr>
      </w:pPr>
      <w:r>
        <w:rPr>
          <w:rFonts w:ascii="Arial" w:hAnsi="Arial"/>
          <w:b/>
          <w:bCs/>
          <w:lang w:val="en-US"/>
        </w:rPr>
        <w:t xml:space="preserve">In addition to the closing of the </w:t>
      </w:r>
      <w:r w:rsidR="00111187">
        <w:rPr>
          <w:rFonts w:ascii="Arial" w:hAnsi="Arial"/>
          <w:b/>
          <w:bCs/>
          <w:lang w:val="en-US"/>
        </w:rPr>
        <w:t xml:space="preserve">Eaze </w:t>
      </w:r>
      <w:r w:rsidR="00D018F7">
        <w:rPr>
          <w:rFonts w:ascii="Arial" w:hAnsi="Arial"/>
          <w:b/>
          <w:bCs/>
          <w:lang w:val="en-US"/>
        </w:rPr>
        <w:t>acquisition</w:t>
      </w:r>
      <w:r>
        <w:rPr>
          <w:rFonts w:ascii="Arial" w:hAnsi="Arial"/>
          <w:b/>
          <w:bCs/>
          <w:lang w:val="en-US"/>
        </w:rPr>
        <w:t xml:space="preserve">, which marks the Company’s entry into </w:t>
      </w:r>
      <w:r w:rsidR="00111187">
        <w:rPr>
          <w:rFonts w:ascii="Arial" w:hAnsi="Arial"/>
          <w:b/>
          <w:bCs/>
          <w:lang w:val="en-US"/>
        </w:rPr>
        <w:t xml:space="preserve">Florida </w:t>
      </w:r>
      <w:r>
        <w:rPr>
          <w:rFonts w:ascii="Arial" w:hAnsi="Arial"/>
          <w:b/>
          <w:bCs/>
          <w:lang w:val="en-US"/>
        </w:rPr>
        <w:t xml:space="preserve">and </w:t>
      </w:r>
      <w:r w:rsidR="00111187">
        <w:rPr>
          <w:rFonts w:ascii="Arial" w:hAnsi="Arial"/>
          <w:b/>
          <w:bCs/>
          <w:lang w:val="en-US"/>
        </w:rPr>
        <w:t xml:space="preserve">California, </w:t>
      </w:r>
      <w:r>
        <w:rPr>
          <w:rFonts w:ascii="Arial" w:hAnsi="Arial"/>
          <w:b/>
          <w:bCs/>
          <w:lang w:val="en-US"/>
        </w:rPr>
        <w:t>the Company</w:t>
      </w:r>
      <w:r w:rsidR="00111187">
        <w:rPr>
          <w:rFonts w:ascii="Arial" w:hAnsi="Arial"/>
          <w:b/>
          <w:bCs/>
          <w:lang w:val="en-US"/>
        </w:rPr>
        <w:t xml:space="preserve"> acquired all of the equity interests of Hawthorne and entered into </w:t>
      </w:r>
      <w:r w:rsidR="009A3A94">
        <w:rPr>
          <w:rFonts w:ascii="Arial" w:hAnsi="Arial"/>
          <w:b/>
          <w:bCs/>
          <w:lang w:val="en-US"/>
        </w:rPr>
        <w:t xml:space="preserve">a </w:t>
      </w:r>
      <w:r w:rsidR="00111187">
        <w:rPr>
          <w:rFonts w:ascii="Arial" w:hAnsi="Arial"/>
          <w:b/>
          <w:bCs/>
          <w:lang w:val="en-US"/>
        </w:rPr>
        <w:t xml:space="preserve">definitive agreement to </w:t>
      </w:r>
      <w:r w:rsidR="00111187">
        <w:rPr>
          <w:rFonts w:ascii="Arial" w:hAnsi="Arial"/>
          <w:b/>
          <w:bCs/>
          <w:lang w:val="en-US"/>
        </w:rPr>
        <w:lastRenderedPageBreak/>
        <w:t>acquire Fluent (subject to regulatory approval</w:t>
      </w:r>
      <w:r w:rsidR="009A3A94">
        <w:rPr>
          <w:rFonts w:ascii="Arial" w:hAnsi="Arial"/>
          <w:b/>
          <w:bCs/>
          <w:lang w:val="en-US"/>
        </w:rPr>
        <w:t>, court approval, Fluent shareholder approval</w:t>
      </w:r>
      <w:r w:rsidR="00111187">
        <w:rPr>
          <w:rFonts w:ascii="Arial" w:hAnsi="Arial"/>
          <w:b/>
          <w:bCs/>
          <w:lang w:val="en-US"/>
        </w:rPr>
        <w:t xml:space="preserve"> and other </w:t>
      </w:r>
      <w:r w:rsidR="009A3A94">
        <w:rPr>
          <w:rFonts w:ascii="Arial" w:hAnsi="Arial"/>
          <w:b/>
          <w:bCs/>
          <w:lang w:val="en-US"/>
        </w:rPr>
        <w:t xml:space="preserve">customary </w:t>
      </w:r>
      <w:r w:rsidR="00111187">
        <w:rPr>
          <w:rFonts w:ascii="Arial" w:hAnsi="Arial"/>
          <w:b/>
          <w:bCs/>
          <w:lang w:val="en-US"/>
        </w:rPr>
        <w:t>closing conditions). The Company also entered into a joint venture agreement with Glass House Brands Inc. (“Glass House”) pursuant to which Glass House and the Company would each contribute certain California dispensary assets, subject to regulatory approval and other closing conditions.</w:t>
      </w:r>
    </w:p>
    <w:p w14:paraId="3EACDC5A" w14:textId="3355A8EC" w:rsidR="00640E94" w:rsidRDefault="00640E94" w:rsidP="00A304C3">
      <w:pPr>
        <w:pStyle w:val="List"/>
        <w:spacing w:before="120"/>
        <w:ind w:left="720" w:firstLin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42FF1F1D" w14:textId="06C2BE3A" w:rsidR="00D87091" w:rsidRPr="00D87091" w:rsidRDefault="00D87091" w:rsidP="00D87091">
      <w:pPr>
        <w:pStyle w:val="List"/>
        <w:spacing w:before="120"/>
        <w:ind w:left="720" w:firstLine="0"/>
        <w:jc w:val="both"/>
        <w:rPr>
          <w:rFonts w:ascii="Arial" w:hAnsi="Arial"/>
          <w:b/>
          <w:bCs/>
        </w:rPr>
      </w:pPr>
      <w:r w:rsidRPr="00D87091">
        <w:rPr>
          <w:rFonts w:ascii="Arial" w:hAnsi="Arial"/>
          <w:b/>
          <w:bCs/>
          <w:lang w:val="en-US"/>
        </w:rPr>
        <w:t>This item is not applicable to the Issuer for the current reporting period.</w:t>
      </w:r>
    </w:p>
    <w:p w14:paraId="088E3294" w14:textId="1701411C"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053FFB21" w14:textId="01F48C75" w:rsidR="00D018F7" w:rsidRDefault="00D018F7" w:rsidP="00222A4E">
      <w:pPr>
        <w:pStyle w:val="List"/>
        <w:spacing w:before="120"/>
        <w:ind w:left="720" w:firstLine="0"/>
        <w:jc w:val="both"/>
        <w:rPr>
          <w:rFonts w:ascii="Arial" w:hAnsi="Arial"/>
          <w:b/>
          <w:bCs/>
        </w:rPr>
      </w:pPr>
      <w:r w:rsidRPr="00A304C3">
        <w:rPr>
          <w:rFonts w:ascii="Arial" w:hAnsi="Arial"/>
          <w:b/>
          <w:bCs/>
        </w:rPr>
        <w:t xml:space="preserve">On </w:t>
      </w:r>
      <w:r w:rsidR="00111187">
        <w:rPr>
          <w:rFonts w:ascii="Arial" w:hAnsi="Arial"/>
          <w:b/>
          <w:bCs/>
        </w:rPr>
        <w:t>April 1</w:t>
      </w:r>
      <w:r w:rsidRPr="00A304C3">
        <w:rPr>
          <w:rFonts w:ascii="Arial" w:hAnsi="Arial"/>
          <w:b/>
          <w:bCs/>
        </w:rPr>
        <w:t>, 2026, the</w:t>
      </w:r>
      <w:r>
        <w:rPr>
          <w:rFonts w:ascii="Arial" w:hAnsi="Arial"/>
          <w:b/>
          <w:bCs/>
        </w:rPr>
        <w:t xml:space="preserve"> </w:t>
      </w:r>
      <w:r w:rsidR="00111187">
        <w:rPr>
          <w:rFonts w:ascii="Arial" w:hAnsi="Arial"/>
          <w:b/>
          <w:bCs/>
        </w:rPr>
        <w:t>Eaze</w:t>
      </w:r>
      <w:r w:rsidR="00111187" w:rsidRPr="00A304C3">
        <w:rPr>
          <w:rFonts w:ascii="Arial" w:hAnsi="Arial"/>
          <w:b/>
          <w:bCs/>
        </w:rPr>
        <w:t xml:space="preserve"> </w:t>
      </w:r>
      <w:r w:rsidRPr="00A304C3">
        <w:rPr>
          <w:rFonts w:ascii="Arial" w:hAnsi="Arial"/>
          <w:b/>
          <w:bCs/>
        </w:rPr>
        <w:t xml:space="preserve">transaction closed. The acquired assets—consisting of </w:t>
      </w:r>
      <w:r w:rsidR="00F93A35">
        <w:rPr>
          <w:rFonts w:ascii="Arial" w:hAnsi="Arial"/>
          <w:b/>
          <w:bCs/>
        </w:rPr>
        <w:t xml:space="preserve">67 </w:t>
      </w:r>
      <w:r w:rsidRPr="00A304C3">
        <w:rPr>
          <w:rFonts w:ascii="Arial" w:hAnsi="Arial"/>
          <w:b/>
          <w:bCs/>
        </w:rPr>
        <w:t xml:space="preserve">dispensaries across </w:t>
      </w:r>
      <w:r w:rsidR="00111187">
        <w:rPr>
          <w:rFonts w:ascii="Arial" w:hAnsi="Arial"/>
          <w:b/>
          <w:bCs/>
        </w:rPr>
        <w:t xml:space="preserve">California, Florida and Colorado </w:t>
      </w:r>
      <w:r w:rsidRPr="00A304C3">
        <w:rPr>
          <w:rFonts w:ascii="Arial" w:hAnsi="Arial"/>
          <w:b/>
          <w:bCs/>
        </w:rPr>
        <w:t xml:space="preserve">and </w:t>
      </w:r>
      <w:r w:rsidR="00F93A35">
        <w:rPr>
          <w:rFonts w:ascii="Arial" w:hAnsi="Arial"/>
          <w:b/>
          <w:bCs/>
        </w:rPr>
        <w:t xml:space="preserve">one </w:t>
      </w:r>
      <w:r w:rsidRPr="00A304C3">
        <w:rPr>
          <w:rFonts w:ascii="Arial" w:hAnsi="Arial"/>
          <w:b/>
          <w:bCs/>
        </w:rPr>
        <w:t>manufacturing facilit</w:t>
      </w:r>
      <w:r w:rsidR="00F93A35">
        <w:rPr>
          <w:rFonts w:ascii="Arial" w:hAnsi="Arial"/>
          <w:b/>
          <w:bCs/>
        </w:rPr>
        <w:t>y</w:t>
      </w:r>
      <w:r w:rsidRPr="00A304C3">
        <w:rPr>
          <w:rFonts w:ascii="Arial" w:hAnsi="Arial"/>
          <w:b/>
          <w:bCs/>
        </w:rPr>
        <w:t xml:space="preserve">—were </w:t>
      </w:r>
      <w:r w:rsidR="00F93A35">
        <w:rPr>
          <w:rFonts w:ascii="Arial" w:hAnsi="Arial"/>
          <w:b/>
          <w:bCs/>
        </w:rPr>
        <w:t>acquired by a merger</w:t>
      </w:r>
      <w:r w:rsidRPr="00A304C3">
        <w:rPr>
          <w:rFonts w:ascii="Arial" w:hAnsi="Arial"/>
          <w:b/>
          <w:bCs/>
        </w:rPr>
        <w:t xml:space="preserve">. </w:t>
      </w:r>
      <w:r>
        <w:rPr>
          <w:rFonts w:ascii="Arial" w:hAnsi="Arial"/>
          <w:b/>
          <w:bCs/>
        </w:rPr>
        <w:t xml:space="preserve">In connection with this acquisition, </w:t>
      </w:r>
      <w:r w:rsidR="00F93A35">
        <w:rPr>
          <w:rFonts w:ascii="Arial" w:hAnsi="Arial"/>
          <w:b/>
          <w:bCs/>
        </w:rPr>
        <w:t>90,379,591</w:t>
      </w:r>
      <w:r w:rsidR="00AD0DD7">
        <w:rPr>
          <w:rFonts w:ascii="Arial" w:hAnsi="Arial"/>
          <w:b/>
          <w:bCs/>
        </w:rPr>
        <w:t xml:space="preserve"> subordinate voting</w:t>
      </w:r>
      <w:r w:rsidR="00F93A35">
        <w:rPr>
          <w:rFonts w:ascii="Arial" w:hAnsi="Arial"/>
          <w:b/>
          <w:bCs/>
        </w:rPr>
        <w:t xml:space="preserve"> </w:t>
      </w:r>
      <w:r>
        <w:rPr>
          <w:rFonts w:ascii="Arial" w:hAnsi="Arial"/>
          <w:b/>
          <w:bCs/>
        </w:rPr>
        <w:t>shares were issued with a fair value at issuance of approximately $</w:t>
      </w:r>
      <w:r w:rsidR="00017D92">
        <w:rPr>
          <w:rFonts w:ascii="Arial" w:hAnsi="Arial"/>
          <w:b/>
          <w:bCs/>
        </w:rPr>
        <w:t>36</w:t>
      </w:r>
      <w:r w:rsidR="00BA77B4">
        <w:rPr>
          <w:rFonts w:ascii="Arial" w:hAnsi="Arial"/>
          <w:b/>
          <w:bCs/>
        </w:rPr>
        <w:t>.4 million based on closing price of the shares on the CSE of US$0.403 on April</w:t>
      </w:r>
      <w:r w:rsidR="000E3DF5">
        <w:rPr>
          <w:rFonts w:ascii="Arial" w:hAnsi="Arial"/>
          <w:b/>
          <w:bCs/>
        </w:rPr>
        <w:t xml:space="preserve"> 1,</w:t>
      </w:r>
      <w:r w:rsidR="00BA77B4">
        <w:rPr>
          <w:rFonts w:ascii="Arial" w:hAnsi="Arial"/>
          <w:b/>
          <w:bCs/>
        </w:rPr>
        <w:t xml:space="preserve"> 2026</w:t>
      </w:r>
      <w:r>
        <w:rPr>
          <w:rFonts w:ascii="Arial" w:hAnsi="Arial"/>
          <w:b/>
          <w:bCs/>
        </w:rPr>
        <w:t xml:space="preserve">. </w:t>
      </w:r>
    </w:p>
    <w:p w14:paraId="0291C51C" w14:textId="7F41F448" w:rsidR="00D018F7" w:rsidRDefault="00D018F7" w:rsidP="00222A4E">
      <w:pPr>
        <w:pStyle w:val="List"/>
        <w:spacing w:before="120"/>
        <w:ind w:left="720" w:firstLine="0"/>
        <w:jc w:val="both"/>
        <w:rPr>
          <w:rFonts w:ascii="Arial" w:hAnsi="Arial"/>
          <w:b/>
          <w:bCs/>
          <w:lang w:val="en-US"/>
        </w:rPr>
      </w:pPr>
      <w:r>
        <w:rPr>
          <w:rFonts w:ascii="Arial" w:hAnsi="Arial"/>
          <w:b/>
          <w:bCs/>
          <w:lang w:val="en-US"/>
        </w:rPr>
        <w:t xml:space="preserve">On </w:t>
      </w:r>
      <w:r w:rsidR="00F93A35">
        <w:rPr>
          <w:rFonts w:ascii="Arial" w:hAnsi="Arial"/>
          <w:b/>
          <w:bCs/>
          <w:lang w:val="en-US"/>
        </w:rPr>
        <w:t>April 8</w:t>
      </w:r>
      <w:r w:rsidRPr="00133330">
        <w:rPr>
          <w:rFonts w:ascii="Arial" w:hAnsi="Arial"/>
          <w:b/>
          <w:bCs/>
          <w:lang w:val="en-US"/>
        </w:rPr>
        <w:t xml:space="preserve">, 2026, the </w:t>
      </w:r>
      <w:r w:rsidR="00F93A35">
        <w:rPr>
          <w:rFonts w:ascii="Arial" w:hAnsi="Arial"/>
          <w:b/>
          <w:bCs/>
          <w:lang w:val="en-US"/>
        </w:rPr>
        <w:t xml:space="preserve">Hawthorne Transaction closed. </w:t>
      </w:r>
      <w:r w:rsidR="00F93A35" w:rsidRPr="00A304C3">
        <w:rPr>
          <w:rFonts w:ascii="Arial" w:hAnsi="Arial"/>
          <w:b/>
          <w:bCs/>
        </w:rPr>
        <w:t xml:space="preserve">The acquired assets—consisting of </w:t>
      </w:r>
      <w:r w:rsidR="00F93A35">
        <w:rPr>
          <w:rFonts w:ascii="Arial" w:hAnsi="Arial"/>
          <w:b/>
          <w:bCs/>
        </w:rPr>
        <w:t xml:space="preserve">a </w:t>
      </w:r>
      <w:r w:rsidR="00F93A35" w:rsidRPr="00111187">
        <w:rPr>
          <w:rFonts w:ascii="Arial" w:hAnsi="Arial"/>
          <w:b/>
          <w:bCs/>
          <w:lang w:val="en-US"/>
        </w:rPr>
        <w:t>vertically integrated manufacturer, direct seller and service provider</w:t>
      </w:r>
      <w:r w:rsidR="00F93A35" w:rsidRPr="00A304C3">
        <w:rPr>
          <w:rFonts w:ascii="Arial" w:hAnsi="Arial"/>
          <w:b/>
          <w:bCs/>
        </w:rPr>
        <w:t xml:space="preserve"> —</w:t>
      </w:r>
      <w:r w:rsidR="00F93A35">
        <w:rPr>
          <w:rFonts w:ascii="Arial" w:hAnsi="Arial"/>
          <w:b/>
          <w:bCs/>
        </w:rPr>
        <w:t xml:space="preserve"> </w:t>
      </w:r>
      <w:r w:rsidR="00F93A35" w:rsidRPr="00A304C3">
        <w:rPr>
          <w:rFonts w:ascii="Arial" w:hAnsi="Arial"/>
          <w:b/>
          <w:bCs/>
        </w:rPr>
        <w:t xml:space="preserve">were </w:t>
      </w:r>
      <w:r w:rsidR="00F93A35">
        <w:rPr>
          <w:rFonts w:ascii="Arial" w:hAnsi="Arial"/>
          <w:b/>
          <w:bCs/>
        </w:rPr>
        <w:t>acquired by stock acquisition</w:t>
      </w:r>
      <w:r w:rsidR="00F93A35" w:rsidRPr="00A304C3">
        <w:rPr>
          <w:rFonts w:ascii="Arial" w:hAnsi="Arial"/>
          <w:b/>
          <w:bCs/>
        </w:rPr>
        <w:t xml:space="preserve">. </w:t>
      </w:r>
      <w:r w:rsidR="00F93A35">
        <w:rPr>
          <w:rFonts w:ascii="Arial" w:hAnsi="Arial"/>
          <w:b/>
          <w:bCs/>
        </w:rPr>
        <w:t xml:space="preserve">In connection with this acquisition, 213,000,000 </w:t>
      </w:r>
      <w:r w:rsidR="00AD0DD7">
        <w:rPr>
          <w:rFonts w:ascii="Arial" w:hAnsi="Arial"/>
          <w:b/>
          <w:bCs/>
        </w:rPr>
        <w:t xml:space="preserve">subordinate voting </w:t>
      </w:r>
      <w:r w:rsidR="00F93A35">
        <w:rPr>
          <w:rFonts w:ascii="Arial" w:hAnsi="Arial"/>
          <w:b/>
          <w:bCs/>
        </w:rPr>
        <w:t xml:space="preserve">shares and 80,000,000 warrants </w:t>
      </w:r>
      <w:r w:rsidR="00AD0DD7">
        <w:rPr>
          <w:rFonts w:ascii="Arial" w:hAnsi="Arial"/>
          <w:b/>
          <w:bCs/>
        </w:rPr>
        <w:t xml:space="preserve">to purchase subordinate voting shares </w:t>
      </w:r>
      <w:r w:rsidR="00F93A35">
        <w:rPr>
          <w:rFonts w:ascii="Arial" w:hAnsi="Arial"/>
          <w:b/>
          <w:bCs/>
        </w:rPr>
        <w:t xml:space="preserve">were issued to Good Dog Holdings, LLC (“Good Dog”). </w:t>
      </w:r>
      <w:r w:rsidR="00F93A35" w:rsidRPr="00F93A35">
        <w:rPr>
          <w:rFonts w:ascii="Arial" w:hAnsi="Arial"/>
          <w:b/>
          <w:bCs/>
          <w:lang w:val="en-US"/>
        </w:rPr>
        <w:t xml:space="preserve">In the event Good Dog were to exercise all of its </w:t>
      </w:r>
      <w:r w:rsidR="00AD0DD7">
        <w:rPr>
          <w:rFonts w:ascii="Arial" w:hAnsi="Arial"/>
          <w:b/>
          <w:bCs/>
          <w:lang w:val="en-US"/>
        </w:rPr>
        <w:t>w</w:t>
      </w:r>
      <w:r w:rsidR="00F93A35" w:rsidRPr="00F93A35">
        <w:rPr>
          <w:rFonts w:ascii="Arial" w:hAnsi="Arial"/>
          <w:b/>
          <w:bCs/>
          <w:lang w:val="en-US"/>
        </w:rPr>
        <w:t xml:space="preserve">arrants, such exercise would result in Good Dog owning up to an additional 80,000,000 </w:t>
      </w:r>
      <w:r w:rsidR="00AD0DD7">
        <w:rPr>
          <w:rFonts w:ascii="Arial" w:hAnsi="Arial"/>
          <w:b/>
          <w:bCs/>
          <w:lang w:val="en-US"/>
        </w:rPr>
        <w:t>subordinate voting s</w:t>
      </w:r>
      <w:r w:rsidR="00F93A35" w:rsidRPr="00F93A35">
        <w:rPr>
          <w:rFonts w:ascii="Arial" w:hAnsi="Arial"/>
          <w:b/>
          <w:bCs/>
          <w:lang w:val="en-US"/>
        </w:rPr>
        <w:t xml:space="preserve">hares, and Good Dog’s aggregate interest in Vireo on </w:t>
      </w:r>
      <w:r w:rsidR="00AD0DD7">
        <w:rPr>
          <w:rFonts w:ascii="Arial" w:hAnsi="Arial"/>
          <w:b/>
          <w:bCs/>
          <w:lang w:val="en-US"/>
        </w:rPr>
        <w:t xml:space="preserve">exercise </w:t>
      </w:r>
      <w:r w:rsidR="00F93A35" w:rsidRPr="00F93A35">
        <w:rPr>
          <w:rFonts w:ascii="Arial" w:hAnsi="Arial"/>
          <w:b/>
          <w:bCs/>
          <w:lang w:val="en-US"/>
        </w:rPr>
        <w:t xml:space="preserve">would be approximately 19%, with a market value of US$115.1 million and  C$161.2 million based on the closing price of the </w:t>
      </w:r>
      <w:r w:rsidR="00AD0DD7">
        <w:rPr>
          <w:rFonts w:ascii="Arial" w:hAnsi="Arial"/>
          <w:b/>
          <w:bCs/>
          <w:lang w:val="en-US"/>
        </w:rPr>
        <w:t>subordinate voting s</w:t>
      </w:r>
      <w:r w:rsidR="00F93A35" w:rsidRPr="00F93A35">
        <w:rPr>
          <w:rFonts w:ascii="Arial" w:hAnsi="Arial"/>
          <w:b/>
          <w:bCs/>
          <w:lang w:val="en-US"/>
        </w:rPr>
        <w:t>hares on the CSE of US$0.393 on April 7, 2026.</w:t>
      </w:r>
    </w:p>
    <w:p w14:paraId="685E5389" w14:textId="246DBCBD" w:rsidR="00721F5B" w:rsidRPr="009A3A94" w:rsidRDefault="00721F5B" w:rsidP="009A3A94">
      <w:pPr>
        <w:pStyle w:val="List"/>
        <w:spacing w:before="120"/>
        <w:ind w:left="720" w:firstLine="0"/>
        <w:jc w:val="both"/>
        <w:rPr>
          <w:rFonts w:ascii="Arial" w:hAnsi="Arial"/>
          <w:b/>
          <w:bCs/>
        </w:rPr>
      </w:pPr>
      <w:r w:rsidRPr="009A3A94">
        <w:rPr>
          <w:rFonts w:ascii="Arial" w:hAnsi="Arial"/>
          <w:b/>
          <w:bCs/>
          <w:lang w:val="en-US"/>
        </w:rPr>
        <w:t xml:space="preserve">On April 13, 2026, the Company and </w:t>
      </w:r>
      <w:r w:rsidRPr="009A3A94">
        <w:rPr>
          <w:rFonts w:ascii="Arial" w:hAnsi="Arial"/>
          <w:b/>
          <w:bCs/>
        </w:rPr>
        <w:t xml:space="preserve">Glass House </w:t>
      </w:r>
      <w:r w:rsidRPr="009A3A94">
        <w:rPr>
          <w:rFonts w:ascii="Arial" w:hAnsi="Arial"/>
          <w:b/>
          <w:bCs/>
          <w:lang w:val="en-US"/>
        </w:rPr>
        <w:t xml:space="preserve">announced the execution of a definitive agreement to form a joint venture to combine each party’s California dispensary operations, subject to the satisfaction of regulatory approvals and other customary closing conditions. Upon closing, each party is expected to contribute its respective California retail operations to the joint venture in exchange for a 50% ownership interest. The joint venture agreement contemplates combining the Company’s </w:t>
      </w:r>
      <w:r w:rsidR="00AD0DD7">
        <w:rPr>
          <w:rFonts w:ascii="Arial" w:hAnsi="Arial"/>
          <w:b/>
          <w:bCs/>
          <w:lang w:val="en-US"/>
        </w:rPr>
        <w:t>12</w:t>
      </w:r>
      <w:r w:rsidR="00AD0DD7" w:rsidRPr="009A3A94">
        <w:rPr>
          <w:rFonts w:ascii="Arial" w:hAnsi="Arial"/>
          <w:b/>
          <w:bCs/>
          <w:lang w:val="en-US"/>
        </w:rPr>
        <w:t xml:space="preserve"> </w:t>
      </w:r>
      <w:r w:rsidRPr="009A3A94">
        <w:rPr>
          <w:rFonts w:ascii="Arial" w:hAnsi="Arial"/>
          <w:b/>
          <w:bCs/>
          <w:lang w:val="en-US"/>
        </w:rPr>
        <w:t xml:space="preserve">dispensaries and home delivery operations located in California and acquired from Eaze with Glass House’s </w:t>
      </w:r>
      <w:r w:rsidR="00AD0DD7">
        <w:rPr>
          <w:rFonts w:ascii="Arial" w:hAnsi="Arial"/>
          <w:b/>
          <w:bCs/>
          <w:lang w:val="en-US"/>
        </w:rPr>
        <w:t>11</w:t>
      </w:r>
      <w:r w:rsidR="00AD0DD7" w:rsidRPr="009A3A94">
        <w:rPr>
          <w:rFonts w:ascii="Arial" w:hAnsi="Arial"/>
          <w:b/>
          <w:bCs/>
          <w:lang w:val="en-US"/>
        </w:rPr>
        <w:t xml:space="preserve"> </w:t>
      </w:r>
      <w:r w:rsidRPr="009A3A94">
        <w:rPr>
          <w:rFonts w:ascii="Arial" w:hAnsi="Arial"/>
          <w:b/>
          <w:bCs/>
          <w:lang w:val="en-US"/>
        </w:rPr>
        <w:t xml:space="preserve">California retail locations. The combined retail platform is expected to be supported by a preferential supply agreement with Glass House. Under the terms of the agreement, beginning five years after closing, </w:t>
      </w:r>
      <w:r w:rsidRPr="009A3A94">
        <w:rPr>
          <w:rFonts w:ascii="Arial" w:hAnsi="Arial"/>
          <w:b/>
          <w:bCs/>
          <w:lang w:val="en-US"/>
        </w:rPr>
        <w:lastRenderedPageBreak/>
        <w:t xml:space="preserve">the Company will have an option to acquire Glass House’s ownership interest in the joint venture, and Glass House will have a reciprocal put right. </w:t>
      </w:r>
    </w:p>
    <w:p w14:paraId="6A34AACF" w14:textId="77777777" w:rsidR="00721F5B" w:rsidRDefault="00721F5B" w:rsidP="00222A4E">
      <w:pPr>
        <w:pStyle w:val="List"/>
        <w:spacing w:before="120"/>
        <w:ind w:left="720" w:firstLine="0"/>
        <w:jc w:val="both"/>
        <w:rPr>
          <w:rFonts w:ascii="Arial" w:hAnsi="Arial"/>
          <w:b/>
          <w:bCs/>
          <w:lang w:val="en-US"/>
        </w:rPr>
      </w:pPr>
    </w:p>
    <w:p w14:paraId="02F41F91" w14:textId="214C2A49" w:rsidR="00F93A35" w:rsidRPr="00A304C3" w:rsidRDefault="00F93A35" w:rsidP="00222A4E">
      <w:pPr>
        <w:pStyle w:val="List"/>
        <w:spacing w:before="120"/>
        <w:ind w:left="720" w:firstLine="0"/>
        <w:jc w:val="both"/>
        <w:rPr>
          <w:rFonts w:ascii="Arial" w:hAnsi="Arial"/>
          <w:b/>
          <w:bCs/>
        </w:rPr>
      </w:pPr>
      <w:r>
        <w:rPr>
          <w:rFonts w:ascii="Arial" w:hAnsi="Arial"/>
          <w:b/>
          <w:bCs/>
          <w:lang w:val="en-US"/>
        </w:rPr>
        <w:t xml:space="preserve">On April </w:t>
      </w:r>
      <w:r w:rsidR="00C16857">
        <w:rPr>
          <w:rFonts w:ascii="Arial" w:hAnsi="Arial"/>
          <w:b/>
          <w:bCs/>
          <w:lang w:val="en-US"/>
        </w:rPr>
        <w:t>29</w:t>
      </w:r>
      <w:r>
        <w:rPr>
          <w:rFonts w:ascii="Arial" w:hAnsi="Arial"/>
          <w:b/>
          <w:bCs/>
          <w:lang w:val="en-US"/>
        </w:rPr>
        <w:t xml:space="preserve">, 2026, the </w:t>
      </w:r>
      <w:r w:rsidR="00C16857">
        <w:rPr>
          <w:rFonts w:ascii="Arial" w:hAnsi="Arial"/>
          <w:b/>
          <w:bCs/>
          <w:lang w:val="en-US"/>
        </w:rPr>
        <w:t xml:space="preserve">Company </w:t>
      </w:r>
      <w:r w:rsidR="00AD0DD7">
        <w:rPr>
          <w:rFonts w:ascii="Arial" w:hAnsi="Arial"/>
          <w:b/>
          <w:bCs/>
          <w:lang w:val="en-US"/>
        </w:rPr>
        <w:t>entered into a definitive agreement</w:t>
      </w:r>
      <w:r w:rsidR="00C16857">
        <w:rPr>
          <w:rFonts w:ascii="Arial" w:hAnsi="Arial"/>
          <w:b/>
          <w:bCs/>
          <w:lang w:val="en-US"/>
        </w:rPr>
        <w:t xml:space="preserve"> to acquire </w:t>
      </w:r>
      <w:r w:rsidR="00C16857" w:rsidRPr="00C16857">
        <w:rPr>
          <w:rFonts w:ascii="Arial" w:hAnsi="Arial"/>
          <w:b/>
          <w:bCs/>
          <w:lang w:val="en-US"/>
        </w:rPr>
        <w:t>all of the issued and outstanding common shares of FLUENT (after conversion of all (</w:t>
      </w:r>
      <w:proofErr w:type="spellStart"/>
      <w:r w:rsidR="00C16857" w:rsidRPr="00C16857">
        <w:rPr>
          <w:rFonts w:ascii="Arial" w:hAnsi="Arial"/>
          <w:b/>
          <w:bCs/>
          <w:lang w:val="en-US"/>
        </w:rPr>
        <w:t>i</w:t>
      </w:r>
      <w:proofErr w:type="spellEnd"/>
      <w:r w:rsidR="00C16857" w:rsidRPr="00C16857">
        <w:rPr>
          <w:rFonts w:ascii="Arial" w:hAnsi="Arial"/>
          <w:b/>
          <w:bCs/>
          <w:lang w:val="en-US"/>
        </w:rPr>
        <w:t>) proportionate voting shares of FLUENT and (ii) non-voting, non-participating exchangeable shares of FLUENT</w:t>
      </w:r>
      <w:r w:rsidR="00AD0DD7">
        <w:rPr>
          <w:rFonts w:ascii="Arial" w:hAnsi="Arial"/>
          <w:b/>
          <w:bCs/>
          <w:lang w:val="en-US"/>
        </w:rPr>
        <w:t>)</w:t>
      </w:r>
      <w:r w:rsidR="00C16857">
        <w:rPr>
          <w:rFonts w:ascii="Arial" w:hAnsi="Arial"/>
          <w:b/>
          <w:bCs/>
          <w:lang w:val="en-US"/>
        </w:rPr>
        <w:t>. The Fluent Transaction</w:t>
      </w:r>
      <w:r w:rsidR="00AD0DD7">
        <w:rPr>
          <w:rFonts w:ascii="Arial" w:hAnsi="Arial"/>
          <w:b/>
          <w:bCs/>
          <w:lang w:val="en-US"/>
        </w:rPr>
        <w:t xml:space="preserve"> will be effected by way of a court approved plan of arrangement pursuant to the Business Corporations Act (Ontario) and</w:t>
      </w:r>
      <w:r w:rsidR="00C16857">
        <w:rPr>
          <w:rFonts w:ascii="Arial" w:hAnsi="Arial"/>
          <w:b/>
          <w:bCs/>
          <w:lang w:val="en-US"/>
        </w:rPr>
        <w:t xml:space="preserve"> remains subject to regulatory</w:t>
      </w:r>
      <w:r w:rsidR="00AD0DD7">
        <w:rPr>
          <w:rFonts w:ascii="Arial" w:hAnsi="Arial"/>
          <w:b/>
          <w:bCs/>
          <w:lang w:val="en-US"/>
        </w:rPr>
        <w:t xml:space="preserve"> approval, court approval</w:t>
      </w:r>
      <w:r w:rsidR="00C16857">
        <w:rPr>
          <w:rFonts w:ascii="Arial" w:hAnsi="Arial"/>
          <w:b/>
          <w:bCs/>
          <w:lang w:val="en-US"/>
        </w:rPr>
        <w:t xml:space="preserve"> and Fluent shareholder approval, among other</w:t>
      </w:r>
      <w:r w:rsidR="00AD0DD7">
        <w:rPr>
          <w:rFonts w:ascii="Arial" w:hAnsi="Arial"/>
          <w:b/>
          <w:bCs/>
          <w:lang w:val="en-US"/>
        </w:rPr>
        <w:t xml:space="preserve"> customary</w:t>
      </w:r>
      <w:r w:rsidR="00C16857">
        <w:rPr>
          <w:rFonts w:ascii="Arial" w:hAnsi="Arial"/>
          <w:b/>
          <w:bCs/>
          <w:lang w:val="en-US"/>
        </w:rPr>
        <w:t xml:space="preserve"> closing conditions.</w:t>
      </w:r>
    </w:p>
    <w:p w14:paraId="52370EFD" w14:textId="505985C9" w:rsidR="00640E94" w:rsidRDefault="00640E94" w:rsidP="00EF19ED">
      <w:pPr>
        <w:pStyle w:val="List"/>
        <w:keepNext/>
        <w:numPr>
          <w:ilvl w:val="0"/>
          <w:numId w:val="28"/>
        </w:numPr>
        <w:spacing w:before="120"/>
        <w:jc w:val="both"/>
        <w:rPr>
          <w:rFonts w:ascii="Arial" w:hAnsi="Arial"/>
        </w:rPr>
      </w:pPr>
      <w:r>
        <w:rPr>
          <w:rFonts w:ascii="Arial" w:hAnsi="Arial"/>
        </w:rPr>
        <w:t>Describe the acquisition of new customers or loss of customers.</w:t>
      </w:r>
    </w:p>
    <w:p w14:paraId="1A791F51" w14:textId="3AF568BD" w:rsidR="00D87091" w:rsidRPr="00D87091" w:rsidRDefault="00D87091" w:rsidP="00D87091">
      <w:pPr>
        <w:pStyle w:val="List"/>
        <w:spacing w:before="120"/>
        <w:ind w:left="720" w:firstLine="0"/>
        <w:jc w:val="both"/>
        <w:rPr>
          <w:rFonts w:ascii="Arial" w:hAnsi="Arial"/>
          <w:b/>
          <w:bCs/>
        </w:rPr>
      </w:pPr>
      <w:r w:rsidRPr="00D87091">
        <w:rPr>
          <w:rFonts w:ascii="Arial" w:hAnsi="Arial"/>
          <w:b/>
          <w:bCs/>
          <w:lang w:val="en-US"/>
        </w:rPr>
        <w:t>This item is not applicable to the Issuer for the current reporting period.</w:t>
      </w:r>
    </w:p>
    <w:p w14:paraId="2546D4BB" w14:textId="4408A39A" w:rsidR="00640E94" w:rsidRDefault="00640E94">
      <w:pPr>
        <w:pStyle w:val="List"/>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7BFDA1AB" w14:textId="5D271B72" w:rsidR="00D87091" w:rsidRPr="00D87091" w:rsidRDefault="00133330" w:rsidP="00D87091">
      <w:pPr>
        <w:pStyle w:val="List"/>
        <w:spacing w:before="120"/>
        <w:ind w:left="720" w:firstLine="0"/>
        <w:jc w:val="both"/>
        <w:rPr>
          <w:rFonts w:ascii="Arial" w:hAnsi="Arial"/>
          <w:b/>
          <w:bCs/>
        </w:rPr>
      </w:pPr>
      <w:r>
        <w:rPr>
          <w:rFonts w:ascii="Arial" w:hAnsi="Arial"/>
          <w:b/>
          <w:bCs/>
          <w:lang w:val="en-US"/>
        </w:rPr>
        <w:t>The Company acquired various licenses</w:t>
      </w:r>
      <w:r w:rsidR="00770926">
        <w:rPr>
          <w:rFonts w:ascii="Arial" w:hAnsi="Arial"/>
          <w:b/>
          <w:bCs/>
          <w:lang w:val="en-US"/>
        </w:rPr>
        <w:t xml:space="preserve"> and intellectual property</w:t>
      </w:r>
      <w:r>
        <w:rPr>
          <w:rFonts w:ascii="Arial" w:hAnsi="Arial"/>
          <w:b/>
          <w:bCs/>
          <w:lang w:val="en-US"/>
        </w:rPr>
        <w:t xml:space="preserve"> in connection with the </w:t>
      </w:r>
      <w:r w:rsidR="00936AD1">
        <w:rPr>
          <w:rFonts w:ascii="Arial" w:hAnsi="Arial"/>
          <w:b/>
          <w:bCs/>
          <w:lang w:val="en-US"/>
        </w:rPr>
        <w:t>Eaze and Hawthorne</w:t>
      </w:r>
      <w:r>
        <w:rPr>
          <w:rFonts w:ascii="Arial" w:hAnsi="Arial"/>
          <w:b/>
          <w:bCs/>
          <w:lang w:val="en-US"/>
        </w:rPr>
        <w:t xml:space="preserve"> acquisition</w:t>
      </w:r>
      <w:r w:rsidR="00936AD1">
        <w:rPr>
          <w:rFonts w:ascii="Arial" w:hAnsi="Arial"/>
          <w:b/>
          <w:bCs/>
          <w:lang w:val="en-US"/>
        </w:rPr>
        <w:t>s</w:t>
      </w:r>
      <w:r w:rsidR="00632800">
        <w:rPr>
          <w:rFonts w:ascii="Arial" w:hAnsi="Arial"/>
          <w:b/>
          <w:bCs/>
          <w:lang w:val="en-US"/>
        </w:rPr>
        <w:t>.</w:t>
      </w:r>
    </w:p>
    <w:p w14:paraId="295BD517" w14:textId="33B32E22"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6CCACBEE" w14:textId="445E3896" w:rsidR="00D87091" w:rsidRDefault="00D87091" w:rsidP="00D87091">
      <w:pPr>
        <w:pStyle w:val="List"/>
        <w:spacing w:before="120"/>
        <w:ind w:left="720" w:firstLine="0"/>
        <w:jc w:val="both"/>
        <w:rPr>
          <w:rFonts w:ascii="Arial" w:hAnsi="Arial"/>
        </w:rPr>
      </w:pPr>
      <w:r w:rsidRPr="00D87091">
        <w:rPr>
          <w:rFonts w:ascii="Arial" w:hAnsi="Arial"/>
          <w:b/>
          <w:bCs/>
          <w:lang w:val="en-US"/>
        </w:rPr>
        <w:t xml:space="preserve">The Issuer hired </w:t>
      </w:r>
      <w:r w:rsidR="00936AD1">
        <w:rPr>
          <w:rFonts w:ascii="Arial" w:hAnsi="Arial"/>
          <w:b/>
          <w:bCs/>
          <w:lang w:val="en-US"/>
        </w:rPr>
        <w:t>237</w:t>
      </w:r>
      <w:r w:rsidRPr="00D87091">
        <w:rPr>
          <w:rFonts w:ascii="Arial" w:hAnsi="Arial"/>
          <w:b/>
          <w:bCs/>
          <w:lang w:val="en-US"/>
        </w:rPr>
        <w:t xml:space="preserve"> employees and </w:t>
      </w:r>
      <w:r w:rsidR="00936AD1">
        <w:rPr>
          <w:rFonts w:ascii="Arial" w:hAnsi="Arial"/>
          <w:b/>
          <w:bCs/>
          <w:lang w:val="en-US"/>
        </w:rPr>
        <w:t>194</w:t>
      </w:r>
      <w:r w:rsidR="005D39CB" w:rsidRPr="00D87091">
        <w:rPr>
          <w:rFonts w:ascii="Arial" w:hAnsi="Arial"/>
          <w:b/>
          <w:bCs/>
          <w:lang w:val="en-US"/>
        </w:rPr>
        <w:t xml:space="preserve"> </w:t>
      </w:r>
      <w:r w:rsidRPr="00D87091">
        <w:rPr>
          <w:rFonts w:ascii="Arial" w:hAnsi="Arial"/>
          <w:b/>
          <w:bCs/>
          <w:lang w:val="en-US"/>
        </w:rPr>
        <w:t>employees were terminated, permanently laid off or left for other reasons</w:t>
      </w:r>
      <w:r>
        <w:rPr>
          <w:rFonts w:ascii="Arial" w:hAnsi="Arial"/>
          <w:b/>
          <w:bCs/>
          <w:lang w:val="en-US"/>
        </w:rPr>
        <w:t>.</w:t>
      </w:r>
    </w:p>
    <w:p w14:paraId="430A8DF3" w14:textId="4C301CB9"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4D538EA4" w14:textId="45CBAAE4" w:rsidR="00D87091" w:rsidRPr="00D87091" w:rsidRDefault="00D87091" w:rsidP="00D87091">
      <w:pPr>
        <w:pStyle w:val="List"/>
        <w:spacing w:before="120"/>
        <w:ind w:left="720" w:firstLine="0"/>
        <w:jc w:val="both"/>
        <w:rPr>
          <w:rFonts w:ascii="Arial" w:hAnsi="Arial"/>
          <w:b/>
          <w:bCs/>
        </w:rPr>
      </w:pPr>
      <w:r w:rsidRPr="00D87091">
        <w:rPr>
          <w:rFonts w:ascii="Arial" w:hAnsi="Arial"/>
          <w:b/>
          <w:bCs/>
          <w:lang w:val="en-US"/>
        </w:rPr>
        <w:t>This item is not applicable to the Issuer for the current reporting period.</w:t>
      </w:r>
    </w:p>
    <w:p w14:paraId="06F47EC5" w14:textId="3AFE6ACA"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5CD5A2BE" w14:textId="3EB7B5DB" w:rsidR="00D87091" w:rsidRPr="00D87091" w:rsidRDefault="00D87091" w:rsidP="00D87091">
      <w:pPr>
        <w:pStyle w:val="List"/>
        <w:spacing w:before="120"/>
        <w:ind w:left="720" w:firstLine="0"/>
        <w:jc w:val="both"/>
        <w:rPr>
          <w:rFonts w:ascii="Arial" w:hAnsi="Arial"/>
          <w:b/>
          <w:bCs/>
        </w:rPr>
      </w:pPr>
      <w:r w:rsidRPr="00D87091">
        <w:rPr>
          <w:rFonts w:ascii="Arial" w:hAnsi="Arial"/>
          <w:b/>
          <w:bCs/>
          <w:lang w:val="en-US"/>
        </w:rPr>
        <w:t>There are no material updates to the proceedings of the Issuer in this reporting period.</w:t>
      </w:r>
    </w:p>
    <w:p w14:paraId="6CAFF6B9" w14:textId="1993F974"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174839BA" w14:textId="1EE7EB32" w:rsidR="00D87091" w:rsidRDefault="00936AD1" w:rsidP="00D87091">
      <w:pPr>
        <w:pStyle w:val="List"/>
        <w:spacing w:before="120"/>
        <w:ind w:left="720" w:firstLine="0"/>
        <w:jc w:val="both"/>
        <w:rPr>
          <w:rFonts w:ascii="Arial" w:hAnsi="Arial"/>
        </w:rPr>
      </w:pPr>
      <w:r w:rsidRPr="00D87091">
        <w:rPr>
          <w:rFonts w:ascii="Arial" w:hAnsi="Arial"/>
          <w:b/>
          <w:bCs/>
          <w:lang w:val="en-US"/>
        </w:rPr>
        <w:t>There are no material updates to the proceedings of the Issuer in this reporting period.</w:t>
      </w:r>
    </w:p>
    <w:p w14:paraId="35990906" w14:textId="0AD1376E"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4AFC01B9" w14:textId="77777777" w:rsidR="00640E94" w:rsidRDefault="00640E94">
      <w:pPr>
        <w:pStyle w:val="List"/>
        <w:spacing w:before="120"/>
        <w:ind w:left="0" w:firstLine="0"/>
        <w:jc w:val="both"/>
        <w:rPr>
          <w:rFonts w:ascii="Arial" w:hAnsi="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C27145" w14:paraId="7D0AD592" w14:textId="77777777" w:rsidTr="00222A4E">
        <w:tc>
          <w:tcPr>
            <w:tcW w:w="2394" w:type="dxa"/>
          </w:tcPr>
          <w:p w14:paraId="4CD6A915" w14:textId="77777777" w:rsidR="00C27145" w:rsidRDefault="00C27145">
            <w:pPr>
              <w:pStyle w:val="List"/>
              <w:tabs>
                <w:tab w:val="left" w:pos="360"/>
              </w:tabs>
              <w:spacing w:before="0" w:line="280" w:lineRule="exact"/>
              <w:ind w:left="0" w:firstLine="0"/>
              <w:jc w:val="center"/>
              <w:rPr>
                <w:rFonts w:ascii="Arial" w:hAnsi="Arial"/>
                <w:b/>
              </w:rPr>
            </w:pPr>
            <w:r>
              <w:rPr>
                <w:rFonts w:ascii="Arial" w:hAnsi="Arial"/>
                <w:b/>
              </w:rPr>
              <w:t>Security</w:t>
            </w:r>
          </w:p>
        </w:tc>
        <w:tc>
          <w:tcPr>
            <w:tcW w:w="2394" w:type="dxa"/>
          </w:tcPr>
          <w:p w14:paraId="62215FE5" w14:textId="77777777" w:rsidR="00C27145" w:rsidRDefault="00C27145">
            <w:pPr>
              <w:pStyle w:val="List"/>
              <w:tabs>
                <w:tab w:val="left" w:pos="360"/>
              </w:tabs>
              <w:spacing w:before="0" w:line="280" w:lineRule="exact"/>
              <w:ind w:left="0" w:firstLine="0"/>
              <w:jc w:val="center"/>
              <w:rPr>
                <w:rFonts w:ascii="Arial" w:hAnsi="Arial"/>
                <w:b/>
              </w:rPr>
            </w:pPr>
            <w:r>
              <w:rPr>
                <w:rFonts w:ascii="Arial" w:hAnsi="Arial"/>
                <w:b/>
              </w:rPr>
              <w:t>Number Issued</w:t>
            </w:r>
          </w:p>
        </w:tc>
        <w:tc>
          <w:tcPr>
            <w:tcW w:w="2394" w:type="dxa"/>
          </w:tcPr>
          <w:p w14:paraId="3568C928" w14:textId="77777777" w:rsidR="00C27145" w:rsidRDefault="00C27145">
            <w:pPr>
              <w:pStyle w:val="List"/>
              <w:tabs>
                <w:tab w:val="left" w:pos="360"/>
              </w:tabs>
              <w:spacing w:before="0" w:line="280" w:lineRule="exact"/>
              <w:ind w:left="0" w:firstLine="0"/>
              <w:jc w:val="center"/>
              <w:rPr>
                <w:rFonts w:ascii="Arial" w:hAnsi="Arial"/>
                <w:b/>
              </w:rPr>
            </w:pPr>
            <w:r>
              <w:rPr>
                <w:rFonts w:ascii="Arial" w:hAnsi="Arial"/>
                <w:b/>
              </w:rPr>
              <w:t>Details of Issuance</w:t>
            </w:r>
          </w:p>
        </w:tc>
        <w:tc>
          <w:tcPr>
            <w:tcW w:w="2394" w:type="dxa"/>
          </w:tcPr>
          <w:p w14:paraId="0FF9CBC4" w14:textId="77777777" w:rsidR="00C27145" w:rsidRDefault="00C27145">
            <w:pPr>
              <w:pStyle w:val="List"/>
              <w:tabs>
                <w:tab w:val="left" w:pos="360"/>
              </w:tabs>
              <w:spacing w:before="0" w:line="280" w:lineRule="exact"/>
              <w:ind w:left="0" w:firstLine="0"/>
              <w:jc w:val="center"/>
              <w:rPr>
                <w:rFonts w:ascii="Arial" w:hAnsi="Arial"/>
                <w:b/>
              </w:rPr>
            </w:pPr>
            <w:r>
              <w:rPr>
                <w:rFonts w:ascii="Arial" w:hAnsi="Arial"/>
                <w:b/>
              </w:rPr>
              <w:t>Use of Proceeds</w:t>
            </w:r>
            <w:r>
              <w:rPr>
                <w:rFonts w:ascii="Arial" w:hAnsi="Arial"/>
                <w:b/>
                <w:vertAlign w:val="superscript"/>
              </w:rPr>
              <w:t>(1)</w:t>
            </w:r>
          </w:p>
        </w:tc>
      </w:tr>
      <w:tr w:rsidR="00C27145" w14:paraId="7FFE12A1" w14:textId="77777777" w:rsidTr="00222A4E">
        <w:tc>
          <w:tcPr>
            <w:tcW w:w="2394" w:type="dxa"/>
          </w:tcPr>
          <w:p w14:paraId="23B04B29" w14:textId="77777777" w:rsidR="00C27145" w:rsidRDefault="00C27145" w:rsidP="00A57B1B">
            <w:pPr>
              <w:pStyle w:val="List"/>
              <w:tabs>
                <w:tab w:val="left" w:pos="360"/>
              </w:tabs>
              <w:spacing w:before="0" w:line="280" w:lineRule="exact"/>
              <w:ind w:left="0" w:firstLine="0"/>
              <w:rPr>
                <w:rFonts w:ascii="Arial" w:hAnsi="Arial"/>
              </w:rPr>
            </w:pPr>
            <w:r>
              <w:rPr>
                <w:rFonts w:ascii="Arial" w:hAnsi="Arial"/>
              </w:rPr>
              <w:t>Subordinate voting shares</w:t>
            </w:r>
          </w:p>
        </w:tc>
        <w:tc>
          <w:tcPr>
            <w:tcW w:w="2394" w:type="dxa"/>
          </w:tcPr>
          <w:p w14:paraId="3D4026F5" w14:textId="776AB465" w:rsidR="00C27145" w:rsidRPr="0094502B" w:rsidRDefault="00936AD1">
            <w:pPr>
              <w:pStyle w:val="List"/>
              <w:tabs>
                <w:tab w:val="left" w:pos="360"/>
              </w:tabs>
              <w:spacing w:before="0" w:line="280" w:lineRule="exact"/>
              <w:ind w:left="0" w:firstLine="0"/>
              <w:jc w:val="center"/>
              <w:rPr>
                <w:rFonts w:ascii="Arial" w:hAnsi="Arial"/>
              </w:rPr>
            </w:pPr>
            <w:r w:rsidRPr="009A3A94">
              <w:rPr>
                <w:rFonts w:ascii="Arial" w:hAnsi="Arial"/>
              </w:rPr>
              <w:t>90,379,591</w:t>
            </w:r>
          </w:p>
        </w:tc>
        <w:tc>
          <w:tcPr>
            <w:tcW w:w="2394" w:type="dxa"/>
          </w:tcPr>
          <w:p w14:paraId="61234E48" w14:textId="41F10B85" w:rsidR="00C27145" w:rsidRDefault="00936AD1">
            <w:pPr>
              <w:pStyle w:val="List"/>
              <w:tabs>
                <w:tab w:val="left" w:pos="360"/>
              </w:tabs>
              <w:spacing w:before="0" w:line="280" w:lineRule="exact"/>
              <w:ind w:left="0" w:firstLine="0"/>
              <w:jc w:val="center"/>
              <w:rPr>
                <w:rFonts w:ascii="Arial" w:hAnsi="Arial"/>
              </w:rPr>
            </w:pPr>
            <w:r>
              <w:rPr>
                <w:rFonts w:ascii="Arial" w:hAnsi="Arial"/>
              </w:rPr>
              <w:t>Eaze Closing Consideration</w:t>
            </w:r>
          </w:p>
        </w:tc>
        <w:tc>
          <w:tcPr>
            <w:tcW w:w="2394" w:type="dxa"/>
          </w:tcPr>
          <w:p w14:paraId="227F12B9" w14:textId="77777777" w:rsidR="00C27145" w:rsidRDefault="00C27145">
            <w:pPr>
              <w:pStyle w:val="List"/>
              <w:tabs>
                <w:tab w:val="left" w:pos="360"/>
              </w:tabs>
              <w:spacing w:before="0" w:line="280" w:lineRule="exact"/>
              <w:ind w:left="0" w:firstLine="0"/>
              <w:jc w:val="center"/>
              <w:rPr>
                <w:rFonts w:ascii="Arial" w:hAnsi="Arial"/>
              </w:rPr>
            </w:pPr>
            <w:r>
              <w:rPr>
                <w:rFonts w:ascii="Arial" w:hAnsi="Arial"/>
              </w:rPr>
              <w:t>no proceeds realized</w:t>
            </w:r>
          </w:p>
        </w:tc>
      </w:tr>
      <w:tr w:rsidR="00133330" w14:paraId="6FC7526D" w14:textId="77777777" w:rsidTr="00222A4E">
        <w:tc>
          <w:tcPr>
            <w:tcW w:w="2394" w:type="dxa"/>
          </w:tcPr>
          <w:p w14:paraId="708E077F" w14:textId="2ACAAB52" w:rsidR="00133330" w:rsidRDefault="00133330" w:rsidP="00A57B1B">
            <w:pPr>
              <w:pStyle w:val="List"/>
              <w:tabs>
                <w:tab w:val="left" w:pos="360"/>
              </w:tabs>
              <w:spacing w:before="0" w:line="280" w:lineRule="exact"/>
              <w:ind w:left="0" w:firstLine="0"/>
              <w:rPr>
                <w:rFonts w:ascii="Arial" w:hAnsi="Arial"/>
              </w:rPr>
            </w:pPr>
            <w:r>
              <w:rPr>
                <w:rFonts w:ascii="Arial" w:hAnsi="Arial"/>
              </w:rPr>
              <w:lastRenderedPageBreak/>
              <w:t>Subordinate voting shares</w:t>
            </w:r>
          </w:p>
        </w:tc>
        <w:tc>
          <w:tcPr>
            <w:tcW w:w="2394" w:type="dxa"/>
          </w:tcPr>
          <w:p w14:paraId="13C28EFF" w14:textId="103D2BE9" w:rsidR="00133330" w:rsidRDefault="00936AD1" w:rsidP="00836C8E">
            <w:pPr>
              <w:pStyle w:val="List"/>
              <w:tabs>
                <w:tab w:val="left" w:pos="360"/>
              </w:tabs>
              <w:spacing w:before="0" w:line="280" w:lineRule="exact"/>
              <w:ind w:left="0" w:firstLine="0"/>
              <w:jc w:val="center"/>
              <w:rPr>
                <w:rFonts w:ascii="Arial" w:hAnsi="Arial"/>
              </w:rPr>
            </w:pPr>
            <w:r>
              <w:rPr>
                <w:rFonts w:ascii="Arial" w:hAnsi="Arial"/>
              </w:rPr>
              <w:t>213,000,000</w:t>
            </w:r>
          </w:p>
        </w:tc>
        <w:tc>
          <w:tcPr>
            <w:tcW w:w="2394" w:type="dxa"/>
          </w:tcPr>
          <w:p w14:paraId="29F489DB" w14:textId="0E5AD8E4" w:rsidR="00133330" w:rsidRDefault="00936AD1" w:rsidP="00836C8E">
            <w:pPr>
              <w:pStyle w:val="List"/>
              <w:tabs>
                <w:tab w:val="left" w:pos="360"/>
              </w:tabs>
              <w:spacing w:before="0" w:line="280" w:lineRule="exact"/>
              <w:ind w:left="0" w:firstLine="0"/>
              <w:jc w:val="center"/>
              <w:rPr>
                <w:rFonts w:ascii="Arial" w:hAnsi="Arial"/>
              </w:rPr>
            </w:pPr>
            <w:r>
              <w:rPr>
                <w:rFonts w:ascii="Arial" w:hAnsi="Arial"/>
              </w:rPr>
              <w:t>Hawthorne Closing Consideration</w:t>
            </w:r>
          </w:p>
        </w:tc>
        <w:tc>
          <w:tcPr>
            <w:tcW w:w="2394" w:type="dxa"/>
          </w:tcPr>
          <w:p w14:paraId="25595966" w14:textId="2313EEBE" w:rsidR="00133330" w:rsidRDefault="00133330" w:rsidP="00836C8E">
            <w:pPr>
              <w:pStyle w:val="List"/>
              <w:tabs>
                <w:tab w:val="left" w:pos="360"/>
              </w:tabs>
              <w:spacing w:before="0" w:line="280" w:lineRule="exact"/>
              <w:ind w:left="0" w:firstLine="0"/>
              <w:jc w:val="center"/>
              <w:rPr>
                <w:rFonts w:ascii="Arial" w:hAnsi="Arial"/>
              </w:rPr>
            </w:pPr>
            <w:r>
              <w:rPr>
                <w:rFonts w:ascii="Arial" w:hAnsi="Arial"/>
              </w:rPr>
              <w:t>no proceeds realized</w:t>
            </w:r>
          </w:p>
        </w:tc>
      </w:tr>
      <w:tr w:rsidR="00936AD1" w14:paraId="4EA99F29" w14:textId="77777777" w:rsidTr="00222A4E">
        <w:tc>
          <w:tcPr>
            <w:tcW w:w="2394" w:type="dxa"/>
          </w:tcPr>
          <w:p w14:paraId="0B4B236C" w14:textId="39B4507D" w:rsidR="00936AD1" w:rsidRDefault="00936AD1" w:rsidP="00A57B1B">
            <w:pPr>
              <w:pStyle w:val="List"/>
              <w:tabs>
                <w:tab w:val="left" w:pos="360"/>
              </w:tabs>
              <w:spacing w:before="0" w:line="280" w:lineRule="exact"/>
              <w:ind w:left="0" w:firstLine="0"/>
              <w:rPr>
                <w:rFonts w:ascii="Arial" w:hAnsi="Arial"/>
              </w:rPr>
            </w:pPr>
            <w:r>
              <w:rPr>
                <w:rFonts w:ascii="Arial" w:hAnsi="Arial"/>
              </w:rPr>
              <w:t>Warrants</w:t>
            </w:r>
          </w:p>
        </w:tc>
        <w:tc>
          <w:tcPr>
            <w:tcW w:w="2394" w:type="dxa"/>
          </w:tcPr>
          <w:p w14:paraId="5C9A8EFE" w14:textId="64D534BB" w:rsidR="00936AD1" w:rsidRDefault="00936AD1" w:rsidP="00836C8E">
            <w:pPr>
              <w:pStyle w:val="List"/>
              <w:tabs>
                <w:tab w:val="left" w:pos="360"/>
              </w:tabs>
              <w:spacing w:before="0" w:line="280" w:lineRule="exact"/>
              <w:ind w:left="0" w:firstLine="0"/>
              <w:jc w:val="center"/>
              <w:rPr>
                <w:rFonts w:ascii="Arial" w:hAnsi="Arial"/>
              </w:rPr>
            </w:pPr>
            <w:r>
              <w:rPr>
                <w:rFonts w:ascii="Arial" w:hAnsi="Arial"/>
              </w:rPr>
              <w:t>80,000,000</w:t>
            </w:r>
          </w:p>
        </w:tc>
        <w:tc>
          <w:tcPr>
            <w:tcW w:w="2394" w:type="dxa"/>
          </w:tcPr>
          <w:p w14:paraId="306C9F49" w14:textId="184F083A" w:rsidR="00936AD1" w:rsidRDefault="00936AD1" w:rsidP="00836C8E">
            <w:pPr>
              <w:pStyle w:val="List"/>
              <w:tabs>
                <w:tab w:val="left" w:pos="360"/>
              </w:tabs>
              <w:spacing w:before="0" w:line="280" w:lineRule="exact"/>
              <w:ind w:left="0" w:firstLine="0"/>
              <w:jc w:val="center"/>
              <w:rPr>
                <w:rFonts w:ascii="Arial" w:hAnsi="Arial"/>
              </w:rPr>
            </w:pPr>
            <w:r>
              <w:rPr>
                <w:rFonts w:ascii="Arial" w:hAnsi="Arial"/>
              </w:rPr>
              <w:t>Hawthorne Warrant Closing Consideration</w:t>
            </w:r>
          </w:p>
        </w:tc>
        <w:tc>
          <w:tcPr>
            <w:tcW w:w="2394" w:type="dxa"/>
          </w:tcPr>
          <w:p w14:paraId="52277468" w14:textId="77777777" w:rsidR="00936AD1" w:rsidRDefault="00936AD1" w:rsidP="00836C8E">
            <w:pPr>
              <w:pStyle w:val="List"/>
              <w:tabs>
                <w:tab w:val="left" w:pos="360"/>
              </w:tabs>
              <w:spacing w:before="0" w:line="280" w:lineRule="exact"/>
              <w:ind w:left="0" w:firstLine="0"/>
              <w:jc w:val="center"/>
              <w:rPr>
                <w:rFonts w:ascii="Arial" w:hAnsi="Arial"/>
              </w:rPr>
            </w:pPr>
          </w:p>
        </w:tc>
      </w:tr>
      <w:tr w:rsidR="00836C8E" w14:paraId="76E5650F" w14:textId="77777777" w:rsidTr="00222A4E">
        <w:tc>
          <w:tcPr>
            <w:tcW w:w="2394" w:type="dxa"/>
          </w:tcPr>
          <w:p w14:paraId="511D9902" w14:textId="77777777" w:rsidR="00836C8E" w:rsidRDefault="00836C8E" w:rsidP="00A57B1B">
            <w:pPr>
              <w:pStyle w:val="List"/>
              <w:tabs>
                <w:tab w:val="left" w:pos="360"/>
              </w:tabs>
              <w:spacing w:before="0" w:line="280" w:lineRule="exact"/>
              <w:ind w:left="0" w:firstLine="0"/>
              <w:rPr>
                <w:rFonts w:ascii="Arial" w:hAnsi="Arial"/>
              </w:rPr>
            </w:pPr>
            <w:r>
              <w:rPr>
                <w:rFonts w:ascii="Arial" w:hAnsi="Arial"/>
              </w:rPr>
              <w:t>Restricted share units</w:t>
            </w:r>
          </w:p>
        </w:tc>
        <w:tc>
          <w:tcPr>
            <w:tcW w:w="2394" w:type="dxa"/>
          </w:tcPr>
          <w:p w14:paraId="7783B891" w14:textId="0627635D" w:rsidR="00836C8E" w:rsidRDefault="00936AD1" w:rsidP="00836C8E">
            <w:pPr>
              <w:pStyle w:val="List"/>
              <w:tabs>
                <w:tab w:val="left" w:pos="360"/>
              </w:tabs>
              <w:spacing w:before="0" w:line="280" w:lineRule="exact"/>
              <w:ind w:left="0" w:firstLine="0"/>
              <w:jc w:val="center"/>
              <w:rPr>
                <w:rFonts w:ascii="Arial" w:hAnsi="Arial"/>
              </w:rPr>
            </w:pPr>
            <w:r>
              <w:rPr>
                <w:rFonts w:ascii="Arial" w:hAnsi="Arial"/>
              </w:rPr>
              <w:t>[</w:t>
            </w:r>
            <w:r w:rsidR="00932B27">
              <w:rPr>
                <w:rFonts w:ascii="Arial" w:hAnsi="Arial"/>
              </w:rPr>
              <w:t>0</w:t>
            </w:r>
            <w:r>
              <w:rPr>
                <w:rFonts w:ascii="Arial" w:hAnsi="Arial"/>
              </w:rPr>
              <w:t>]</w:t>
            </w:r>
          </w:p>
        </w:tc>
        <w:tc>
          <w:tcPr>
            <w:tcW w:w="2394" w:type="dxa"/>
          </w:tcPr>
          <w:p w14:paraId="134C8086" w14:textId="17540B98" w:rsidR="00836C8E" w:rsidRDefault="00836C8E" w:rsidP="00836C8E">
            <w:pPr>
              <w:pStyle w:val="List"/>
              <w:tabs>
                <w:tab w:val="left" w:pos="360"/>
              </w:tabs>
              <w:spacing w:before="0" w:line="280" w:lineRule="exact"/>
              <w:ind w:left="0" w:firstLine="0"/>
              <w:jc w:val="center"/>
              <w:rPr>
                <w:rFonts w:ascii="Arial" w:hAnsi="Arial"/>
              </w:rPr>
            </w:pPr>
          </w:p>
        </w:tc>
        <w:tc>
          <w:tcPr>
            <w:tcW w:w="2394" w:type="dxa"/>
          </w:tcPr>
          <w:p w14:paraId="78EB533E" w14:textId="77777777" w:rsidR="00836C8E" w:rsidRDefault="00836C8E" w:rsidP="00836C8E">
            <w:pPr>
              <w:pStyle w:val="List"/>
              <w:tabs>
                <w:tab w:val="left" w:pos="360"/>
              </w:tabs>
              <w:spacing w:before="0" w:line="280" w:lineRule="exact"/>
              <w:ind w:left="0" w:firstLine="0"/>
              <w:jc w:val="center"/>
              <w:rPr>
                <w:rFonts w:ascii="Arial" w:hAnsi="Arial"/>
              </w:rPr>
            </w:pPr>
            <w:r>
              <w:rPr>
                <w:rFonts w:ascii="Arial" w:hAnsi="Arial"/>
              </w:rPr>
              <w:t>no proceeds realized</w:t>
            </w:r>
          </w:p>
        </w:tc>
      </w:tr>
      <w:tr w:rsidR="00836C8E" w14:paraId="3AC2A9F4" w14:textId="77777777" w:rsidTr="00222A4E">
        <w:tc>
          <w:tcPr>
            <w:tcW w:w="2394" w:type="dxa"/>
          </w:tcPr>
          <w:p w14:paraId="5962F43F" w14:textId="77777777" w:rsidR="00836C8E" w:rsidRDefault="00836C8E" w:rsidP="00A57B1B">
            <w:pPr>
              <w:pStyle w:val="List"/>
              <w:tabs>
                <w:tab w:val="left" w:pos="360"/>
              </w:tabs>
              <w:spacing w:before="0" w:line="280" w:lineRule="exact"/>
              <w:ind w:left="0" w:firstLine="0"/>
              <w:rPr>
                <w:rFonts w:ascii="Arial" w:hAnsi="Arial"/>
              </w:rPr>
            </w:pPr>
            <w:r>
              <w:rPr>
                <w:rFonts w:ascii="Arial" w:hAnsi="Arial"/>
              </w:rPr>
              <w:t>Options</w:t>
            </w:r>
          </w:p>
        </w:tc>
        <w:tc>
          <w:tcPr>
            <w:tcW w:w="2394" w:type="dxa"/>
          </w:tcPr>
          <w:p w14:paraId="44410235" w14:textId="175B16E0" w:rsidR="00836C8E" w:rsidRDefault="00936AD1" w:rsidP="00836C8E">
            <w:pPr>
              <w:pStyle w:val="List"/>
              <w:tabs>
                <w:tab w:val="left" w:pos="360"/>
              </w:tabs>
              <w:spacing w:before="0" w:line="280" w:lineRule="exact"/>
              <w:ind w:left="0" w:firstLine="0"/>
              <w:jc w:val="center"/>
              <w:rPr>
                <w:rFonts w:ascii="Arial" w:hAnsi="Arial"/>
              </w:rPr>
            </w:pPr>
            <w:r>
              <w:rPr>
                <w:rFonts w:ascii="Arial" w:hAnsi="Arial"/>
              </w:rPr>
              <w:t>[</w:t>
            </w:r>
            <w:r w:rsidR="00932B27">
              <w:rPr>
                <w:rFonts w:ascii="Arial" w:hAnsi="Arial"/>
              </w:rPr>
              <w:t>0</w:t>
            </w:r>
            <w:r>
              <w:rPr>
                <w:rFonts w:ascii="Arial" w:hAnsi="Arial"/>
              </w:rPr>
              <w:t>]</w:t>
            </w:r>
          </w:p>
        </w:tc>
        <w:tc>
          <w:tcPr>
            <w:tcW w:w="2394" w:type="dxa"/>
          </w:tcPr>
          <w:p w14:paraId="0CFE859F" w14:textId="0E4D95CC" w:rsidR="00836C8E" w:rsidRDefault="00836C8E" w:rsidP="00836C8E">
            <w:pPr>
              <w:pStyle w:val="List"/>
              <w:tabs>
                <w:tab w:val="left" w:pos="360"/>
              </w:tabs>
              <w:spacing w:before="0" w:line="280" w:lineRule="exact"/>
              <w:ind w:left="0" w:firstLine="0"/>
              <w:jc w:val="center"/>
              <w:rPr>
                <w:rFonts w:ascii="Arial" w:hAnsi="Arial"/>
              </w:rPr>
            </w:pPr>
          </w:p>
        </w:tc>
        <w:tc>
          <w:tcPr>
            <w:tcW w:w="2394" w:type="dxa"/>
          </w:tcPr>
          <w:p w14:paraId="1B58DA7D" w14:textId="77777777" w:rsidR="00836C8E" w:rsidRDefault="00836C8E" w:rsidP="00836C8E">
            <w:pPr>
              <w:pStyle w:val="List"/>
              <w:tabs>
                <w:tab w:val="left" w:pos="360"/>
              </w:tabs>
              <w:spacing w:before="0" w:line="280" w:lineRule="exact"/>
              <w:ind w:left="0" w:firstLine="0"/>
              <w:jc w:val="center"/>
              <w:rPr>
                <w:rFonts w:ascii="Arial" w:hAnsi="Arial"/>
              </w:rPr>
            </w:pPr>
            <w:r>
              <w:rPr>
                <w:rFonts w:ascii="Arial" w:hAnsi="Arial"/>
              </w:rPr>
              <w:t>no proceeds realized</w:t>
            </w:r>
          </w:p>
        </w:tc>
      </w:tr>
    </w:tbl>
    <w:p w14:paraId="3B304D93" w14:textId="690BFB50" w:rsidR="00C27145" w:rsidRPr="00836C8E" w:rsidRDefault="00C27145" w:rsidP="00836C8E">
      <w:pPr>
        <w:pStyle w:val="List"/>
        <w:tabs>
          <w:tab w:val="left" w:pos="360"/>
        </w:tabs>
        <w:spacing w:before="120"/>
        <w:ind w:left="0" w:firstLine="0"/>
        <w:jc w:val="both"/>
        <w:rPr>
          <w:rFonts w:ascii="Arial" w:hAnsi="Arial"/>
          <w:i/>
        </w:rPr>
      </w:pPr>
      <w:r>
        <w:rPr>
          <w:rFonts w:ascii="Arial" w:hAnsi="Arial"/>
          <w:i/>
        </w:rPr>
        <w:t>(1)</w:t>
      </w:r>
      <w:r>
        <w:rPr>
          <w:rFonts w:ascii="Arial" w:hAnsi="Arial"/>
          <w:i/>
        </w:rPr>
        <w:tab/>
        <w:t>State aggregate proceeds and intended allocation of proceeds.</w:t>
      </w:r>
    </w:p>
    <w:p w14:paraId="2A7ED0F5" w14:textId="03A7107D"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56942B38" w14:textId="35D32F39" w:rsidR="00D87091" w:rsidRPr="00D87091" w:rsidRDefault="00D87091" w:rsidP="00D87091">
      <w:pPr>
        <w:pStyle w:val="List"/>
        <w:keepNext/>
        <w:keepLines/>
        <w:spacing w:before="120"/>
        <w:ind w:left="720" w:firstLine="0"/>
        <w:jc w:val="both"/>
        <w:rPr>
          <w:rFonts w:ascii="Arial" w:hAnsi="Arial"/>
          <w:b/>
          <w:bCs/>
        </w:rPr>
      </w:pPr>
      <w:r w:rsidRPr="00D87091">
        <w:rPr>
          <w:rFonts w:ascii="Arial" w:hAnsi="Arial"/>
          <w:b/>
          <w:bCs/>
          <w:lang w:val="en-US"/>
        </w:rPr>
        <w:t>No loans have been granted to or by Related Persons in the reporting period.</w:t>
      </w:r>
    </w:p>
    <w:p w14:paraId="5E230C29" w14:textId="15CF8E56"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0CF73B88" w14:textId="655C1169" w:rsidR="00D87091" w:rsidRDefault="00936AD1" w:rsidP="00D87091">
      <w:pPr>
        <w:pStyle w:val="List"/>
        <w:spacing w:before="120"/>
        <w:ind w:left="720" w:firstLine="0"/>
        <w:jc w:val="both"/>
        <w:rPr>
          <w:rFonts w:ascii="Arial" w:hAnsi="Arial"/>
        </w:rPr>
      </w:pPr>
      <w:r>
        <w:rPr>
          <w:rFonts w:ascii="Arial" w:hAnsi="Arial"/>
          <w:b/>
          <w:bCs/>
          <w:lang w:val="en-US"/>
        </w:rPr>
        <w:t>Michael Steiner was added to the board of directors.</w:t>
      </w:r>
    </w:p>
    <w:p w14:paraId="019673D7" w14:textId="0D4AE31B"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470B5EEE" w14:textId="2CA29000" w:rsidR="00D87091" w:rsidRDefault="00D87091" w:rsidP="00D87091">
      <w:pPr>
        <w:pStyle w:val="List"/>
        <w:spacing w:before="120"/>
        <w:ind w:left="720" w:firstLine="0"/>
        <w:jc w:val="both"/>
        <w:rPr>
          <w:rFonts w:ascii="Arial" w:hAnsi="Arial"/>
        </w:rPr>
      </w:pPr>
      <w:r w:rsidRPr="00D87091">
        <w:rPr>
          <w:rFonts w:ascii="Arial" w:hAnsi="Arial"/>
          <w:b/>
          <w:lang w:val="en-US"/>
        </w:rPr>
        <w:t>This item is not applicable to the Issuer for the current reporting period</w:t>
      </w:r>
      <w:r>
        <w:rPr>
          <w:rFonts w:ascii="Arial" w:hAnsi="Arial"/>
          <w:b/>
          <w:lang w:val="en-US"/>
        </w:rPr>
        <w:t>.</w:t>
      </w:r>
    </w:p>
    <w:p w14:paraId="03E6A4A6"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424727DB" w14:textId="77777777" w:rsidR="00640E94" w:rsidRDefault="00640E94">
      <w:pPr>
        <w:pStyle w:val="BodyText"/>
        <w:keepNext/>
        <w:rPr>
          <w:rFonts w:ascii="Arial" w:hAnsi="Arial"/>
        </w:rPr>
      </w:pPr>
      <w:r>
        <w:rPr>
          <w:rFonts w:ascii="Arial" w:hAnsi="Arial"/>
        </w:rPr>
        <w:t>The undersigned hereby certifies that:</w:t>
      </w:r>
    </w:p>
    <w:p w14:paraId="3ED0E0B2"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6E48E8F9" w14:textId="77777777" w:rsidR="00640E94" w:rsidRDefault="00640E94">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7E1E9044"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75916B9F" w14:textId="77777777" w:rsidR="00640E94" w:rsidRDefault="00640E94">
      <w:pPr>
        <w:pStyle w:val="List"/>
        <w:numPr>
          <w:ilvl w:val="0"/>
          <w:numId w:val="23"/>
        </w:numPr>
        <w:jc w:val="both"/>
        <w:rPr>
          <w:rFonts w:ascii="Arial" w:hAnsi="Arial"/>
        </w:rPr>
      </w:pPr>
      <w:r>
        <w:rPr>
          <w:rFonts w:ascii="Arial" w:hAnsi="Arial"/>
        </w:rPr>
        <w:t>All of the information in this Form 7 Monthly Progress Report is true.</w:t>
      </w:r>
    </w:p>
    <w:p w14:paraId="66DABAC1" w14:textId="742CEDB1"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936AD1">
        <w:rPr>
          <w:rFonts w:ascii="Arial" w:hAnsi="Arial"/>
          <w:u w:val="single"/>
        </w:rPr>
        <w:t>May 6</w:t>
      </w:r>
      <w:r w:rsidR="00D87091" w:rsidRPr="00D87091">
        <w:rPr>
          <w:rFonts w:ascii="Arial" w:hAnsi="Arial"/>
          <w:u w:val="single"/>
        </w:rPr>
        <w:t>, 2026</w:t>
      </w:r>
      <w:r>
        <w:rPr>
          <w:rFonts w:ascii="Arial" w:hAnsi="Arial"/>
          <w:u w:val="single"/>
        </w:rPr>
        <w:tab/>
      </w:r>
      <w:r>
        <w:rPr>
          <w:rFonts w:ascii="Arial" w:hAnsi="Arial"/>
        </w:rPr>
        <w:t>.</w:t>
      </w:r>
    </w:p>
    <w:p w14:paraId="703B7206" w14:textId="46ADFB19" w:rsidR="00640E94" w:rsidRDefault="00640E94">
      <w:pPr>
        <w:pStyle w:val="List"/>
        <w:tabs>
          <w:tab w:val="left" w:pos="9180"/>
        </w:tabs>
        <w:ind w:left="5760" w:hanging="5760"/>
        <w:rPr>
          <w:rFonts w:ascii="Arial" w:hAnsi="Arial"/>
        </w:rPr>
      </w:pPr>
      <w:r>
        <w:rPr>
          <w:rFonts w:ascii="Arial" w:hAnsi="Arial"/>
        </w:rPr>
        <w:tab/>
      </w:r>
      <w:r w:rsidR="00936AD1">
        <w:rPr>
          <w:rFonts w:ascii="Arial" w:hAnsi="Arial"/>
          <w:u w:val="single"/>
        </w:rPr>
        <w:t>Tyson Macdonald</w:t>
      </w:r>
      <w:r>
        <w:rPr>
          <w:rFonts w:ascii="Arial" w:hAnsi="Arial"/>
          <w:u w:val="single"/>
        </w:rPr>
        <w:tab/>
      </w:r>
      <w:r>
        <w:rPr>
          <w:rFonts w:ascii="Arial" w:hAnsi="Arial"/>
          <w:u w:val="single"/>
        </w:rPr>
        <w:br/>
      </w:r>
      <w:r>
        <w:rPr>
          <w:rFonts w:ascii="Arial" w:hAnsi="Arial"/>
        </w:rPr>
        <w:t>Name of Director or Senior Officer</w:t>
      </w:r>
    </w:p>
    <w:p w14:paraId="3392504F" w14:textId="10929DBD" w:rsidR="00640E94" w:rsidRDefault="00640E94">
      <w:pPr>
        <w:pStyle w:val="List"/>
        <w:tabs>
          <w:tab w:val="left" w:pos="9180"/>
          <w:tab w:val="left" w:pos="9360"/>
        </w:tabs>
        <w:ind w:left="5760" w:hanging="5760"/>
        <w:rPr>
          <w:rFonts w:ascii="Arial" w:hAnsi="Arial"/>
        </w:rPr>
      </w:pPr>
      <w:r>
        <w:rPr>
          <w:rFonts w:ascii="Arial" w:hAnsi="Arial"/>
        </w:rPr>
        <w:tab/>
      </w:r>
      <w:r w:rsidR="00211938">
        <w:rPr>
          <w:rFonts w:ascii="Arial" w:hAnsi="Arial"/>
          <w:u w:val="single"/>
        </w:rPr>
        <w:t>“</w:t>
      </w:r>
      <w:r w:rsidR="00211938" w:rsidRPr="000214DB">
        <w:rPr>
          <w:rFonts w:ascii="Arial" w:hAnsi="Arial"/>
          <w:i/>
          <w:iCs/>
          <w:u w:val="single"/>
        </w:rPr>
        <w:t>Tyson Macdon</w:t>
      </w:r>
      <w:r w:rsidR="001B6CA4" w:rsidRPr="000214DB">
        <w:rPr>
          <w:rFonts w:ascii="Arial" w:hAnsi="Arial"/>
          <w:i/>
          <w:iCs/>
          <w:u w:val="single"/>
        </w:rPr>
        <w:t>ald</w:t>
      </w:r>
      <w:r w:rsidR="001B6CA4">
        <w:rPr>
          <w:rFonts w:ascii="Arial" w:hAnsi="Arial"/>
          <w:u w:val="single"/>
        </w:rPr>
        <w:t>”</w:t>
      </w:r>
      <w:r>
        <w:rPr>
          <w:rFonts w:ascii="Arial" w:hAnsi="Arial"/>
          <w:u w:val="single"/>
        </w:rPr>
        <w:tab/>
      </w:r>
      <w:r>
        <w:rPr>
          <w:rFonts w:ascii="Arial" w:hAnsi="Arial"/>
        </w:rPr>
        <w:br/>
        <w:t>Signature</w:t>
      </w:r>
    </w:p>
    <w:p w14:paraId="0F1FB18E" w14:textId="6DADC19A" w:rsidR="00640E94" w:rsidRDefault="00936AD1">
      <w:pPr>
        <w:pStyle w:val="BodyText"/>
        <w:tabs>
          <w:tab w:val="left" w:pos="9180"/>
        </w:tabs>
        <w:spacing w:before="0"/>
        <w:ind w:left="5760"/>
        <w:rPr>
          <w:rFonts w:ascii="Arial" w:hAnsi="Arial"/>
        </w:rPr>
      </w:pPr>
      <w:r>
        <w:rPr>
          <w:rFonts w:ascii="Arial" w:hAnsi="Arial"/>
          <w:u w:val="single"/>
        </w:rPr>
        <w:t>CFO</w:t>
      </w:r>
      <w:r w:rsidR="00640E94">
        <w:rPr>
          <w:rFonts w:ascii="Arial" w:hAnsi="Arial"/>
          <w:u w:val="single"/>
        </w:rPr>
        <w:tab/>
      </w:r>
      <w:r w:rsidR="00640E94">
        <w:rPr>
          <w:rFonts w:ascii="Arial" w:hAnsi="Arial"/>
        </w:rPr>
        <w:br/>
        <w:t>Official Capacity</w:t>
      </w:r>
      <w:bookmarkEnd w:id="4"/>
    </w:p>
    <w:p w14:paraId="4DEB59AB"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58DDC3A5" w14:textId="77777777">
        <w:tc>
          <w:tcPr>
            <w:tcW w:w="4878" w:type="dxa"/>
            <w:tcBorders>
              <w:top w:val="single" w:sz="18" w:space="0" w:color="auto"/>
              <w:bottom w:val="nil"/>
              <w:right w:val="single" w:sz="18" w:space="0" w:color="auto"/>
            </w:tcBorders>
          </w:tcPr>
          <w:p w14:paraId="58DBE117" w14:textId="77777777" w:rsidR="00640E94" w:rsidRDefault="00640E94">
            <w:pPr>
              <w:pStyle w:val="BodyText"/>
              <w:spacing w:before="0"/>
              <w:rPr>
                <w:rFonts w:ascii="Arial" w:hAnsi="Arial"/>
                <w:b/>
                <w:i/>
              </w:rPr>
            </w:pPr>
            <w:r>
              <w:rPr>
                <w:rFonts w:ascii="Arial" w:hAnsi="Arial"/>
                <w:b/>
                <w:i/>
              </w:rPr>
              <w:t>Issuer Details</w:t>
            </w:r>
          </w:p>
          <w:p w14:paraId="065725BF" w14:textId="77777777" w:rsidR="00640E94" w:rsidRDefault="00640E94">
            <w:pPr>
              <w:pStyle w:val="BodyText"/>
              <w:spacing w:before="0"/>
              <w:rPr>
                <w:rFonts w:ascii="Arial" w:hAnsi="Arial"/>
              </w:rPr>
            </w:pPr>
            <w:r>
              <w:rPr>
                <w:rFonts w:ascii="Arial" w:hAnsi="Arial"/>
              </w:rPr>
              <w:t>Name of Issuer</w:t>
            </w:r>
          </w:p>
          <w:p w14:paraId="584FC390" w14:textId="2C6937C8" w:rsidR="00640E94" w:rsidRDefault="00D87091">
            <w:pPr>
              <w:pStyle w:val="BodyText"/>
              <w:rPr>
                <w:rFonts w:ascii="Arial" w:hAnsi="Arial"/>
              </w:rPr>
            </w:pPr>
            <w:r>
              <w:rPr>
                <w:rFonts w:ascii="Arial" w:hAnsi="Arial"/>
              </w:rPr>
              <w:t>Vireo Growth Inc.</w:t>
            </w:r>
          </w:p>
        </w:tc>
        <w:tc>
          <w:tcPr>
            <w:tcW w:w="1800" w:type="dxa"/>
            <w:tcBorders>
              <w:top w:val="single" w:sz="18" w:space="0" w:color="auto"/>
              <w:left w:val="single" w:sz="18" w:space="0" w:color="auto"/>
              <w:bottom w:val="nil"/>
              <w:right w:val="single" w:sz="18" w:space="0" w:color="auto"/>
            </w:tcBorders>
          </w:tcPr>
          <w:p w14:paraId="4CD807E4" w14:textId="77777777" w:rsidR="00D87091" w:rsidRDefault="00640E94">
            <w:pPr>
              <w:pStyle w:val="BodyText"/>
              <w:spacing w:before="0"/>
              <w:rPr>
                <w:rFonts w:ascii="Arial" w:hAnsi="Arial"/>
              </w:rPr>
            </w:pPr>
            <w:r>
              <w:rPr>
                <w:rFonts w:ascii="Arial" w:hAnsi="Arial"/>
              </w:rPr>
              <w:t>For  Month End</w:t>
            </w:r>
          </w:p>
          <w:p w14:paraId="070E477A" w14:textId="6E6B97F6" w:rsidR="00D87091" w:rsidRDefault="00936AD1">
            <w:pPr>
              <w:pStyle w:val="BodyText"/>
              <w:spacing w:before="0"/>
              <w:rPr>
                <w:rFonts w:ascii="Arial" w:hAnsi="Arial"/>
              </w:rPr>
            </w:pPr>
            <w:r>
              <w:rPr>
                <w:rFonts w:ascii="Arial" w:hAnsi="Arial"/>
              </w:rPr>
              <w:t>April</w:t>
            </w:r>
            <w:r w:rsidR="00222A4E">
              <w:rPr>
                <w:rFonts w:ascii="Arial" w:hAnsi="Arial"/>
              </w:rPr>
              <w:t xml:space="preserve"> </w:t>
            </w:r>
            <w:r w:rsidR="00D87091">
              <w:rPr>
                <w:rFonts w:ascii="Arial" w:hAnsi="Arial"/>
              </w:rPr>
              <w:t>202</w:t>
            </w:r>
            <w:r w:rsidR="00836C8E">
              <w:rPr>
                <w:rFonts w:ascii="Arial" w:hAnsi="Arial"/>
              </w:rPr>
              <w:t>6</w:t>
            </w:r>
          </w:p>
        </w:tc>
        <w:tc>
          <w:tcPr>
            <w:tcW w:w="2898" w:type="dxa"/>
            <w:tcBorders>
              <w:top w:val="single" w:sz="18" w:space="0" w:color="auto"/>
              <w:left w:val="single" w:sz="18" w:space="0" w:color="auto"/>
              <w:bottom w:val="nil"/>
            </w:tcBorders>
          </w:tcPr>
          <w:p w14:paraId="49D8D6D5" w14:textId="77777777" w:rsidR="00640E94" w:rsidRDefault="00640E94">
            <w:pPr>
              <w:pStyle w:val="BodyText"/>
              <w:spacing w:before="0"/>
              <w:rPr>
                <w:rFonts w:ascii="Arial" w:hAnsi="Arial"/>
              </w:rPr>
            </w:pPr>
            <w:r>
              <w:rPr>
                <w:rFonts w:ascii="Arial" w:hAnsi="Arial"/>
              </w:rPr>
              <w:t>Date of Report</w:t>
            </w:r>
          </w:p>
          <w:p w14:paraId="427E7B99" w14:textId="77777777" w:rsidR="00640E94" w:rsidRDefault="00640E94">
            <w:pPr>
              <w:pStyle w:val="BodyText"/>
              <w:spacing w:before="0"/>
              <w:rPr>
                <w:rFonts w:ascii="Arial" w:hAnsi="Arial"/>
              </w:rPr>
            </w:pPr>
            <w:r>
              <w:rPr>
                <w:rFonts w:ascii="Arial" w:hAnsi="Arial"/>
              </w:rPr>
              <w:t>YY/MM/D</w:t>
            </w:r>
          </w:p>
          <w:p w14:paraId="234ACD52" w14:textId="77777777" w:rsidR="00D87091" w:rsidRDefault="00D87091">
            <w:pPr>
              <w:pStyle w:val="BodyText"/>
              <w:spacing w:before="0"/>
              <w:rPr>
                <w:rFonts w:ascii="Arial" w:hAnsi="Arial"/>
              </w:rPr>
            </w:pPr>
          </w:p>
          <w:p w14:paraId="1EB6761C" w14:textId="3A15A37B" w:rsidR="00D87091" w:rsidRDefault="00D87091">
            <w:pPr>
              <w:pStyle w:val="BodyText"/>
              <w:spacing w:before="0"/>
              <w:rPr>
                <w:rFonts w:ascii="Arial" w:hAnsi="Arial"/>
              </w:rPr>
            </w:pPr>
            <w:r>
              <w:rPr>
                <w:rFonts w:ascii="Arial" w:hAnsi="Arial"/>
              </w:rPr>
              <w:t>26/0</w:t>
            </w:r>
            <w:r w:rsidR="00936AD1">
              <w:rPr>
                <w:rFonts w:ascii="Arial" w:hAnsi="Arial"/>
              </w:rPr>
              <w:t>5</w:t>
            </w:r>
            <w:r>
              <w:rPr>
                <w:rFonts w:ascii="Arial" w:hAnsi="Arial"/>
              </w:rPr>
              <w:t>/0</w:t>
            </w:r>
            <w:r w:rsidR="00936AD1">
              <w:rPr>
                <w:rFonts w:ascii="Arial" w:hAnsi="Arial"/>
              </w:rPr>
              <w:t>6</w:t>
            </w:r>
          </w:p>
        </w:tc>
      </w:tr>
      <w:tr w:rsidR="00640E94" w14:paraId="3ED8D339" w14:textId="77777777">
        <w:trPr>
          <w:cantSplit/>
        </w:trPr>
        <w:tc>
          <w:tcPr>
            <w:tcW w:w="9576" w:type="dxa"/>
            <w:gridSpan w:val="3"/>
            <w:tcBorders>
              <w:top w:val="single" w:sz="18" w:space="0" w:color="auto"/>
              <w:bottom w:val="single" w:sz="18" w:space="0" w:color="auto"/>
            </w:tcBorders>
          </w:tcPr>
          <w:p w14:paraId="4EA788FA" w14:textId="77777777" w:rsidR="00640E94" w:rsidRDefault="00640E94">
            <w:pPr>
              <w:pStyle w:val="BodyText"/>
              <w:spacing w:before="0"/>
              <w:rPr>
                <w:rFonts w:ascii="Arial" w:hAnsi="Arial"/>
              </w:rPr>
            </w:pPr>
            <w:r>
              <w:rPr>
                <w:rFonts w:ascii="Arial" w:hAnsi="Arial"/>
              </w:rPr>
              <w:t>Issuer Address</w:t>
            </w:r>
          </w:p>
          <w:p w14:paraId="0C3EB837" w14:textId="77777777" w:rsidR="00640E94" w:rsidRDefault="00640E94">
            <w:pPr>
              <w:pStyle w:val="BodyText"/>
              <w:spacing w:before="0"/>
              <w:rPr>
                <w:rFonts w:ascii="Arial" w:hAnsi="Arial"/>
              </w:rPr>
            </w:pPr>
          </w:p>
          <w:p w14:paraId="5D2DBDD7" w14:textId="1233D830" w:rsidR="00640E94" w:rsidRDefault="00D87091">
            <w:pPr>
              <w:pStyle w:val="BodyText"/>
              <w:spacing w:before="0"/>
              <w:rPr>
                <w:rFonts w:ascii="Arial" w:hAnsi="Arial"/>
              </w:rPr>
            </w:pPr>
            <w:r w:rsidRPr="00D87091">
              <w:rPr>
                <w:rFonts w:ascii="Arial" w:hAnsi="Arial"/>
                <w:lang w:val="en-CA"/>
              </w:rPr>
              <w:t>2200-1021 West Hastings Street </w:t>
            </w:r>
          </w:p>
        </w:tc>
      </w:tr>
      <w:tr w:rsidR="00640E94" w14:paraId="7715AD51" w14:textId="77777777">
        <w:tc>
          <w:tcPr>
            <w:tcW w:w="4878" w:type="dxa"/>
            <w:tcBorders>
              <w:top w:val="single" w:sz="18" w:space="0" w:color="auto"/>
              <w:bottom w:val="single" w:sz="18" w:space="0" w:color="auto"/>
              <w:right w:val="single" w:sz="18" w:space="0" w:color="auto"/>
            </w:tcBorders>
          </w:tcPr>
          <w:p w14:paraId="1F2BFDB0" w14:textId="77777777" w:rsidR="00640E94" w:rsidRDefault="00640E94">
            <w:pPr>
              <w:pStyle w:val="BodyText"/>
              <w:spacing w:before="0"/>
              <w:rPr>
                <w:rFonts w:ascii="Arial" w:hAnsi="Arial"/>
              </w:rPr>
            </w:pPr>
            <w:r>
              <w:rPr>
                <w:rFonts w:ascii="Arial" w:hAnsi="Arial"/>
              </w:rPr>
              <w:t>City/Province/Postal Code</w:t>
            </w:r>
          </w:p>
          <w:p w14:paraId="75B00374" w14:textId="77777777" w:rsidR="00640E94" w:rsidRDefault="00640E94">
            <w:pPr>
              <w:pStyle w:val="BodyText"/>
              <w:spacing w:before="0"/>
              <w:rPr>
                <w:rFonts w:ascii="Arial" w:hAnsi="Arial"/>
              </w:rPr>
            </w:pPr>
          </w:p>
          <w:p w14:paraId="7C817405" w14:textId="4CE2D259" w:rsidR="00640E94" w:rsidRDefault="00D87091">
            <w:pPr>
              <w:pStyle w:val="BodyText"/>
              <w:spacing w:before="0"/>
              <w:rPr>
                <w:rFonts w:ascii="Arial" w:hAnsi="Arial"/>
              </w:rPr>
            </w:pPr>
            <w:r>
              <w:rPr>
                <w:rFonts w:ascii="Arial" w:hAnsi="Arial"/>
              </w:rPr>
              <w:t>Vancouver/BC/V6E0C3</w:t>
            </w:r>
          </w:p>
        </w:tc>
        <w:tc>
          <w:tcPr>
            <w:tcW w:w="1800" w:type="dxa"/>
            <w:tcBorders>
              <w:top w:val="single" w:sz="18" w:space="0" w:color="auto"/>
              <w:left w:val="single" w:sz="18" w:space="0" w:color="auto"/>
              <w:bottom w:val="single" w:sz="18" w:space="0" w:color="auto"/>
              <w:right w:val="single" w:sz="18" w:space="0" w:color="auto"/>
            </w:tcBorders>
          </w:tcPr>
          <w:p w14:paraId="0D4CDFD3" w14:textId="77777777" w:rsidR="00640E94" w:rsidRDefault="00640E94">
            <w:pPr>
              <w:pStyle w:val="BodyText"/>
              <w:spacing w:before="0"/>
              <w:rPr>
                <w:rFonts w:ascii="Arial" w:hAnsi="Arial"/>
              </w:rPr>
            </w:pPr>
            <w:r>
              <w:rPr>
                <w:rFonts w:ascii="Arial" w:hAnsi="Arial"/>
              </w:rPr>
              <w:t>Issuer Fax No.</w:t>
            </w:r>
          </w:p>
          <w:p w14:paraId="59336CCE" w14:textId="77777777" w:rsidR="00640E94" w:rsidRDefault="00640E94">
            <w:pPr>
              <w:pStyle w:val="BodyText"/>
              <w:spacing w:before="0"/>
              <w:rPr>
                <w:rFonts w:ascii="Arial" w:hAnsi="Arial"/>
              </w:rPr>
            </w:pPr>
            <w:r>
              <w:rPr>
                <w:rFonts w:ascii="Arial" w:hAnsi="Arial"/>
              </w:rPr>
              <w:t>(     )</w:t>
            </w:r>
          </w:p>
        </w:tc>
        <w:tc>
          <w:tcPr>
            <w:tcW w:w="2898" w:type="dxa"/>
            <w:tcBorders>
              <w:top w:val="single" w:sz="18" w:space="0" w:color="auto"/>
              <w:left w:val="single" w:sz="18" w:space="0" w:color="auto"/>
              <w:bottom w:val="single" w:sz="18" w:space="0" w:color="auto"/>
            </w:tcBorders>
          </w:tcPr>
          <w:p w14:paraId="24E1FBCC" w14:textId="77777777" w:rsidR="00640E94" w:rsidRDefault="00640E94">
            <w:pPr>
              <w:pStyle w:val="BodyText"/>
              <w:spacing w:before="0"/>
              <w:rPr>
                <w:rFonts w:ascii="Arial" w:hAnsi="Arial"/>
              </w:rPr>
            </w:pPr>
            <w:r>
              <w:rPr>
                <w:rFonts w:ascii="Arial" w:hAnsi="Arial"/>
              </w:rPr>
              <w:t>Issuer Telephone No.</w:t>
            </w:r>
          </w:p>
          <w:p w14:paraId="0C85763D" w14:textId="6FC4D71A" w:rsidR="00640E94" w:rsidRDefault="00640E94">
            <w:pPr>
              <w:pStyle w:val="BodyText"/>
              <w:spacing w:before="0"/>
              <w:rPr>
                <w:rFonts w:ascii="Arial" w:hAnsi="Arial"/>
              </w:rPr>
            </w:pPr>
            <w:r>
              <w:rPr>
                <w:rFonts w:ascii="Arial" w:hAnsi="Arial"/>
              </w:rPr>
              <w:t xml:space="preserve">( </w:t>
            </w:r>
            <w:r w:rsidR="00D87091">
              <w:rPr>
                <w:rFonts w:ascii="Arial" w:hAnsi="Arial"/>
              </w:rPr>
              <w:t>612</w:t>
            </w:r>
            <w:r>
              <w:rPr>
                <w:rFonts w:ascii="Arial" w:hAnsi="Arial"/>
              </w:rPr>
              <w:t xml:space="preserve"> )</w:t>
            </w:r>
            <w:r w:rsidR="00D87091">
              <w:rPr>
                <w:rFonts w:ascii="Arial" w:hAnsi="Arial"/>
              </w:rPr>
              <w:t xml:space="preserve"> 314-8996</w:t>
            </w:r>
          </w:p>
        </w:tc>
      </w:tr>
      <w:tr w:rsidR="00640E94" w14:paraId="5AD6BB63" w14:textId="77777777">
        <w:tc>
          <w:tcPr>
            <w:tcW w:w="4878" w:type="dxa"/>
            <w:tcBorders>
              <w:top w:val="single" w:sz="18" w:space="0" w:color="auto"/>
              <w:bottom w:val="single" w:sz="18" w:space="0" w:color="auto"/>
              <w:right w:val="single" w:sz="18" w:space="0" w:color="auto"/>
            </w:tcBorders>
          </w:tcPr>
          <w:p w14:paraId="15A6EE3F" w14:textId="77777777" w:rsidR="00640E94" w:rsidRDefault="00640E94">
            <w:pPr>
              <w:pStyle w:val="BodyText"/>
              <w:spacing w:before="0"/>
              <w:rPr>
                <w:rFonts w:ascii="Arial" w:hAnsi="Arial"/>
              </w:rPr>
            </w:pPr>
            <w:r>
              <w:rPr>
                <w:rFonts w:ascii="Arial" w:hAnsi="Arial"/>
              </w:rPr>
              <w:t>Contact Name</w:t>
            </w:r>
          </w:p>
          <w:p w14:paraId="400E9711" w14:textId="77777777" w:rsidR="00640E94" w:rsidRDefault="00640E94">
            <w:pPr>
              <w:pStyle w:val="BodyText"/>
              <w:spacing w:before="0"/>
              <w:rPr>
                <w:rFonts w:ascii="Arial" w:hAnsi="Arial"/>
              </w:rPr>
            </w:pPr>
          </w:p>
          <w:p w14:paraId="0AC63927" w14:textId="378715BC" w:rsidR="00640E94" w:rsidRDefault="00936AD1">
            <w:pPr>
              <w:pStyle w:val="BodyText"/>
              <w:spacing w:before="0"/>
              <w:rPr>
                <w:rFonts w:ascii="Arial" w:hAnsi="Arial"/>
              </w:rPr>
            </w:pPr>
            <w:r>
              <w:rPr>
                <w:rFonts w:ascii="Arial" w:hAnsi="Arial"/>
              </w:rPr>
              <w:t>Tyson Macdonald</w:t>
            </w:r>
          </w:p>
        </w:tc>
        <w:tc>
          <w:tcPr>
            <w:tcW w:w="1800" w:type="dxa"/>
            <w:tcBorders>
              <w:top w:val="single" w:sz="18" w:space="0" w:color="auto"/>
              <w:left w:val="single" w:sz="18" w:space="0" w:color="auto"/>
              <w:bottom w:val="single" w:sz="18" w:space="0" w:color="auto"/>
              <w:right w:val="single" w:sz="18" w:space="0" w:color="auto"/>
            </w:tcBorders>
          </w:tcPr>
          <w:p w14:paraId="0369C6A9" w14:textId="77777777" w:rsidR="00640E94" w:rsidRDefault="00640E94">
            <w:pPr>
              <w:pStyle w:val="BodyText"/>
              <w:spacing w:before="0"/>
              <w:rPr>
                <w:rFonts w:ascii="Arial" w:hAnsi="Arial"/>
              </w:rPr>
            </w:pPr>
            <w:r>
              <w:rPr>
                <w:rFonts w:ascii="Arial" w:hAnsi="Arial"/>
              </w:rPr>
              <w:t>Contact Position</w:t>
            </w:r>
          </w:p>
          <w:p w14:paraId="718B35B4" w14:textId="76091604" w:rsidR="00D87091" w:rsidRDefault="00D87091">
            <w:pPr>
              <w:pStyle w:val="BodyText"/>
              <w:spacing w:before="0"/>
              <w:rPr>
                <w:rFonts w:ascii="Arial" w:hAnsi="Arial"/>
              </w:rPr>
            </w:pPr>
            <w:r>
              <w:rPr>
                <w:rFonts w:ascii="Arial" w:hAnsi="Arial"/>
              </w:rPr>
              <w:t>CEO</w:t>
            </w:r>
          </w:p>
        </w:tc>
        <w:tc>
          <w:tcPr>
            <w:tcW w:w="2898" w:type="dxa"/>
            <w:tcBorders>
              <w:top w:val="single" w:sz="18" w:space="0" w:color="auto"/>
              <w:left w:val="single" w:sz="18" w:space="0" w:color="auto"/>
              <w:bottom w:val="single" w:sz="18" w:space="0" w:color="auto"/>
            </w:tcBorders>
          </w:tcPr>
          <w:p w14:paraId="01FFAE50" w14:textId="77777777" w:rsidR="00640E94" w:rsidRDefault="00640E94">
            <w:pPr>
              <w:pStyle w:val="BodyText"/>
              <w:spacing w:before="0"/>
              <w:rPr>
                <w:rFonts w:ascii="Arial" w:hAnsi="Arial"/>
              </w:rPr>
            </w:pPr>
            <w:r>
              <w:rPr>
                <w:rFonts w:ascii="Arial" w:hAnsi="Arial"/>
              </w:rPr>
              <w:t>Contact Telephone No.</w:t>
            </w:r>
          </w:p>
          <w:p w14:paraId="04981E80" w14:textId="48CEF1DA" w:rsidR="00D87091" w:rsidRDefault="00D87091">
            <w:pPr>
              <w:pStyle w:val="BodyText"/>
              <w:spacing w:before="0"/>
              <w:rPr>
                <w:rFonts w:ascii="Arial" w:hAnsi="Arial"/>
              </w:rPr>
            </w:pPr>
            <w:r>
              <w:rPr>
                <w:rFonts w:ascii="Arial" w:hAnsi="Arial"/>
              </w:rPr>
              <w:t>( 612 ) 314-8996</w:t>
            </w:r>
          </w:p>
        </w:tc>
      </w:tr>
      <w:tr w:rsidR="00640E94" w14:paraId="022810EF" w14:textId="77777777">
        <w:trPr>
          <w:cantSplit/>
        </w:trPr>
        <w:tc>
          <w:tcPr>
            <w:tcW w:w="4878" w:type="dxa"/>
            <w:tcBorders>
              <w:top w:val="single" w:sz="18" w:space="0" w:color="auto"/>
              <w:bottom w:val="single" w:sz="18" w:space="0" w:color="auto"/>
              <w:right w:val="single" w:sz="18" w:space="0" w:color="auto"/>
            </w:tcBorders>
          </w:tcPr>
          <w:p w14:paraId="7ADFA937" w14:textId="77777777" w:rsidR="00640E94" w:rsidRPr="002A2FB9" w:rsidRDefault="00640E94">
            <w:pPr>
              <w:pStyle w:val="BodyText"/>
              <w:spacing w:before="0"/>
              <w:rPr>
                <w:rFonts w:ascii="Arial" w:hAnsi="Arial"/>
                <w:lang w:val="fr-FR"/>
              </w:rPr>
            </w:pPr>
            <w:r w:rsidRPr="002A2FB9">
              <w:rPr>
                <w:rFonts w:ascii="Arial" w:hAnsi="Arial"/>
                <w:lang w:val="fr-FR"/>
              </w:rPr>
              <w:t xml:space="preserve">Contact Email </w:t>
            </w:r>
            <w:proofErr w:type="spellStart"/>
            <w:r w:rsidRPr="002A2FB9">
              <w:rPr>
                <w:rFonts w:ascii="Arial" w:hAnsi="Arial"/>
                <w:lang w:val="fr-FR"/>
              </w:rPr>
              <w:t>Address</w:t>
            </w:r>
            <w:proofErr w:type="spellEnd"/>
          </w:p>
          <w:p w14:paraId="716BA487" w14:textId="0E85083B" w:rsidR="00640E94" w:rsidRPr="002A2FB9" w:rsidRDefault="00936AD1">
            <w:pPr>
              <w:pStyle w:val="BodyText"/>
              <w:spacing w:before="0"/>
              <w:rPr>
                <w:rFonts w:ascii="Arial" w:hAnsi="Arial"/>
                <w:lang w:val="fr-FR"/>
              </w:rPr>
            </w:pPr>
            <w:hyperlink r:id="rId12" w:history="1">
              <w:r w:rsidRPr="003F7065">
                <w:rPr>
                  <w:rStyle w:val="Hyperlink"/>
                </w:rPr>
                <w:t>tysonmacdonald@vireohealth.com</w:t>
              </w:r>
            </w:hyperlink>
            <w:r>
              <w:t xml:space="preserve"> </w:t>
            </w:r>
          </w:p>
        </w:tc>
        <w:tc>
          <w:tcPr>
            <w:tcW w:w="4698" w:type="dxa"/>
            <w:gridSpan w:val="2"/>
            <w:tcBorders>
              <w:top w:val="single" w:sz="18" w:space="0" w:color="auto"/>
              <w:left w:val="single" w:sz="18" w:space="0" w:color="auto"/>
              <w:bottom w:val="single" w:sz="18" w:space="0" w:color="auto"/>
            </w:tcBorders>
          </w:tcPr>
          <w:p w14:paraId="4993D17E" w14:textId="77777777" w:rsidR="00640E94" w:rsidRDefault="00640E94">
            <w:pPr>
              <w:pStyle w:val="BodyText"/>
              <w:spacing w:before="0"/>
              <w:rPr>
                <w:rFonts w:ascii="Arial" w:hAnsi="Arial"/>
              </w:rPr>
            </w:pPr>
            <w:r>
              <w:rPr>
                <w:rFonts w:ascii="Arial" w:hAnsi="Arial"/>
              </w:rPr>
              <w:t>Web Site Address</w:t>
            </w:r>
          </w:p>
          <w:p w14:paraId="46D8B1C1" w14:textId="3DBBF9D7" w:rsidR="00640E94" w:rsidRDefault="00D87091">
            <w:pPr>
              <w:pStyle w:val="BodyText"/>
              <w:spacing w:before="0"/>
              <w:rPr>
                <w:rFonts w:ascii="Arial" w:hAnsi="Arial"/>
              </w:rPr>
            </w:pPr>
            <w:r>
              <w:rPr>
                <w:rFonts w:ascii="Arial" w:hAnsi="Arial"/>
              </w:rPr>
              <w:t>vireogrowth.com</w:t>
            </w:r>
          </w:p>
        </w:tc>
      </w:tr>
    </w:tbl>
    <w:p w14:paraId="561E4FCE" w14:textId="77777777" w:rsidR="00640E94" w:rsidRDefault="00640E94" w:rsidP="00922A46">
      <w:pPr>
        <w:pStyle w:val="BodyText"/>
      </w:pPr>
    </w:p>
    <w:sectPr w:rsidR="00640E94" w:rsidSect="00EF19ED">
      <w:headerReference w:type="even" r:id="rId13"/>
      <w:headerReference w:type="default" r:id="rId14"/>
      <w:footerReference w:type="even" r:id="rId15"/>
      <w:footerReference w:type="default" r:id="rId16"/>
      <w:headerReference w:type="first" r:id="rId17"/>
      <w:footerReference w:type="first" r:id="rId18"/>
      <w:pgSz w:w="12240" w:h="15840" w:code="1"/>
      <w:pgMar w:top="864" w:right="1440" w:bottom="864" w:left="1440" w:header="720" w:footer="6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66A9" w14:textId="77777777" w:rsidR="00743B43" w:rsidRDefault="00743B43">
      <w:r>
        <w:separator/>
      </w:r>
    </w:p>
  </w:endnote>
  <w:endnote w:type="continuationSeparator" w:id="0">
    <w:p w14:paraId="220182ED" w14:textId="77777777" w:rsidR="00743B43" w:rsidRDefault="0074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56B" w14:textId="77777777" w:rsidR="009A3A94" w:rsidRDefault="009A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652" w14:textId="77777777" w:rsidR="00640E94" w:rsidRDefault="00640E94">
    <w:pPr>
      <w:pStyle w:val="Footer"/>
      <w:tabs>
        <w:tab w:val="clear" w:pos="4320"/>
        <w:tab w:val="clear" w:pos="8640"/>
        <w:tab w:val="center" w:pos="4680"/>
        <w:tab w:val="right" w:pos="9360"/>
      </w:tabs>
      <w:rPr>
        <w:b/>
      </w:rPr>
    </w:pPr>
  </w:p>
  <w:p w14:paraId="53FB5F9B"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6EB71F8D" wp14:editId="02424AA7">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2D1EC1">
            <v:line id="Line 7"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pt,-12pt" to="467.4pt,-12pt" w14:anchorId="54CD9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6D8F92A6"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37F9E63D" w14:textId="77777777" w:rsidR="00640E94" w:rsidRDefault="006D1A06" w:rsidP="006D1A06">
    <w:pPr>
      <w:pStyle w:val="Footer"/>
      <w:tabs>
        <w:tab w:val="clear" w:pos="8640"/>
        <w:tab w:val="left" w:pos="6930"/>
        <w:tab w:val="right" w:pos="9360"/>
      </w:tabs>
      <w:jc w:val="center"/>
      <w:rPr>
        <w:rStyle w:val="PageNumbe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p w14:paraId="6759237F" w14:textId="02133980" w:rsidR="00C27145" w:rsidRPr="006D1A06" w:rsidRDefault="00C27145" w:rsidP="00EF19ED">
    <w:pPr>
      <w:pStyle w:val="Footer"/>
      <w:tabs>
        <w:tab w:val="clear" w:pos="8640"/>
        <w:tab w:val="left" w:pos="6930"/>
        <w:tab w:val="right" w:pos="9360"/>
      </w:tabs>
      <w:spacing w:line="180" w:lineRule="exact"/>
      <w:rPr>
        <w:rFonts w:ascii="Arial" w:hAnsi="Arial" w:cs="Arial"/>
        <w:sz w:val="16"/>
        <w:szCs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21701">
      <w:rPr>
        <w:rFonts w:ascii="Arial" w:hAnsi="Arial" w:cs="Arial"/>
        <w:sz w:val="16"/>
      </w:rPr>
      <w:t>1399-0040-3227,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D2EB" w14:textId="77777777" w:rsidR="00640E94" w:rsidRDefault="00640E94">
    <w:pPr>
      <w:pStyle w:val="Footer"/>
      <w:tabs>
        <w:tab w:val="clear" w:pos="4320"/>
        <w:tab w:val="clear" w:pos="8640"/>
        <w:tab w:val="center" w:pos="4680"/>
        <w:tab w:val="right" w:pos="9360"/>
      </w:tabs>
      <w:rPr>
        <w:b/>
      </w:rPr>
    </w:pPr>
  </w:p>
  <w:p w14:paraId="2EF9585D"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4436A7D5" wp14:editId="7FD174F0">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F7EC1F">
            <v:line id="Line 5"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pt,-12pt" to="467.4pt,-12pt" w14:anchorId="6AF65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2EBFBD34"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0CCA506E"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0033" w14:textId="77777777" w:rsidR="00743B43" w:rsidRDefault="00743B43">
      <w:r>
        <w:separator/>
      </w:r>
    </w:p>
  </w:footnote>
  <w:footnote w:type="continuationSeparator" w:id="0">
    <w:p w14:paraId="2DD195F8" w14:textId="77777777" w:rsidR="00743B43" w:rsidRDefault="0074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F6C0"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69ECA7D"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0A01" w14:textId="77777777" w:rsidR="00640E94" w:rsidRDefault="00640E94">
    <w:pPr>
      <w:pStyle w:val="Header"/>
      <w:tabs>
        <w:tab w:val="clear" w:pos="8640"/>
        <w:tab w:val="right" w:pos="78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54FF" w14:textId="77777777" w:rsidR="009A3A94" w:rsidRDefault="009A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730537327">
    <w:abstractNumId w:val="16"/>
  </w:num>
  <w:num w:numId="2" w16cid:durableId="549001823">
    <w:abstractNumId w:val="20"/>
  </w:num>
  <w:num w:numId="3" w16cid:durableId="1808545311">
    <w:abstractNumId w:val="15"/>
  </w:num>
  <w:num w:numId="4" w16cid:durableId="99447558">
    <w:abstractNumId w:val="12"/>
  </w:num>
  <w:num w:numId="5" w16cid:durableId="762841069">
    <w:abstractNumId w:val="3"/>
  </w:num>
  <w:num w:numId="6" w16cid:durableId="630869154">
    <w:abstractNumId w:val="22"/>
  </w:num>
  <w:num w:numId="7" w16cid:durableId="65415950">
    <w:abstractNumId w:val="8"/>
  </w:num>
  <w:num w:numId="8" w16cid:durableId="21395944">
    <w:abstractNumId w:val="24"/>
  </w:num>
  <w:num w:numId="9" w16cid:durableId="658772309">
    <w:abstractNumId w:val="19"/>
  </w:num>
  <w:num w:numId="10" w16cid:durableId="736245063">
    <w:abstractNumId w:val="10"/>
  </w:num>
  <w:num w:numId="11" w16cid:durableId="1677417546">
    <w:abstractNumId w:val="13"/>
  </w:num>
  <w:num w:numId="12" w16cid:durableId="111677450">
    <w:abstractNumId w:val="14"/>
  </w:num>
  <w:num w:numId="13" w16cid:durableId="878661394">
    <w:abstractNumId w:val="26"/>
  </w:num>
  <w:num w:numId="14" w16cid:durableId="2009018737">
    <w:abstractNumId w:val="6"/>
  </w:num>
  <w:num w:numId="15" w16cid:durableId="1944802622">
    <w:abstractNumId w:val="9"/>
  </w:num>
  <w:num w:numId="16" w16cid:durableId="1808158753">
    <w:abstractNumId w:val="11"/>
  </w:num>
  <w:num w:numId="17" w16cid:durableId="1932228345">
    <w:abstractNumId w:val="17"/>
  </w:num>
  <w:num w:numId="18" w16cid:durableId="841505906">
    <w:abstractNumId w:val="2"/>
  </w:num>
  <w:num w:numId="19" w16cid:durableId="1445735965">
    <w:abstractNumId w:val="7"/>
  </w:num>
  <w:num w:numId="20" w16cid:durableId="922302052">
    <w:abstractNumId w:val="23"/>
  </w:num>
  <w:num w:numId="21" w16cid:durableId="153181134">
    <w:abstractNumId w:val="1"/>
  </w:num>
  <w:num w:numId="22" w16cid:durableId="1823737184">
    <w:abstractNumId w:val="0"/>
  </w:num>
  <w:num w:numId="23" w16cid:durableId="1443722044">
    <w:abstractNumId w:val="21"/>
  </w:num>
  <w:num w:numId="24" w16cid:durableId="933321202">
    <w:abstractNumId w:val="18"/>
  </w:num>
  <w:num w:numId="25" w16cid:durableId="1591816305">
    <w:abstractNumId w:val="4"/>
  </w:num>
  <w:num w:numId="26" w16cid:durableId="604729519">
    <w:abstractNumId w:val="25"/>
  </w:num>
  <w:num w:numId="27" w16cid:durableId="430511703">
    <w:abstractNumId w:val="27"/>
  </w:num>
  <w:num w:numId="28" w16cid:durableId="197586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9-0040-3227, v. 1"/>
    <w:docVar w:name="ndGeneratedStampLocation" w:val="ExceptFirst"/>
  </w:docVars>
  <w:rsids>
    <w:rsidRoot w:val="00A47914"/>
    <w:rsid w:val="00017D92"/>
    <w:rsid w:val="000214DB"/>
    <w:rsid w:val="00021701"/>
    <w:rsid w:val="000671C0"/>
    <w:rsid w:val="000A1AB1"/>
    <w:rsid w:val="000C4CBF"/>
    <w:rsid w:val="000E3DF5"/>
    <w:rsid w:val="00101D2F"/>
    <w:rsid w:val="00111187"/>
    <w:rsid w:val="00121986"/>
    <w:rsid w:val="00133330"/>
    <w:rsid w:val="00165A60"/>
    <w:rsid w:val="001A1474"/>
    <w:rsid w:val="001B6CA4"/>
    <w:rsid w:val="002112E6"/>
    <w:rsid w:val="00211938"/>
    <w:rsid w:val="00222A4E"/>
    <w:rsid w:val="002A2FB9"/>
    <w:rsid w:val="002C281E"/>
    <w:rsid w:val="002F00EB"/>
    <w:rsid w:val="002F1C6F"/>
    <w:rsid w:val="00324ECD"/>
    <w:rsid w:val="003669A9"/>
    <w:rsid w:val="00371A64"/>
    <w:rsid w:val="00385D8C"/>
    <w:rsid w:val="00387FA8"/>
    <w:rsid w:val="0044688C"/>
    <w:rsid w:val="00525959"/>
    <w:rsid w:val="005453C8"/>
    <w:rsid w:val="005968D9"/>
    <w:rsid w:val="005B5B46"/>
    <w:rsid w:val="005D39CB"/>
    <w:rsid w:val="005F2F65"/>
    <w:rsid w:val="005F6D8F"/>
    <w:rsid w:val="0061152C"/>
    <w:rsid w:val="00620E7F"/>
    <w:rsid w:val="00625F03"/>
    <w:rsid w:val="00632800"/>
    <w:rsid w:val="00633ED3"/>
    <w:rsid w:val="00635E9A"/>
    <w:rsid w:val="00640E94"/>
    <w:rsid w:val="00660A2B"/>
    <w:rsid w:val="006D1A06"/>
    <w:rsid w:val="00721F5B"/>
    <w:rsid w:val="00722135"/>
    <w:rsid w:val="00743B43"/>
    <w:rsid w:val="00770926"/>
    <w:rsid w:val="007718D2"/>
    <w:rsid w:val="007A5B65"/>
    <w:rsid w:val="00836C8E"/>
    <w:rsid w:val="00854D68"/>
    <w:rsid w:val="008B7E92"/>
    <w:rsid w:val="008C4D26"/>
    <w:rsid w:val="008E6DDE"/>
    <w:rsid w:val="00922A46"/>
    <w:rsid w:val="00932B27"/>
    <w:rsid w:val="00936AD1"/>
    <w:rsid w:val="0094502B"/>
    <w:rsid w:val="00962490"/>
    <w:rsid w:val="00963A12"/>
    <w:rsid w:val="009A3A94"/>
    <w:rsid w:val="00A03CB5"/>
    <w:rsid w:val="00A2220B"/>
    <w:rsid w:val="00A304C3"/>
    <w:rsid w:val="00A47914"/>
    <w:rsid w:val="00A57B1B"/>
    <w:rsid w:val="00A66D8C"/>
    <w:rsid w:val="00AD0DD7"/>
    <w:rsid w:val="00B27ADE"/>
    <w:rsid w:val="00B73649"/>
    <w:rsid w:val="00BA77B4"/>
    <w:rsid w:val="00BE1365"/>
    <w:rsid w:val="00BE51F8"/>
    <w:rsid w:val="00C15EE1"/>
    <w:rsid w:val="00C16857"/>
    <w:rsid w:val="00C27145"/>
    <w:rsid w:val="00C27A18"/>
    <w:rsid w:val="00C6383E"/>
    <w:rsid w:val="00D018F7"/>
    <w:rsid w:val="00D46D1E"/>
    <w:rsid w:val="00D87091"/>
    <w:rsid w:val="00E36141"/>
    <w:rsid w:val="00E71DC6"/>
    <w:rsid w:val="00E83E58"/>
    <w:rsid w:val="00EE094D"/>
    <w:rsid w:val="00EF19ED"/>
    <w:rsid w:val="00F6468F"/>
    <w:rsid w:val="00F93A35"/>
    <w:rsid w:val="00FA0395"/>
    <w:rsid w:val="00FF080C"/>
    <w:rsid w:val="09E3B0F1"/>
    <w:rsid w:val="7C9C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9AD8840"/>
  <w15:docId w15:val="{22DB28C5-3950-4BBB-91D6-C969C99A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D87091"/>
    <w:pPr>
      <w:ind w:left="720"/>
      <w:contextualSpacing/>
    </w:pPr>
  </w:style>
  <w:style w:type="character" w:styleId="Hyperlink">
    <w:name w:val="Hyperlink"/>
    <w:basedOn w:val="DefaultParagraphFont"/>
    <w:uiPriority w:val="99"/>
    <w:unhideWhenUsed/>
    <w:rsid w:val="00D87091"/>
    <w:rPr>
      <w:color w:val="0000FF" w:themeColor="hyperlink"/>
      <w:u w:val="single"/>
    </w:rPr>
  </w:style>
  <w:style w:type="character" w:styleId="UnresolvedMention">
    <w:name w:val="Unresolved Mention"/>
    <w:basedOn w:val="DefaultParagraphFont"/>
    <w:uiPriority w:val="99"/>
    <w:semiHidden/>
    <w:unhideWhenUsed/>
    <w:rsid w:val="00D87091"/>
    <w:rPr>
      <w:color w:val="605E5C"/>
      <w:shd w:val="clear" w:color="auto" w:fill="E1DFDD"/>
    </w:rPr>
  </w:style>
  <w:style w:type="paragraph" w:styleId="Revision">
    <w:name w:val="Revision"/>
    <w:hidden/>
    <w:uiPriority w:val="99"/>
    <w:semiHidden/>
    <w:rsid w:val="00D87091"/>
  </w:style>
  <w:style w:type="paragraph" w:styleId="NormalWeb">
    <w:name w:val="Normal (Web)"/>
    <w:basedOn w:val="Normal"/>
    <w:link w:val="NormalWebChar"/>
    <w:uiPriority w:val="99"/>
    <w:unhideWhenUsed/>
    <w:rsid w:val="00A304C3"/>
    <w:rPr>
      <w:sz w:val="24"/>
      <w:szCs w:val="24"/>
    </w:rPr>
  </w:style>
  <w:style w:type="character" w:styleId="CommentReference">
    <w:name w:val="annotation reference"/>
    <w:basedOn w:val="DefaultParagraphFont"/>
    <w:uiPriority w:val="99"/>
    <w:semiHidden/>
    <w:unhideWhenUsed/>
    <w:rsid w:val="00133330"/>
    <w:rPr>
      <w:sz w:val="16"/>
      <w:szCs w:val="16"/>
    </w:rPr>
  </w:style>
  <w:style w:type="paragraph" w:styleId="CommentText">
    <w:name w:val="annotation text"/>
    <w:basedOn w:val="Normal"/>
    <w:link w:val="CommentTextChar"/>
    <w:uiPriority w:val="99"/>
    <w:unhideWhenUsed/>
    <w:rsid w:val="00133330"/>
  </w:style>
  <w:style w:type="character" w:customStyle="1" w:styleId="CommentTextChar">
    <w:name w:val="Comment Text Char"/>
    <w:basedOn w:val="DefaultParagraphFont"/>
    <w:link w:val="CommentText"/>
    <w:uiPriority w:val="99"/>
    <w:rsid w:val="00133330"/>
  </w:style>
  <w:style w:type="paragraph" w:styleId="CommentSubject">
    <w:name w:val="annotation subject"/>
    <w:basedOn w:val="CommentText"/>
    <w:next w:val="CommentText"/>
    <w:link w:val="CommentSubjectChar"/>
    <w:uiPriority w:val="99"/>
    <w:semiHidden/>
    <w:unhideWhenUsed/>
    <w:rsid w:val="00133330"/>
    <w:rPr>
      <w:b/>
      <w:bCs/>
    </w:rPr>
  </w:style>
  <w:style w:type="character" w:customStyle="1" w:styleId="CommentSubjectChar">
    <w:name w:val="Comment Subject Char"/>
    <w:basedOn w:val="CommentTextChar"/>
    <w:link w:val="CommentSubject"/>
    <w:uiPriority w:val="99"/>
    <w:semiHidden/>
    <w:rsid w:val="00133330"/>
    <w:rPr>
      <w:b/>
      <w:bCs/>
    </w:rPr>
  </w:style>
  <w:style w:type="character" w:customStyle="1" w:styleId="whitespace-normal">
    <w:name w:val="whitespace-normal"/>
    <w:basedOn w:val="DefaultParagraphFont"/>
    <w:rsid w:val="00721F5B"/>
  </w:style>
  <w:style w:type="character" w:customStyle="1" w:styleId="NormalWebChar">
    <w:name w:val="Normal (Web) Char"/>
    <w:basedOn w:val="DefaultParagraphFont"/>
    <w:link w:val="NormalWeb"/>
    <w:uiPriority w:val="99"/>
    <w:locked/>
    <w:rsid w:val="00721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ysonmacdonald@vireohealth.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FIRMDOCS!61255957.1</documentid>
  <senderid>J3M</senderid>
  <senderemail>JAMIE.MANDELL@CA.DLAPIPER.COM</senderemail>
  <lastmodified>2026-05-06T19:53:00.0000000-04:00</lastmodified>
  <database>FIRMDOCS</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9" ma:contentTypeDescription="Create a new document." ma:contentTypeScope="" ma:versionID="ba1eb9e48f631dee849810b7ac16b7b8">
  <xsd:schema xmlns:xsd="http://www.w3.org/2001/XMLSchema" xmlns:xs="http://www.w3.org/2001/XMLSchema" xmlns:p="http://schemas.microsoft.com/office/2006/metadata/properties" xmlns:ns1="http://schemas.microsoft.com/sharepoint/v3" xmlns:ns2="6f81fb04-b197-435f-b011-d1fe9d340302" xmlns:ns3="7af93729-44c1-49b3-a2ba-882204af10a8" targetNamespace="http://schemas.microsoft.com/office/2006/metadata/properties" ma:root="true" ma:fieldsID="2be0495ff0147d24c85a32651c004a57" ns1:_="" ns2:_="" ns3:_="">
    <xsd:import namespace="http://schemas.microsoft.com/sharepoint/v3"/>
    <xsd:import namespace="6f81fb04-b197-435f-b011-d1fe9d340302"/>
    <xsd:import namespace="7af93729-44c1-49b3-a2ba-882204af10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ef803f-db6d-4326-9a6c-19b7db9d3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93729-44c1-49b3-a2ba-882204af10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dc4fc1-904e-4bed-804e-fb931e5746f7}" ma:internalName="TaxCatchAll" ma:showField="CatchAllData" ma:web="7af93729-44c1-49b3-a2ba-882204af1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81fb04-b197-435f-b011-d1fe9d340302">
      <Terms xmlns="http://schemas.microsoft.com/office/infopath/2007/PartnerControls"/>
    </lcf76f155ced4ddcb4097134ff3c332f>
    <TaxCatchAll xmlns="7af93729-44c1-49b3-a2ba-882204af10a8"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B267-C33E-467F-8DC9-5E1F2366DFE6}">
  <ds:schemaRefs>
    <ds:schemaRef ds:uri="http://schemas.microsoft.com/sharepoint/v3/contenttype/forms"/>
  </ds:schemaRefs>
</ds:datastoreItem>
</file>

<file path=customXml/itemProps2.xml><?xml version="1.0" encoding="utf-8"?>
<ds:datastoreItem xmlns:ds="http://schemas.openxmlformats.org/officeDocument/2006/customXml" ds:itemID="{9DDB4813-1418-4969-B241-1F3214907002}">
  <ds:schemaRefs>
    <ds:schemaRef ds:uri="http://www.imanage.com/work/xmlschema"/>
  </ds:schemaRefs>
</ds:datastoreItem>
</file>

<file path=customXml/itemProps3.xml><?xml version="1.0" encoding="utf-8"?>
<ds:datastoreItem xmlns:ds="http://schemas.openxmlformats.org/officeDocument/2006/customXml" ds:itemID="{0AA68B18-DC17-4071-A25A-4D31E993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7af93729-44c1-49b3-a2ba-882204af1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4D23F-4DB8-4494-9623-D76D9A27FF6C}">
  <ds:schemaRefs>
    <ds:schemaRef ds:uri="http://schemas.microsoft.com/office/2006/metadata/properties"/>
    <ds:schemaRef ds:uri="http://schemas.microsoft.com/office/infopath/2007/PartnerControls"/>
    <ds:schemaRef ds:uri="http://schemas.microsoft.com/sharepoint/v3"/>
    <ds:schemaRef ds:uri="6f81fb04-b197-435f-b011-d1fe9d340302"/>
    <ds:schemaRef ds:uri="7af93729-44c1-49b3-a2ba-882204af10a8"/>
  </ds:schemaRefs>
</ds:datastoreItem>
</file>

<file path=customXml/itemProps5.xml><?xml version="1.0" encoding="utf-8"?>
<ds:datastoreItem xmlns:ds="http://schemas.openxmlformats.org/officeDocument/2006/customXml" ds:itemID="{3E3E9839-5C3C-4FEC-9F64-69B3F7CC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1953</Words>
  <Characters>11056</Characters>
  <Application>Microsoft Office Word</Application>
  <DocSecurity>0</DocSecurity>
  <Lines>263</Lines>
  <Paragraphs>123</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lstdjoh</dc:creator>
  <cp:keywords/>
  <dc:description/>
  <cp:lastModifiedBy>Doradea, Karla</cp:lastModifiedBy>
  <cp:revision>6</cp:revision>
  <cp:lastPrinted>2004-05-10T18:28:00Z</cp:lastPrinted>
  <dcterms:created xsi:type="dcterms:W3CDTF">2026-05-07T01:20:00Z</dcterms:created>
  <dcterms:modified xsi:type="dcterms:W3CDTF">2026-05-07T01:38:00Z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ContentTypeId">
    <vt:lpwstr>0x010100F1AF81B3A8D483428A5E34268DA93641</vt:lpwstr>
  </property>
  <property fmtid="{D5CDD505-2E9C-101B-9397-08002B2CF9AE}" pid="4" name="MediaServiceImageTags">
    <vt:lpwstr/>
  </property>
  <property fmtid="{D5CDD505-2E9C-101B-9397-08002B2CF9AE}" pid="5" name="DocumentNumber">
    <vt:lpwstr>61255957</vt:lpwstr>
  </property>
  <property fmtid="{D5CDD505-2E9C-101B-9397-08002B2CF9AE}" pid="6" name="DocumentVersion">
    <vt:lpwstr>1</vt:lpwstr>
  </property>
  <property fmtid="{D5CDD505-2E9C-101B-9397-08002B2CF9AE}" pid="7" name="ClientNumber">
    <vt:lpwstr>118368</vt:lpwstr>
  </property>
  <property fmtid="{D5CDD505-2E9C-101B-9397-08002B2CF9AE}" pid="8" name="MatterNumber">
    <vt:lpwstr>00008</vt:lpwstr>
  </property>
  <property fmtid="{D5CDD505-2E9C-101B-9397-08002B2CF9AE}" pid="9" name="ClientName">
    <vt:lpwstr>Vireo Growth Inc.</vt:lpwstr>
  </property>
  <property fmtid="{D5CDD505-2E9C-101B-9397-08002B2CF9AE}" pid="10" name="MatterName">
    <vt:lpwstr>2026 General Corporate &amp; Securities Matters</vt:lpwstr>
  </property>
  <property fmtid="{D5CDD505-2E9C-101B-9397-08002B2CF9AE}" pid="11" name="DatabaseName">
    <vt:lpwstr>FIRMDOCS</vt:lpwstr>
  </property>
  <property fmtid="{D5CDD505-2E9C-101B-9397-08002B2CF9AE}" pid="12" name="TypistName">
    <vt:lpwstr>J3M</vt:lpwstr>
  </property>
  <property fmtid="{D5CDD505-2E9C-101B-9397-08002B2CF9AE}" pid="13" name="AuthorName">
    <vt:lpwstr>J3M</vt:lpwstr>
  </property>
  <property fmtid="{D5CDD505-2E9C-101B-9397-08002B2CF9AE}" pid="14" name="InUseBy">
    <vt:lpwstr/>
  </property>
  <property fmtid="{D5CDD505-2E9C-101B-9397-08002B2CF9AE}" pid="15" name="EditDate">
    <vt:lpwstr>1/1/0001 12:00:00 AM</vt:lpwstr>
  </property>
  <property fmtid="{D5CDD505-2E9C-101B-9397-08002B2CF9AE}" pid="16" name="EditTime">
    <vt:lpwstr/>
  </property>
  <property fmtid="{D5CDD505-2E9C-101B-9397-08002B2CF9AE}" pid="17" name="IsiManageWork">
    <vt:lpwstr>True</vt:lpwstr>
  </property>
</Properties>
</file>