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3C51" w14:textId="77777777" w:rsidR="00640E94" w:rsidRPr="006912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691211">
        <w:rPr>
          <w:rFonts w:cs="Arial"/>
          <w:color w:val="000000"/>
          <w:sz w:val="24"/>
          <w:szCs w:val="24"/>
        </w:rPr>
        <w:t>FORM 7</w:t>
      </w:r>
      <w:r w:rsidRPr="00691211">
        <w:rPr>
          <w:rFonts w:cs="Arial"/>
          <w:color w:val="000000"/>
          <w:sz w:val="24"/>
          <w:szCs w:val="24"/>
        </w:rPr>
        <w:br/>
      </w:r>
      <w:r w:rsidRPr="00691211">
        <w:rPr>
          <w:rFonts w:cs="Arial"/>
          <w:color w:val="000000"/>
          <w:sz w:val="24"/>
          <w:szCs w:val="24"/>
        </w:rPr>
        <w:br/>
      </w:r>
      <w:r w:rsidRPr="00691211">
        <w:rPr>
          <w:rFonts w:cs="Arial"/>
          <w:color w:val="000000"/>
          <w:sz w:val="24"/>
          <w:szCs w:val="24"/>
          <w:u w:val="single"/>
        </w:rPr>
        <w:t>MONTHLY PROGRESS REPORT</w:t>
      </w:r>
      <w:bookmarkEnd w:id="0"/>
      <w:bookmarkEnd w:id="1"/>
      <w:bookmarkEnd w:id="2"/>
      <w:bookmarkEnd w:id="3"/>
    </w:p>
    <w:p w14:paraId="0174A933" w14:textId="3978409C" w:rsidR="00640E94" w:rsidRPr="00691211" w:rsidRDefault="00640E94">
      <w:pPr>
        <w:pStyle w:val="BodyText"/>
        <w:tabs>
          <w:tab w:val="left" w:pos="0"/>
        </w:tabs>
        <w:rPr>
          <w:rFonts w:ascii="Arial" w:hAnsi="Arial" w:cs="Arial"/>
          <w:color w:val="000000"/>
          <w:szCs w:val="24"/>
        </w:rPr>
      </w:pPr>
      <w:r w:rsidRPr="00691211">
        <w:rPr>
          <w:rFonts w:ascii="Arial" w:hAnsi="Arial" w:cs="Arial"/>
          <w:color w:val="000000"/>
          <w:szCs w:val="24"/>
        </w:rPr>
        <w:t xml:space="preserve">Name of </w:t>
      </w:r>
      <w:r w:rsidR="008B7E92" w:rsidRPr="00691211">
        <w:rPr>
          <w:rFonts w:ascii="Arial" w:hAnsi="Arial" w:cs="Arial"/>
          <w:color w:val="000000"/>
          <w:szCs w:val="24"/>
        </w:rPr>
        <w:t>Listed</w:t>
      </w:r>
      <w:r w:rsidRPr="00691211">
        <w:rPr>
          <w:rFonts w:ascii="Arial" w:hAnsi="Arial" w:cs="Arial"/>
          <w:color w:val="000000"/>
          <w:szCs w:val="24"/>
        </w:rPr>
        <w:t xml:space="preserve"> Issuer:</w:t>
      </w:r>
      <w:r w:rsidR="003F2BD8" w:rsidRPr="00691211">
        <w:rPr>
          <w:rFonts w:ascii="Arial" w:hAnsi="Arial" w:cs="Arial"/>
          <w:color w:val="000000"/>
          <w:szCs w:val="24"/>
        </w:rPr>
        <w:t xml:space="preserve"> </w:t>
      </w:r>
      <w:r w:rsidR="003F2BD8" w:rsidRPr="00691211">
        <w:rPr>
          <w:rFonts w:ascii="Arial" w:hAnsi="Arial" w:cs="Arial"/>
          <w:color w:val="000000"/>
          <w:szCs w:val="24"/>
          <w:u w:val="single"/>
        </w:rPr>
        <w:t>Ready Set Gold Corp.</w:t>
      </w:r>
      <w:r w:rsidRPr="00691211">
        <w:rPr>
          <w:rFonts w:ascii="Arial" w:hAnsi="Arial" w:cs="Arial"/>
          <w:color w:val="000000"/>
          <w:szCs w:val="24"/>
        </w:rPr>
        <w:t xml:space="preserve"> </w:t>
      </w:r>
      <w:r w:rsidR="003F2BD8" w:rsidRPr="00691211">
        <w:rPr>
          <w:rFonts w:ascii="Arial" w:hAnsi="Arial" w:cs="Arial"/>
          <w:color w:val="000000"/>
          <w:szCs w:val="24"/>
        </w:rPr>
        <w:t>(</w:t>
      </w:r>
      <w:r w:rsidRPr="00691211">
        <w:rPr>
          <w:rFonts w:ascii="Arial" w:hAnsi="Arial" w:cs="Arial"/>
          <w:color w:val="000000"/>
          <w:szCs w:val="24"/>
        </w:rPr>
        <w:t>the “Issuer”).</w:t>
      </w:r>
    </w:p>
    <w:p w14:paraId="738BBEBA" w14:textId="36AC5E9E" w:rsidR="00640E94" w:rsidRPr="00691211" w:rsidRDefault="00640E94">
      <w:pPr>
        <w:pStyle w:val="BodyText"/>
        <w:tabs>
          <w:tab w:val="left" w:pos="7920"/>
          <w:tab w:val="left" w:pos="9180"/>
        </w:tabs>
        <w:rPr>
          <w:rFonts w:ascii="Arial" w:hAnsi="Arial" w:cs="Arial"/>
          <w:color w:val="000000"/>
          <w:szCs w:val="24"/>
        </w:rPr>
      </w:pPr>
      <w:r w:rsidRPr="00691211">
        <w:rPr>
          <w:rFonts w:ascii="Arial" w:hAnsi="Arial" w:cs="Arial"/>
          <w:color w:val="000000"/>
          <w:szCs w:val="24"/>
        </w:rPr>
        <w:t xml:space="preserve">Trading Symbol: </w:t>
      </w:r>
      <w:r w:rsidR="003F2BD8" w:rsidRPr="00691211">
        <w:rPr>
          <w:rFonts w:ascii="Arial" w:hAnsi="Arial" w:cs="Arial"/>
          <w:color w:val="000000"/>
          <w:szCs w:val="24"/>
          <w:u w:val="single"/>
        </w:rPr>
        <w:t>RDY</w:t>
      </w:r>
    </w:p>
    <w:p w14:paraId="5320C98F" w14:textId="0F8F3C85" w:rsidR="00640E94" w:rsidRPr="00691211" w:rsidRDefault="00640E94">
      <w:pPr>
        <w:pStyle w:val="BodyText"/>
        <w:tabs>
          <w:tab w:val="left" w:pos="7920"/>
          <w:tab w:val="left" w:pos="9180"/>
        </w:tabs>
        <w:rPr>
          <w:rFonts w:ascii="Arial" w:hAnsi="Arial" w:cs="Arial"/>
          <w:color w:val="000000"/>
          <w:szCs w:val="24"/>
        </w:rPr>
      </w:pPr>
      <w:r w:rsidRPr="00691211">
        <w:rPr>
          <w:rFonts w:ascii="Arial" w:hAnsi="Arial" w:cs="Arial"/>
          <w:color w:val="000000"/>
          <w:szCs w:val="24"/>
        </w:rPr>
        <w:t xml:space="preserve">Number of Outstanding </w:t>
      </w:r>
      <w:r w:rsidR="00C27A18" w:rsidRPr="00691211">
        <w:rPr>
          <w:rFonts w:ascii="Arial" w:hAnsi="Arial" w:cs="Arial"/>
          <w:color w:val="000000"/>
          <w:szCs w:val="24"/>
        </w:rPr>
        <w:t>Listed</w:t>
      </w:r>
      <w:r w:rsidRPr="00691211">
        <w:rPr>
          <w:rFonts w:ascii="Arial" w:hAnsi="Arial" w:cs="Arial"/>
          <w:color w:val="000000"/>
          <w:szCs w:val="24"/>
        </w:rPr>
        <w:t xml:space="preserve"> Securities: </w:t>
      </w:r>
      <w:r w:rsidR="003F2BD8" w:rsidRPr="00691211">
        <w:rPr>
          <w:rFonts w:ascii="Arial" w:hAnsi="Arial" w:cs="Arial"/>
          <w:color w:val="000000"/>
          <w:szCs w:val="24"/>
          <w:u w:val="single"/>
        </w:rPr>
        <w:t>29,774,641</w:t>
      </w:r>
    </w:p>
    <w:p w14:paraId="2BE15854" w14:textId="01534F0E" w:rsidR="00640E94" w:rsidRPr="00691211" w:rsidRDefault="00640E94">
      <w:pPr>
        <w:pStyle w:val="BodyText"/>
        <w:tabs>
          <w:tab w:val="left" w:pos="7920"/>
          <w:tab w:val="left" w:pos="9180"/>
        </w:tabs>
        <w:rPr>
          <w:rFonts w:ascii="Arial" w:hAnsi="Arial" w:cs="Arial"/>
          <w:color w:val="000000"/>
          <w:szCs w:val="24"/>
        </w:rPr>
      </w:pPr>
      <w:r w:rsidRPr="00691211">
        <w:rPr>
          <w:rFonts w:ascii="Arial" w:hAnsi="Arial" w:cs="Arial"/>
          <w:color w:val="000000"/>
          <w:szCs w:val="24"/>
        </w:rPr>
        <w:t xml:space="preserve">Date: </w:t>
      </w:r>
      <w:r w:rsidR="003F2BD8" w:rsidRPr="00691211">
        <w:rPr>
          <w:rFonts w:ascii="Arial" w:hAnsi="Arial" w:cs="Arial"/>
          <w:color w:val="000000"/>
          <w:szCs w:val="24"/>
          <w:u w:val="single"/>
        </w:rPr>
        <w:t>February 5, 2021</w:t>
      </w:r>
    </w:p>
    <w:p w14:paraId="7F065F23" w14:textId="77777777" w:rsidR="00640E94" w:rsidRPr="00691211" w:rsidRDefault="00640E94">
      <w:pPr>
        <w:pStyle w:val="BodyText"/>
        <w:tabs>
          <w:tab w:val="left" w:pos="7920"/>
          <w:tab w:val="left" w:pos="9180"/>
        </w:tabs>
        <w:jc w:val="both"/>
        <w:rPr>
          <w:rFonts w:ascii="Arial" w:hAnsi="Arial" w:cs="Arial"/>
          <w:color w:val="000000"/>
          <w:szCs w:val="24"/>
        </w:rPr>
      </w:pPr>
      <w:r w:rsidRPr="006912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691211">
        <w:rPr>
          <w:rFonts w:ascii="Arial" w:hAnsi="Arial" w:cs="Arial"/>
          <w:color w:val="000000"/>
          <w:szCs w:val="24"/>
        </w:rPr>
        <w:t>Exchange</w:t>
      </w:r>
      <w:r w:rsidRPr="006912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691211">
        <w:rPr>
          <w:rFonts w:ascii="Arial" w:hAnsi="Arial" w:cs="Arial"/>
          <w:color w:val="000000"/>
          <w:szCs w:val="24"/>
        </w:rPr>
        <w:t>date</w:t>
      </w:r>
      <w:proofErr w:type="gramEnd"/>
      <w:r w:rsidRPr="00691211">
        <w:rPr>
          <w:rFonts w:ascii="Arial" w:hAnsi="Arial" w:cs="Arial"/>
          <w:color w:val="000000"/>
          <w:szCs w:val="24"/>
        </w:rPr>
        <w:t xml:space="preserve"> and the posting date on the </w:t>
      </w:r>
      <w:r w:rsidR="008B7E92" w:rsidRPr="00691211">
        <w:rPr>
          <w:rFonts w:ascii="Arial" w:hAnsi="Arial" w:cs="Arial"/>
          <w:color w:val="000000"/>
          <w:szCs w:val="24"/>
        </w:rPr>
        <w:t>Exchange</w:t>
      </w:r>
      <w:r w:rsidRPr="00691211">
        <w:rPr>
          <w:rFonts w:ascii="Arial" w:hAnsi="Arial" w:cs="Arial"/>
          <w:color w:val="000000"/>
          <w:szCs w:val="24"/>
        </w:rPr>
        <w:t xml:space="preserve"> website.</w:t>
      </w:r>
    </w:p>
    <w:p w14:paraId="327CACA4" w14:textId="77777777" w:rsidR="00640E94" w:rsidRPr="00691211" w:rsidRDefault="00640E94">
      <w:pPr>
        <w:pStyle w:val="BodyText"/>
        <w:tabs>
          <w:tab w:val="left" w:pos="7920"/>
          <w:tab w:val="left" w:pos="9180"/>
        </w:tabs>
        <w:jc w:val="both"/>
        <w:rPr>
          <w:rFonts w:ascii="Arial" w:hAnsi="Arial" w:cs="Arial"/>
          <w:color w:val="000000"/>
          <w:szCs w:val="24"/>
        </w:rPr>
      </w:pPr>
      <w:r w:rsidRPr="006912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691211">
        <w:rPr>
          <w:rFonts w:ascii="Arial" w:hAnsi="Arial" w:cs="Arial"/>
          <w:color w:val="000000"/>
          <w:szCs w:val="24"/>
        </w:rPr>
        <w:t>future plans</w:t>
      </w:r>
      <w:proofErr w:type="gramEnd"/>
      <w:r w:rsidRPr="00691211">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691211">
        <w:rPr>
          <w:rFonts w:ascii="Arial" w:hAnsi="Arial" w:cs="Arial"/>
          <w:color w:val="000000"/>
          <w:szCs w:val="24"/>
        </w:rPr>
        <w:t>balanced</w:t>
      </w:r>
      <w:proofErr w:type="gramEnd"/>
      <w:r w:rsidRPr="00691211">
        <w:rPr>
          <w:rFonts w:ascii="Arial" w:hAnsi="Arial" w:cs="Arial"/>
          <w:color w:val="000000"/>
          <w:szCs w:val="24"/>
        </w:rPr>
        <w:t xml:space="preserve"> and non-promotional.</w:t>
      </w:r>
    </w:p>
    <w:p w14:paraId="73F7CAD8" w14:textId="77777777" w:rsidR="00640E94" w:rsidRPr="00691211" w:rsidRDefault="00640E94">
      <w:pPr>
        <w:pStyle w:val="BodyText"/>
        <w:tabs>
          <w:tab w:val="left" w:pos="7920"/>
          <w:tab w:val="left" w:pos="9180"/>
        </w:tabs>
        <w:rPr>
          <w:rFonts w:ascii="Arial" w:hAnsi="Arial" w:cs="Arial"/>
          <w:color w:val="000000"/>
          <w:szCs w:val="24"/>
        </w:rPr>
      </w:pPr>
      <w:r w:rsidRPr="00691211">
        <w:rPr>
          <w:rFonts w:ascii="Arial" w:hAnsi="Arial" w:cs="Arial"/>
          <w:b/>
          <w:color w:val="000000"/>
          <w:szCs w:val="24"/>
        </w:rPr>
        <w:t>General Instructions</w:t>
      </w:r>
    </w:p>
    <w:p w14:paraId="042DB450" w14:textId="77777777" w:rsidR="00640E94" w:rsidRPr="00691211" w:rsidRDefault="00640E94">
      <w:pPr>
        <w:pStyle w:val="BodyText"/>
        <w:numPr>
          <w:ilvl w:val="0"/>
          <w:numId w:val="26"/>
        </w:numPr>
        <w:tabs>
          <w:tab w:val="left" w:pos="1440"/>
          <w:tab w:val="left" w:pos="7920"/>
          <w:tab w:val="left" w:pos="9180"/>
        </w:tabs>
        <w:rPr>
          <w:rFonts w:ascii="Arial" w:hAnsi="Arial" w:cs="Arial"/>
          <w:color w:val="000000"/>
          <w:szCs w:val="24"/>
        </w:rPr>
      </w:pPr>
      <w:r w:rsidRPr="00691211">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86B0DA5" w14:textId="77777777" w:rsidR="00640E94" w:rsidRPr="00691211" w:rsidRDefault="00640E94">
      <w:pPr>
        <w:pStyle w:val="BodyText"/>
        <w:numPr>
          <w:ilvl w:val="0"/>
          <w:numId w:val="26"/>
        </w:numPr>
        <w:tabs>
          <w:tab w:val="left" w:pos="1440"/>
          <w:tab w:val="left" w:pos="7920"/>
          <w:tab w:val="left" w:pos="9180"/>
        </w:tabs>
        <w:rPr>
          <w:rFonts w:ascii="Arial" w:hAnsi="Arial" w:cs="Arial"/>
          <w:color w:val="000000"/>
          <w:szCs w:val="24"/>
        </w:rPr>
      </w:pPr>
      <w:r w:rsidRPr="00691211">
        <w:rPr>
          <w:rFonts w:ascii="Arial" w:hAnsi="Arial" w:cs="Arial"/>
          <w:color w:val="000000"/>
          <w:szCs w:val="24"/>
        </w:rPr>
        <w:t>The term “Issuer” includes the Issuer and any of its subsidiaries.</w:t>
      </w:r>
    </w:p>
    <w:p w14:paraId="6DF74FB3" w14:textId="77777777" w:rsidR="00640E94" w:rsidRPr="00691211" w:rsidRDefault="00640E94">
      <w:pPr>
        <w:pStyle w:val="BodyText"/>
        <w:numPr>
          <w:ilvl w:val="0"/>
          <w:numId w:val="26"/>
        </w:numPr>
        <w:tabs>
          <w:tab w:val="left" w:pos="1440"/>
          <w:tab w:val="left" w:pos="7920"/>
          <w:tab w:val="left" w:pos="9180"/>
        </w:tabs>
        <w:rPr>
          <w:rFonts w:ascii="Arial" w:hAnsi="Arial" w:cs="Arial"/>
          <w:color w:val="000000"/>
          <w:szCs w:val="24"/>
        </w:rPr>
      </w:pPr>
      <w:r w:rsidRPr="00691211">
        <w:rPr>
          <w:rFonts w:ascii="Arial" w:hAnsi="Arial" w:cs="Arial"/>
          <w:color w:val="000000"/>
          <w:szCs w:val="24"/>
        </w:rPr>
        <w:t>Terms used and not defined in this form are defined or interpreted in Policy 1 – Interpretation and General Provisions.</w:t>
      </w:r>
    </w:p>
    <w:p w14:paraId="43B98149" w14:textId="77777777" w:rsidR="00640E94" w:rsidRPr="00691211" w:rsidRDefault="00640E94">
      <w:pPr>
        <w:pStyle w:val="List"/>
        <w:keepLines/>
        <w:spacing w:before="120"/>
        <w:ind w:left="0" w:firstLine="0"/>
        <w:rPr>
          <w:rFonts w:ascii="Arial" w:hAnsi="Arial" w:cs="Arial"/>
          <w:b/>
          <w:szCs w:val="24"/>
        </w:rPr>
      </w:pPr>
      <w:r w:rsidRPr="00691211">
        <w:rPr>
          <w:rFonts w:ascii="Arial" w:hAnsi="Arial" w:cs="Arial"/>
          <w:b/>
          <w:szCs w:val="24"/>
        </w:rPr>
        <w:t>Report on Business</w:t>
      </w:r>
    </w:p>
    <w:p w14:paraId="3EA19FB7" w14:textId="6B724316" w:rsidR="00640E94" w:rsidRDefault="00640E94">
      <w:pPr>
        <w:pStyle w:val="List"/>
        <w:numPr>
          <w:ilvl w:val="0"/>
          <w:numId w:val="28"/>
        </w:numPr>
        <w:spacing w:before="120"/>
        <w:jc w:val="both"/>
        <w:rPr>
          <w:rFonts w:ascii="Arial" w:hAnsi="Arial" w:cs="Arial"/>
          <w:szCs w:val="24"/>
        </w:rPr>
      </w:pPr>
      <w:r w:rsidRPr="00691211">
        <w:rPr>
          <w:rFonts w:ascii="Arial" w:hAnsi="Arial" w:cs="Arial"/>
          <w:szCs w:val="24"/>
        </w:rPr>
        <w:t>Provide a general overview and discussion of the development of the Issuer’s business and operations over the previous month.  Where the Issuer was inactive disclose this fact.</w:t>
      </w:r>
    </w:p>
    <w:p w14:paraId="198491AA" w14:textId="77777777" w:rsidR="006212AF" w:rsidRPr="00691211" w:rsidRDefault="006212AF" w:rsidP="006212AF">
      <w:pPr>
        <w:pStyle w:val="List"/>
        <w:spacing w:before="120"/>
        <w:ind w:left="0" w:firstLine="0"/>
        <w:jc w:val="both"/>
        <w:rPr>
          <w:rFonts w:ascii="Arial" w:hAnsi="Arial" w:cs="Arial"/>
          <w:szCs w:val="24"/>
        </w:rPr>
      </w:pPr>
    </w:p>
    <w:p w14:paraId="65048F3F" w14:textId="48226A56" w:rsidR="00AD1B38" w:rsidRPr="006212AF" w:rsidRDefault="00162F3D" w:rsidP="00AD1B38">
      <w:pPr>
        <w:pStyle w:val="List"/>
        <w:spacing w:before="120"/>
        <w:ind w:left="0" w:firstLine="0"/>
        <w:jc w:val="both"/>
        <w:rPr>
          <w:rFonts w:ascii="Arial" w:hAnsi="Arial" w:cs="Arial"/>
          <w:b/>
          <w:bCs/>
          <w:szCs w:val="24"/>
          <w:lang w:val="en-US"/>
        </w:rPr>
      </w:pPr>
      <w:r w:rsidRPr="006212AF">
        <w:rPr>
          <w:rFonts w:ascii="Arial" w:hAnsi="Arial" w:cs="Arial"/>
          <w:b/>
          <w:bCs/>
          <w:szCs w:val="24"/>
          <w:lang w:val="en-US"/>
        </w:rPr>
        <w:t xml:space="preserve">The trading </w:t>
      </w:r>
      <w:r w:rsidR="00AD1B38" w:rsidRPr="006212AF">
        <w:rPr>
          <w:rFonts w:ascii="Arial" w:hAnsi="Arial" w:cs="Arial"/>
          <w:b/>
          <w:bCs/>
          <w:szCs w:val="24"/>
          <w:lang w:val="en-US"/>
        </w:rPr>
        <w:t xml:space="preserve">of the common shares of the </w:t>
      </w:r>
      <w:r w:rsidRPr="006212AF">
        <w:rPr>
          <w:rFonts w:ascii="Arial" w:hAnsi="Arial" w:cs="Arial"/>
          <w:b/>
          <w:bCs/>
          <w:szCs w:val="24"/>
          <w:lang w:val="en-US"/>
        </w:rPr>
        <w:t xml:space="preserve">Issuer </w:t>
      </w:r>
      <w:r w:rsidR="00AD1B38" w:rsidRPr="006212AF">
        <w:rPr>
          <w:rFonts w:ascii="Arial" w:hAnsi="Arial" w:cs="Arial"/>
          <w:b/>
          <w:bCs/>
          <w:szCs w:val="24"/>
          <w:lang w:val="en-US"/>
        </w:rPr>
        <w:t xml:space="preserve">on the Canadian Securities Exchange </w:t>
      </w:r>
      <w:r w:rsidR="00691211" w:rsidRPr="006212AF">
        <w:rPr>
          <w:rFonts w:ascii="Arial" w:hAnsi="Arial" w:cs="Arial"/>
          <w:b/>
          <w:bCs/>
          <w:szCs w:val="24"/>
          <w:lang w:val="en-US"/>
        </w:rPr>
        <w:t xml:space="preserve">began trading </w:t>
      </w:r>
      <w:r w:rsidR="00AD1B38" w:rsidRPr="006212AF">
        <w:rPr>
          <w:rFonts w:ascii="Arial" w:hAnsi="Arial" w:cs="Arial"/>
          <w:b/>
          <w:bCs/>
          <w:szCs w:val="24"/>
          <w:lang w:val="en-US"/>
        </w:rPr>
        <w:t>January 11</w:t>
      </w:r>
      <w:r w:rsidR="00682CCD" w:rsidRPr="006212AF">
        <w:rPr>
          <w:rFonts w:ascii="Arial" w:hAnsi="Arial" w:cs="Arial"/>
          <w:b/>
          <w:bCs/>
          <w:szCs w:val="24"/>
          <w:lang w:val="en-US"/>
        </w:rPr>
        <w:t xml:space="preserve">, </w:t>
      </w:r>
      <w:r w:rsidR="00AD1B38" w:rsidRPr="006212AF">
        <w:rPr>
          <w:rFonts w:ascii="Arial" w:hAnsi="Arial" w:cs="Arial"/>
          <w:b/>
          <w:bCs/>
          <w:szCs w:val="24"/>
          <w:lang w:val="en-US"/>
        </w:rPr>
        <w:t>2021</w:t>
      </w:r>
      <w:r w:rsidR="00691211" w:rsidRPr="006212AF">
        <w:rPr>
          <w:rFonts w:ascii="Arial" w:hAnsi="Arial" w:cs="Arial"/>
          <w:b/>
          <w:bCs/>
          <w:szCs w:val="24"/>
          <w:lang w:val="en-US"/>
        </w:rPr>
        <w:t xml:space="preserve"> </w:t>
      </w:r>
      <w:r w:rsidR="00AD1B38" w:rsidRPr="006212AF">
        <w:rPr>
          <w:rFonts w:ascii="Arial" w:hAnsi="Arial" w:cs="Arial"/>
          <w:b/>
          <w:bCs/>
          <w:szCs w:val="24"/>
          <w:lang w:val="en-US"/>
        </w:rPr>
        <w:t xml:space="preserve">under the symbol "RDY". </w:t>
      </w:r>
    </w:p>
    <w:p w14:paraId="2BE227CE" w14:textId="1E1DE39A" w:rsidR="00267E25" w:rsidRPr="00691211" w:rsidRDefault="00267E25" w:rsidP="00AD1B38">
      <w:pPr>
        <w:pStyle w:val="List"/>
        <w:spacing w:before="120"/>
        <w:ind w:left="0" w:firstLine="0"/>
        <w:jc w:val="both"/>
        <w:rPr>
          <w:rFonts w:ascii="Arial" w:hAnsi="Arial" w:cs="Arial"/>
          <w:szCs w:val="24"/>
          <w:lang w:val="en-US"/>
        </w:rPr>
      </w:pPr>
    </w:p>
    <w:p w14:paraId="7BB155A5" w14:textId="1E9CF089" w:rsidR="00267E25" w:rsidRPr="006212AF" w:rsidRDefault="00162F3D" w:rsidP="00AD1B38">
      <w:pPr>
        <w:pStyle w:val="List"/>
        <w:spacing w:before="120"/>
        <w:ind w:left="0" w:firstLine="0"/>
        <w:jc w:val="both"/>
        <w:rPr>
          <w:rFonts w:ascii="Arial" w:hAnsi="Arial" w:cs="Arial"/>
          <w:b/>
          <w:bCs/>
          <w:szCs w:val="24"/>
        </w:rPr>
      </w:pPr>
      <w:r w:rsidRPr="006212AF">
        <w:rPr>
          <w:rFonts w:ascii="Arial" w:hAnsi="Arial" w:cs="Arial"/>
          <w:b/>
          <w:bCs/>
          <w:szCs w:val="24"/>
        </w:rPr>
        <w:lastRenderedPageBreak/>
        <w:t>The Issuer</w:t>
      </w:r>
      <w:r w:rsidR="00267E25" w:rsidRPr="006212AF">
        <w:rPr>
          <w:rFonts w:ascii="Arial" w:hAnsi="Arial" w:cs="Arial"/>
          <w:b/>
          <w:bCs/>
          <w:szCs w:val="24"/>
        </w:rPr>
        <w:t xml:space="preserve"> is focused on advancing its portfolio of gold projects including the </w:t>
      </w:r>
      <w:proofErr w:type="gramStart"/>
      <w:r w:rsidR="00267E25" w:rsidRPr="006212AF">
        <w:rPr>
          <w:rFonts w:ascii="Arial" w:hAnsi="Arial" w:cs="Arial"/>
          <w:b/>
          <w:bCs/>
          <w:szCs w:val="24"/>
        </w:rPr>
        <w:t>wholly-owned</w:t>
      </w:r>
      <w:proofErr w:type="gramEnd"/>
      <w:r w:rsidR="00267E25" w:rsidRPr="006212AF">
        <w:rPr>
          <w:rFonts w:ascii="Arial" w:hAnsi="Arial" w:cs="Arial"/>
          <w:b/>
          <w:bCs/>
          <w:szCs w:val="24"/>
        </w:rPr>
        <w:t xml:space="preserve"> Northshore Gold Project, the </w:t>
      </w:r>
      <w:proofErr w:type="spellStart"/>
      <w:r w:rsidR="00267E25" w:rsidRPr="006212AF">
        <w:rPr>
          <w:rFonts w:ascii="Arial" w:hAnsi="Arial" w:cs="Arial"/>
          <w:b/>
          <w:bCs/>
          <w:szCs w:val="24"/>
        </w:rPr>
        <w:t>Hemlo</w:t>
      </w:r>
      <w:proofErr w:type="spellEnd"/>
      <w:r w:rsidR="00267E25" w:rsidRPr="006212AF">
        <w:rPr>
          <w:rFonts w:ascii="Arial" w:hAnsi="Arial" w:cs="Arial"/>
          <w:b/>
          <w:bCs/>
          <w:szCs w:val="24"/>
        </w:rPr>
        <w:t xml:space="preserve"> Eastern Flank Project, and the optioned Emmons Peak Project</w:t>
      </w:r>
      <w:r w:rsidR="00682CCD" w:rsidRPr="006212AF">
        <w:rPr>
          <w:rFonts w:ascii="Arial" w:hAnsi="Arial" w:cs="Arial"/>
          <w:b/>
          <w:bCs/>
          <w:szCs w:val="24"/>
        </w:rPr>
        <w:t>.</w:t>
      </w:r>
      <w:r w:rsidR="004467A5" w:rsidRPr="006212AF">
        <w:rPr>
          <w:rFonts w:ascii="Arial" w:hAnsi="Arial" w:cs="Arial"/>
          <w:b/>
          <w:bCs/>
          <w:szCs w:val="24"/>
        </w:rPr>
        <w:t xml:space="preserve"> </w:t>
      </w:r>
    </w:p>
    <w:p w14:paraId="05C48639" w14:textId="77777777" w:rsidR="004467A5" w:rsidRPr="006212AF" w:rsidRDefault="004467A5" w:rsidP="00AD1B38">
      <w:pPr>
        <w:pStyle w:val="List"/>
        <w:spacing w:before="120"/>
        <w:ind w:left="0" w:firstLine="0"/>
        <w:jc w:val="both"/>
        <w:rPr>
          <w:rFonts w:ascii="Arial" w:hAnsi="Arial" w:cs="Arial"/>
          <w:b/>
          <w:bCs/>
          <w:szCs w:val="24"/>
        </w:rPr>
      </w:pPr>
    </w:p>
    <w:p w14:paraId="29534410" w14:textId="0CE3EA37" w:rsidR="004467A5" w:rsidRPr="006212AF" w:rsidRDefault="004467A5" w:rsidP="00AD1B38">
      <w:pPr>
        <w:pStyle w:val="List"/>
        <w:spacing w:before="120"/>
        <w:ind w:left="0" w:firstLine="0"/>
        <w:jc w:val="both"/>
        <w:rPr>
          <w:rFonts w:ascii="Arial" w:hAnsi="Arial" w:cs="Arial"/>
          <w:b/>
          <w:bCs/>
          <w:szCs w:val="24"/>
          <w:u w:val="single"/>
        </w:rPr>
      </w:pPr>
      <w:r w:rsidRPr="006212AF">
        <w:rPr>
          <w:rFonts w:ascii="Arial" w:hAnsi="Arial" w:cs="Arial"/>
          <w:b/>
          <w:bCs/>
          <w:szCs w:val="24"/>
          <w:u w:val="single"/>
        </w:rPr>
        <w:t>About the Projects</w:t>
      </w:r>
    </w:p>
    <w:p w14:paraId="46536E80" w14:textId="77777777" w:rsidR="00162F3D" w:rsidRPr="00691211" w:rsidRDefault="00162F3D" w:rsidP="00AD1B38">
      <w:pPr>
        <w:pStyle w:val="List"/>
        <w:spacing w:before="120"/>
        <w:ind w:left="0" w:firstLine="0"/>
        <w:jc w:val="both"/>
        <w:rPr>
          <w:rFonts w:ascii="Arial" w:hAnsi="Arial" w:cs="Arial"/>
          <w:szCs w:val="24"/>
          <w:lang w:val="en-US"/>
        </w:rPr>
      </w:pPr>
    </w:p>
    <w:p w14:paraId="18EE73AA" w14:textId="7199CB6D" w:rsidR="00AD1B38" w:rsidRPr="006212AF" w:rsidRDefault="00267E25" w:rsidP="00AD1B38">
      <w:pPr>
        <w:pStyle w:val="List"/>
        <w:spacing w:before="120"/>
        <w:ind w:left="0" w:firstLine="0"/>
        <w:jc w:val="both"/>
        <w:rPr>
          <w:rFonts w:ascii="Arial" w:hAnsi="Arial" w:cs="Arial"/>
          <w:b/>
          <w:bCs/>
          <w:szCs w:val="24"/>
        </w:rPr>
      </w:pPr>
      <w:r w:rsidRPr="006212AF">
        <w:rPr>
          <w:rFonts w:ascii="Arial" w:hAnsi="Arial" w:cs="Arial"/>
          <w:b/>
          <w:bCs/>
          <w:szCs w:val="24"/>
        </w:rPr>
        <w:t xml:space="preserve">The </w:t>
      </w:r>
      <w:proofErr w:type="gramStart"/>
      <w:r w:rsidRPr="006212AF">
        <w:rPr>
          <w:rFonts w:ascii="Arial" w:hAnsi="Arial" w:cs="Arial"/>
          <w:b/>
          <w:bCs/>
          <w:szCs w:val="24"/>
        </w:rPr>
        <w:t>771</w:t>
      </w:r>
      <w:r w:rsidR="00162F3D" w:rsidRPr="006212AF">
        <w:rPr>
          <w:rFonts w:ascii="Arial" w:hAnsi="Arial" w:cs="Arial"/>
          <w:b/>
          <w:bCs/>
          <w:szCs w:val="24"/>
        </w:rPr>
        <w:t xml:space="preserve"> </w:t>
      </w:r>
      <w:r w:rsidRPr="006212AF">
        <w:rPr>
          <w:rFonts w:ascii="Arial" w:hAnsi="Arial" w:cs="Arial"/>
          <w:b/>
          <w:bCs/>
          <w:szCs w:val="24"/>
        </w:rPr>
        <w:t>hectare</w:t>
      </w:r>
      <w:proofErr w:type="gramEnd"/>
      <w:r w:rsidRPr="006212AF">
        <w:rPr>
          <w:rFonts w:ascii="Arial" w:hAnsi="Arial" w:cs="Arial"/>
          <w:b/>
          <w:bCs/>
          <w:szCs w:val="24"/>
        </w:rPr>
        <w:t xml:space="preserve"> Northshore Gold property is located in the Schreiber-</w:t>
      </w:r>
      <w:proofErr w:type="spellStart"/>
      <w:r w:rsidRPr="006212AF">
        <w:rPr>
          <w:rFonts w:ascii="Arial" w:hAnsi="Arial" w:cs="Arial"/>
          <w:b/>
          <w:bCs/>
          <w:szCs w:val="24"/>
        </w:rPr>
        <w:t>Hemlo</w:t>
      </w:r>
      <w:proofErr w:type="spellEnd"/>
      <w:r w:rsidRPr="006212AF">
        <w:rPr>
          <w:rFonts w:ascii="Arial" w:hAnsi="Arial" w:cs="Arial"/>
          <w:b/>
          <w:bCs/>
          <w:szCs w:val="24"/>
        </w:rPr>
        <w:t xml:space="preserve"> Greenstone Belt. The project contains the </w:t>
      </w:r>
      <w:proofErr w:type="spellStart"/>
      <w:r w:rsidRPr="006212AF">
        <w:rPr>
          <w:rFonts w:ascii="Arial" w:hAnsi="Arial" w:cs="Arial"/>
          <w:b/>
          <w:bCs/>
          <w:szCs w:val="24"/>
        </w:rPr>
        <w:t>Afric</w:t>
      </w:r>
      <w:proofErr w:type="spellEnd"/>
      <w:r w:rsidRPr="006212AF">
        <w:rPr>
          <w:rFonts w:ascii="Arial" w:hAnsi="Arial" w:cs="Arial"/>
          <w:b/>
          <w:bCs/>
          <w:szCs w:val="24"/>
        </w:rPr>
        <w:t xml:space="preserve"> Deposit, which remains one of Ontario's largest undeveloped prospective gold deposits</w:t>
      </w:r>
      <w:r w:rsidR="00682CCD" w:rsidRPr="006212AF">
        <w:rPr>
          <w:rFonts w:ascii="Arial" w:hAnsi="Arial" w:cs="Arial"/>
          <w:b/>
          <w:bCs/>
          <w:szCs w:val="24"/>
        </w:rPr>
        <w:t xml:space="preserve">. </w:t>
      </w:r>
      <w:r w:rsidRPr="006212AF">
        <w:rPr>
          <w:rFonts w:ascii="Arial" w:hAnsi="Arial" w:cs="Arial"/>
          <w:b/>
          <w:bCs/>
          <w:szCs w:val="24"/>
        </w:rPr>
        <w:t xml:space="preserve">The </w:t>
      </w:r>
      <w:proofErr w:type="spellStart"/>
      <w:r w:rsidRPr="006212AF">
        <w:rPr>
          <w:rFonts w:ascii="Arial" w:hAnsi="Arial" w:cs="Arial"/>
          <w:b/>
          <w:bCs/>
          <w:szCs w:val="24"/>
        </w:rPr>
        <w:t>Afric</w:t>
      </w:r>
      <w:proofErr w:type="spellEnd"/>
      <w:r w:rsidRPr="006212AF">
        <w:rPr>
          <w:rFonts w:ascii="Arial" w:hAnsi="Arial" w:cs="Arial"/>
          <w:b/>
          <w:bCs/>
          <w:szCs w:val="24"/>
        </w:rPr>
        <w:t xml:space="preserve"> Deposit area measures approximately 350 by 500 metres and is open for expansion in all directions as well as at depth.</w:t>
      </w:r>
    </w:p>
    <w:p w14:paraId="45147306" w14:textId="3C8D7D0E" w:rsidR="00267E25" w:rsidRPr="006212AF" w:rsidRDefault="00267E25" w:rsidP="00AD1B38">
      <w:pPr>
        <w:pStyle w:val="List"/>
        <w:spacing w:before="120"/>
        <w:ind w:left="0" w:firstLine="0"/>
        <w:jc w:val="both"/>
        <w:rPr>
          <w:rFonts w:ascii="Arial" w:hAnsi="Arial" w:cs="Arial"/>
          <w:b/>
          <w:bCs/>
          <w:szCs w:val="24"/>
        </w:rPr>
      </w:pPr>
    </w:p>
    <w:p w14:paraId="1B034DB1" w14:textId="6B564CDE" w:rsidR="00267E25" w:rsidRPr="006212AF" w:rsidRDefault="00267E25" w:rsidP="00AD1B38">
      <w:pPr>
        <w:pStyle w:val="List"/>
        <w:spacing w:before="120"/>
        <w:ind w:left="0" w:firstLine="0"/>
        <w:jc w:val="both"/>
        <w:rPr>
          <w:rFonts w:ascii="Arial" w:hAnsi="Arial" w:cs="Arial"/>
          <w:b/>
          <w:bCs/>
          <w:szCs w:val="24"/>
        </w:rPr>
      </w:pPr>
      <w:r w:rsidRPr="006212AF">
        <w:rPr>
          <w:rFonts w:ascii="Arial" w:hAnsi="Arial" w:cs="Arial"/>
          <w:b/>
          <w:bCs/>
          <w:szCs w:val="24"/>
        </w:rPr>
        <w:t xml:space="preserve">The </w:t>
      </w:r>
      <w:proofErr w:type="spellStart"/>
      <w:r w:rsidRPr="006212AF">
        <w:rPr>
          <w:rFonts w:ascii="Arial" w:hAnsi="Arial" w:cs="Arial"/>
          <w:b/>
          <w:bCs/>
          <w:szCs w:val="24"/>
        </w:rPr>
        <w:t>Hemlo</w:t>
      </w:r>
      <w:proofErr w:type="spellEnd"/>
      <w:r w:rsidRPr="006212AF">
        <w:rPr>
          <w:rFonts w:ascii="Arial" w:hAnsi="Arial" w:cs="Arial"/>
          <w:b/>
          <w:bCs/>
          <w:szCs w:val="24"/>
        </w:rPr>
        <w:t xml:space="preserve"> Eastern Flank property is two separate claim blocks for a total of 4,453 hectares. Both border a land package optioned by Barrick Gold Corporation in a recent transaction with </w:t>
      </w:r>
      <w:proofErr w:type="spellStart"/>
      <w:r w:rsidRPr="006212AF">
        <w:rPr>
          <w:rFonts w:ascii="Arial" w:hAnsi="Arial" w:cs="Arial"/>
          <w:b/>
          <w:bCs/>
          <w:szCs w:val="24"/>
        </w:rPr>
        <w:t>Metalcorp</w:t>
      </w:r>
      <w:proofErr w:type="spellEnd"/>
      <w:r w:rsidRPr="006212AF">
        <w:rPr>
          <w:rFonts w:ascii="Arial" w:hAnsi="Arial" w:cs="Arial"/>
          <w:b/>
          <w:bCs/>
          <w:szCs w:val="24"/>
        </w:rPr>
        <w:t xml:space="preserve"> and sits just 7km east of Barrick's operating </w:t>
      </w:r>
      <w:proofErr w:type="spellStart"/>
      <w:r w:rsidRPr="006212AF">
        <w:rPr>
          <w:rFonts w:ascii="Arial" w:hAnsi="Arial" w:cs="Arial"/>
          <w:b/>
          <w:bCs/>
          <w:szCs w:val="24"/>
        </w:rPr>
        <w:t>Hemlo</w:t>
      </w:r>
      <w:proofErr w:type="spellEnd"/>
      <w:r w:rsidRPr="006212AF">
        <w:rPr>
          <w:rFonts w:ascii="Arial" w:hAnsi="Arial" w:cs="Arial"/>
          <w:b/>
          <w:bCs/>
          <w:szCs w:val="24"/>
        </w:rPr>
        <w:t xml:space="preserve"> Mine. The </w:t>
      </w:r>
      <w:proofErr w:type="spellStart"/>
      <w:r w:rsidRPr="006212AF">
        <w:rPr>
          <w:rFonts w:ascii="Arial" w:hAnsi="Arial" w:cs="Arial"/>
          <w:b/>
          <w:bCs/>
          <w:szCs w:val="24"/>
        </w:rPr>
        <w:t>Hemlo</w:t>
      </w:r>
      <w:proofErr w:type="spellEnd"/>
      <w:r w:rsidRPr="006212AF">
        <w:rPr>
          <w:rFonts w:ascii="Arial" w:hAnsi="Arial" w:cs="Arial"/>
          <w:b/>
          <w:bCs/>
          <w:szCs w:val="24"/>
        </w:rPr>
        <w:t xml:space="preserve"> Eastern Flank property is underlain by similar geology as that associated with the </w:t>
      </w:r>
      <w:proofErr w:type="spellStart"/>
      <w:r w:rsidRPr="006212AF">
        <w:rPr>
          <w:rFonts w:ascii="Arial" w:hAnsi="Arial" w:cs="Arial"/>
          <w:b/>
          <w:bCs/>
          <w:szCs w:val="24"/>
        </w:rPr>
        <w:t>Hemlo</w:t>
      </w:r>
      <w:proofErr w:type="spellEnd"/>
      <w:r w:rsidRPr="006212AF">
        <w:rPr>
          <w:rFonts w:ascii="Arial" w:hAnsi="Arial" w:cs="Arial"/>
          <w:b/>
          <w:bCs/>
          <w:szCs w:val="24"/>
        </w:rPr>
        <w:t xml:space="preserve"> deposit and is located along the same corridor. </w:t>
      </w:r>
    </w:p>
    <w:p w14:paraId="5D630952" w14:textId="3B6988D9" w:rsidR="00267E25" w:rsidRPr="006212AF" w:rsidRDefault="00267E25" w:rsidP="00AD1B38">
      <w:pPr>
        <w:pStyle w:val="List"/>
        <w:spacing w:before="120"/>
        <w:ind w:left="0" w:firstLine="0"/>
        <w:jc w:val="both"/>
        <w:rPr>
          <w:rFonts w:ascii="Arial" w:hAnsi="Arial" w:cs="Arial"/>
          <w:b/>
          <w:bCs/>
          <w:szCs w:val="24"/>
        </w:rPr>
      </w:pPr>
    </w:p>
    <w:p w14:paraId="3660142E" w14:textId="6AD2971C" w:rsidR="00682CCD" w:rsidRPr="006212AF" w:rsidRDefault="00267E25" w:rsidP="00AD1B38">
      <w:pPr>
        <w:pStyle w:val="List"/>
        <w:spacing w:before="120"/>
        <w:ind w:left="0" w:firstLine="0"/>
        <w:jc w:val="both"/>
        <w:rPr>
          <w:rFonts w:ascii="Arial" w:hAnsi="Arial" w:cs="Arial"/>
          <w:b/>
          <w:bCs/>
          <w:szCs w:val="24"/>
        </w:rPr>
      </w:pPr>
      <w:r w:rsidRPr="006212AF">
        <w:rPr>
          <w:rFonts w:ascii="Arial" w:hAnsi="Arial" w:cs="Arial"/>
          <w:b/>
          <w:bCs/>
          <w:szCs w:val="24"/>
        </w:rPr>
        <w:t xml:space="preserve">The Emmons Peak property totals 1,634 hectares and is in the Wabigoon Terrane of Ontario. The Wabigoon district hosts notable advanced gold projects such as Treasury Metals' Goliath and the </w:t>
      </w:r>
      <w:proofErr w:type="spellStart"/>
      <w:r w:rsidRPr="006212AF">
        <w:rPr>
          <w:rFonts w:ascii="Arial" w:hAnsi="Arial" w:cs="Arial"/>
          <w:b/>
          <w:bCs/>
          <w:szCs w:val="24"/>
        </w:rPr>
        <w:t>Goldlund</w:t>
      </w:r>
      <w:proofErr w:type="spellEnd"/>
      <w:r w:rsidRPr="006212AF">
        <w:rPr>
          <w:rFonts w:ascii="Arial" w:hAnsi="Arial" w:cs="Arial"/>
          <w:b/>
          <w:bCs/>
          <w:szCs w:val="24"/>
        </w:rPr>
        <w:t xml:space="preserve"> deposits. </w:t>
      </w:r>
    </w:p>
    <w:p w14:paraId="2BFBF938" w14:textId="77777777" w:rsidR="00682CCD" w:rsidRPr="00691211" w:rsidRDefault="00682CCD" w:rsidP="00AD1B38">
      <w:pPr>
        <w:pStyle w:val="List"/>
        <w:spacing w:before="120"/>
        <w:ind w:left="0" w:firstLine="0"/>
        <w:jc w:val="both"/>
        <w:rPr>
          <w:rFonts w:ascii="Arial" w:hAnsi="Arial" w:cs="Arial"/>
          <w:szCs w:val="24"/>
        </w:rPr>
      </w:pPr>
    </w:p>
    <w:p w14:paraId="341C0568" w14:textId="5F5DF300" w:rsidR="00267E25" w:rsidRPr="006212AF" w:rsidRDefault="00267E25" w:rsidP="00AD1B38">
      <w:pPr>
        <w:pStyle w:val="List"/>
        <w:spacing w:before="120"/>
        <w:ind w:left="0" w:firstLine="0"/>
        <w:jc w:val="both"/>
        <w:rPr>
          <w:rFonts w:ascii="Arial" w:hAnsi="Arial" w:cs="Arial"/>
          <w:b/>
          <w:bCs/>
          <w:szCs w:val="24"/>
          <w:u w:val="single"/>
        </w:rPr>
      </w:pPr>
      <w:r w:rsidRPr="006212AF">
        <w:rPr>
          <w:rFonts w:ascii="Arial" w:hAnsi="Arial" w:cs="Arial"/>
          <w:b/>
          <w:bCs/>
          <w:szCs w:val="24"/>
          <w:u w:val="single"/>
        </w:rPr>
        <w:t xml:space="preserve">Marketing </w:t>
      </w:r>
      <w:r w:rsidR="00162F3D" w:rsidRPr="006212AF">
        <w:rPr>
          <w:rFonts w:ascii="Arial" w:hAnsi="Arial" w:cs="Arial"/>
          <w:b/>
          <w:bCs/>
          <w:szCs w:val="24"/>
          <w:u w:val="single"/>
        </w:rPr>
        <w:t>U</w:t>
      </w:r>
      <w:r w:rsidRPr="006212AF">
        <w:rPr>
          <w:rFonts w:ascii="Arial" w:hAnsi="Arial" w:cs="Arial"/>
          <w:b/>
          <w:bCs/>
          <w:szCs w:val="24"/>
          <w:u w:val="single"/>
        </w:rPr>
        <w:t xml:space="preserve">pdate </w:t>
      </w:r>
    </w:p>
    <w:p w14:paraId="32402CFB" w14:textId="77777777" w:rsidR="004467A5" w:rsidRPr="006212AF" w:rsidRDefault="004467A5" w:rsidP="00AD1B38">
      <w:pPr>
        <w:pStyle w:val="List"/>
        <w:spacing w:before="120"/>
        <w:ind w:left="0" w:firstLine="0"/>
        <w:jc w:val="both"/>
        <w:rPr>
          <w:rFonts w:ascii="Arial" w:hAnsi="Arial" w:cs="Arial"/>
          <w:b/>
          <w:bCs/>
          <w:szCs w:val="24"/>
          <w:u w:val="single"/>
        </w:rPr>
      </w:pPr>
    </w:p>
    <w:p w14:paraId="55AFE058" w14:textId="42B71576" w:rsidR="00267E25" w:rsidRPr="006212AF" w:rsidRDefault="00267E25" w:rsidP="00AD1B38">
      <w:pPr>
        <w:pStyle w:val="List"/>
        <w:spacing w:before="120"/>
        <w:ind w:left="0" w:firstLine="0"/>
        <w:jc w:val="both"/>
        <w:rPr>
          <w:rFonts w:ascii="Arial" w:hAnsi="Arial" w:cs="Arial"/>
          <w:b/>
          <w:bCs/>
          <w:szCs w:val="24"/>
        </w:rPr>
      </w:pPr>
      <w:r w:rsidRPr="006212AF">
        <w:rPr>
          <w:rFonts w:ascii="Arial" w:hAnsi="Arial" w:cs="Arial"/>
          <w:b/>
          <w:bCs/>
          <w:szCs w:val="24"/>
        </w:rPr>
        <w:t xml:space="preserve">On </w:t>
      </w:r>
      <w:proofErr w:type="gramStart"/>
      <w:r w:rsidRPr="006212AF">
        <w:rPr>
          <w:rFonts w:ascii="Arial" w:hAnsi="Arial" w:cs="Arial"/>
          <w:b/>
          <w:bCs/>
          <w:szCs w:val="24"/>
        </w:rPr>
        <w:t>January 12, 2021</w:t>
      </w:r>
      <w:proofErr w:type="gramEnd"/>
      <w:r w:rsidRPr="006212AF">
        <w:rPr>
          <w:rFonts w:ascii="Arial" w:hAnsi="Arial" w:cs="Arial"/>
          <w:b/>
          <w:bCs/>
          <w:szCs w:val="24"/>
        </w:rPr>
        <w:t xml:space="preserve"> the Issuer announced that it has engaged a syndicate of marketers, market making and consultants to help share Ready Set Gold's information to a wider audience. This syndicate </w:t>
      </w:r>
      <w:proofErr w:type="gramStart"/>
      <w:r w:rsidRPr="006212AF">
        <w:rPr>
          <w:rFonts w:ascii="Arial" w:hAnsi="Arial" w:cs="Arial"/>
          <w:b/>
          <w:bCs/>
          <w:szCs w:val="24"/>
        </w:rPr>
        <w:t>includes;</w:t>
      </w:r>
      <w:proofErr w:type="gramEnd"/>
      <w:r w:rsidRPr="006212AF">
        <w:rPr>
          <w:rFonts w:ascii="Arial" w:hAnsi="Arial" w:cs="Arial"/>
          <w:b/>
          <w:bCs/>
          <w:szCs w:val="24"/>
        </w:rPr>
        <w:t xml:space="preserve"> Proactive Investors North America Inc. ("Proactive"), Market One Media Group Inc. ("Market One"), </w:t>
      </w:r>
      <w:proofErr w:type="spellStart"/>
      <w:r w:rsidRPr="006212AF">
        <w:rPr>
          <w:rFonts w:ascii="Arial" w:hAnsi="Arial" w:cs="Arial"/>
          <w:b/>
          <w:bCs/>
          <w:szCs w:val="24"/>
        </w:rPr>
        <w:t>Stockhouse</w:t>
      </w:r>
      <w:proofErr w:type="spellEnd"/>
      <w:r w:rsidRPr="006212AF">
        <w:rPr>
          <w:rFonts w:ascii="Arial" w:hAnsi="Arial" w:cs="Arial"/>
          <w:b/>
          <w:bCs/>
          <w:szCs w:val="24"/>
        </w:rPr>
        <w:t xml:space="preserve"> Publishing Ltd. ("</w:t>
      </w:r>
      <w:proofErr w:type="spellStart"/>
      <w:r w:rsidRPr="006212AF">
        <w:rPr>
          <w:rFonts w:ascii="Arial" w:hAnsi="Arial" w:cs="Arial"/>
          <w:b/>
          <w:bCs/>
          <w:szCs w:val="24"/>
        </w:rPr>
        <w:t>Stockhouse</w:t>
      </w:r>
      <w:proofErr w:type="spellEnd"/>
      <w:r w:rsidRPr="006212AF">
        <w:rPr>
          <w:rFonts w:ascii="Arial" w:hAnsi="Arial" w:cs="Arial"/>
          <w:b/>
          <w:bCs/>
          <w:szCs w:val="24"/>
        </w:rPr>
        <w:t xml:space="preserve">"), Mezzo Consulting Services S.A. ("Mezzo"), Golden Capital Consulting Ltd. ("Golden"), Investing News Network ("Investing News Network"), and Gerhard Merkel ("Gerhard Merkel") (collectively, the "the Syndicate") to provide services to the </w:t>
      </w:r>
      <w:r w:rsidR="00162F3D" w:rsidRPr="006212AF">
        <w:rPr>
          <w:rFonts w:ascii="Arial" w:hAnsi="Arial" w:cs="Arial"/>
          <w:b/>
          <w:bCs/>
          <w:szCs w:val="24"/>
        </w:rPr>
        <w:t>Issuer</w:t>
      </w:r>
      <w:r w:rsidRPr="006212AF">
        <w:rPr>
          <w:rFonts w:ascii="Arial" w:hAnsi="Arial" w:cs="Arial"/>
          <w:b/>
          <w:bCs/>
          <w:szCs w:val="24"/>
        </w:rPr>
        <w:t>.</w:t>
      </w:r>
    </w:p>
    <w:p w14:paraId="4A66DBEF" w14:textId="77777777" w:rsidR="00162F3D" w:rsidRPr="00162F3D" w:rsidRDefault="00162F3D" w:rsidP="00AD1B38">
      <w:pPr>
        <w:pStyle w:val="List"/>
        <w:spacing w:before="120"/>
        <w:ind w:left="0" w:firstLine="0"/>
        <w:jc w:val="both"/>
        <w:rPr>
          <w:rFonts w:ascii="Arial" w:hAnsi="Arial" w:cs="Arial"/>
          <w:szCs w:val="24"/>
        </w:rPr>
      </w:pPr>
    </w:p>
    <w:p w14:paraId="59791349" w14:textId="1BE7485A" w:rsidR="00640E94" w:rsidRDefault="00640E94">
      <w:pPr>
        <w:pStyle w:val="List"/>
        <w:numPr>
          <w:ilvl w:val="0"/>
          <w:numId w:val="28"/>
        </w:numPr>
        <w:spacing w:before="120"/>
        <w:jc w:val="both"/>
        <w:rPr>
          <w:rFonts w:ascii="Arial" w:hAnsi="Arial" w:cs="Arial"/>
          <w:szCs w:val="24"/>
        </w:rPr>
      </w:pPr>
      <w:r w:rsidRPr="00691211">
        <w:rPr>
          <w:rFonts w:ascii="Arial" w:hAnsi="Arial" w:cs="Arial"/>
          <w:szCs w:val="24"/>
        </w:rPr>
        <w:t>Provide a general overview and discussion of the activities of management.</w:t>
      </w:r>
    </w:p>
    <w:p w14:paraId="12CF61FD" w14:textId="77777777" w:rsidR="00C538F5" w:rsidRPr="00691211" w:rsidRDefault="00C538F5" w:rsidP="00C538F5">
      <w:pPr>
        <w:pStyle w:val="List"/>
        <w:spacing w:before="120"/>
        <w:ind w:left="720" w:firstLine="0"/>
        <w:jc w:val="both"/>
        <w:rPr>
          <w:rFonts w:ascii="Arial" w:hAnsi="Arial" w:cs="Arial"/>
          <w:szCs w:val="24"/>
        </w:rPr>
      </w:pPr>
    </w:p>
    <w:p w14:paraId="707911D0" w14:textId="2CEA4CA3" w:rsidR="00267E25" w:rsidRPr="006212AF" w:rsidRDefault="00267E25" w:rsidP="00267E25">
      <w:pPr>
        <w:pStyle w:val="List"/>
        <w:spacing w:before="120"/>
        <w:jc w:val="both"/>
        <w:rPr>
          <w:rFonts w:ascii="Arial" w:hAnsi="Arial" w:cs="Arial"/>
          <w:b/>
          <w:bCs/>
          <w:szCs w:val="24"/>
        </w:rPr>
      </w:pPr>
      <w:r w:rsidRPr="006212AF">
        <w:rPr>
          <w:rFonts w:ascii="Arial" w:hAnsi="Arial" w:cs="Arial"/>
          <w:b/>
          <w:bCs/>
          <w:szCs w:val="24"/>
        </w:rPr>
        <w:t xml:space="preserve">See Item 1. </w:t>
      </w:r>
    </w:p>
    <w:p w14:paraId="338AE2FB" w14:textId="77777777" w:rsidR="00C538F5" w:rsidRPr="00691211" w:rsidRDefault="00C538F5" w:rsidP="00267E25">
      <w:pPr>
        <w:pStyle w:val="List"/>
        <w:spacing w:before="120"/>
        <w:jc w:val="both"/>
        <w:rPr>
          <w:rFonts w:ascii="Arial" w:hAnsi="Arial" w:cs="Arial"/>
          <w:szCs w:val="24"/>
        </w:rPr>
      </w:pPr>
    </w:p>
    <w:p w14:paraId="14E5AF43" w14:textId="443BBC1D" w:rsidR="00640E94" w:rsidRDefault="00640E94">
      <w:pPr>
        <w:pStyle w:val="List"/>
        <w:numPr>
          <w:ilvl w:val="0"/>
          <w:numId w:val="28"/>
        </w:numPr>
        <w:spacing w:before="120"/>
        <w:jc w:val="both"/>
        <w:rPr>
          <w:rFonts w:ascii="Arial" w:hAnsi="Arial" w:cs="Arial"/>
          <w:szCs w:val="24"/>
        </w:rPr>
      </w:pPr>
      <w:r w:rsidRPr="00691211">
        <w:rPr>
          <w:rFonts w:ascii="Arial" w:hAnsi="Arial" w:cs="Arial"/>
          <w:szCs w:val="24"/>
        </w:rPr>
        <w:t xml:space="preserve">Describe and provide details of any new products or services developed or offered. For resource companies, provide details of new drilling, exploration or production </w:t>
      </w:r>
      <w:r w:rsidRPr="00691211">
        <w:rPr>
          <w:rFonts w:ascii="Arial" w:hAnsi="Arial" w:cs="Arial"/>
          <w:szCs w:val="24"/>
        </w:rPr>
        <w:lastRenderedPageBreak/>
        <w:t>programs and acquisitions of any new properties and attach any mineral or oil and gas or other reports required under Ontario securities law.</w:t>
      </w:r>
    </w:p>
    <w:p w14:paraId="42AC8D96" w14:textId="77777777" w:rsidR="00C538F5" w:rsidRDefault="00C538F5" w:rsidP="00C538F5">
      <w:pPr>
        <w:pStyle w:val="List"/>
        <w:spacing w:before="120"/>
        <w:ind w:left="720" w:firstLine="0"/>
        <w:jc w:val="both"/>
        <w:rPr>
          <w:rFonts w:ascii="Arial" w:hAnsi="Arial" w:cs="Arial"/>
          <w:szCs w:val="24"/>
        </w:rPr>
      </w:pPr>
    </w:p>
    <w:p w14:paraId="1E6512F9" w14:textId="3514456D" w:rsidR="004467A5" w:rsidRPr="006212AF" w:rsidRDefault="004467A5" w:rsidP="00C538F5">
      <w:pPr>
        <w:pStyle w:val="List"/>
        <w:spacing w:before="120"/>
        <w:ind w:left="0" w:firstLine="0"/>
        <w:jc w:val="both"/>
        <w:rPr>
          <w:rFonts w:ascii="Arial" w:hAnsi="Arial" w:cs="Arial"/>
          <w:b/>
          <w:bCs/>
          <w:szCs w:val="24"/>
        </w:rPr>
      </w:pPr>
      <w:r w:rsidRPr="006212AF">
        <w:rPr>
          <w:rFonts w:ascii="Arial" w:hAnsi="Arial" w:cs="Arial"/>
          <w:b/>
          <w:bCs/>
          <w:szCs w:val="24"/>
        </w:rPr>
        <w:t xml:space="preserve">On </w:t>
      </w:r>
      <w:proofErr w:type="gramStart"/>
      <w:r w:rsidRPr="006212AF">
        <w:rPr>
          <w:rFonts w:ascii="Arial" w:hAnsi="Arial" w:cs="Arial"/>
          <w:b/>
          <w:bCs/>
          <w:szCs w:val="24"/>
        </w:rPr>
        <w:t>January 26, 2021</w:t>
      </w:r>
      <w:proofErr w:type="gramEnd"/>
      <w:r w:rsidRPr="006212AF">
        <w:rPr>
          <w:rFonts w:ascii="Arial" w:hAnsi="Arial" w:cs="Arial"/>
          <w:b/>
          <w:bCs/>
          <w:szCs w:val="24"/>
        </w:rPr>
        <w:t xml:space="preserve"> the Issuer announced </w:t>
      </w:r>
      <w:r w:rsidR="00C538F5" w:rsidRPr="006212AF">
        <w:rPr>
          <w:rFonts w:ascii="Arial" w:hAnsi="Arial" w:cs="Arial"/>
          <w:b/>
          <w:bCs/>
          <w:szCs w:val="24"/>
        </w:rPr>
        <w:t>at the Phase 1 diamond drilling program has</w:t>
      </w:r>
      <w:r w:rsidR="00C538F5" w:rsidRPr="006212AF">
        <w:rPr>
          <w:rFonts w:ascii="Arial" w:hAnsi="Arial" w:cs="Arial"/>
          <w:b/>
          <w:bCs/>
          <w:szCs w:val="24"/>
        </w:rPr>
        <w:t xml:space="preserve"> </w:t>
      </w:r>
      <w:r w:rsidR="00C538F5" w:rsidRPr="006212AF">
        <w:rPr>
          <w:rFonts w:ascii="Arial" w:hAnsi="Arial" w:cs="Arial"/>
          <w:b/>
          <w:bCs/>
          <w:szCs w:val="24"/>
        </w:rPr>
        <w:t>recently begun at the Company's Flagship Northshore Gold project ("Northshore" or the</w:t>
      </w:r>
      <w:r w:rsidR="00C538F5" w:rsidRPr="006212AF">
        <w:rPr>
          <w:rFonts w:ascii="Arial" w:hAnsi="Arial" w:cs="Arial"/>
          <w:b/>
          <w:bCs/>
          <w:szCs w:val="24"/>
        </w:rPr>
        <w:t xml:space="preserve"> </w:t>
      </w:r>
      <w:r w:rsidR="00C538F5" w:rsidRPr="006212AF">
        <w:rPr>
          <w:rFonts w:ascii="Arial" w:hAnsi="Arial" w:cs="Arial"/>
          <w:b/>
          <w:bCs/>
          <w:szCs w:val="24"/>
        </w:rPr>
        <w:t>"Project")</w:t>
      </w:r>
      <w:r w:rsidR="00C538F5" w:rsidRPr="006212AF">
        <w:rPr>
          <w:rFonts w:ascii="Arial" w:hAnsi="Arial" w:cs="Arial"/>
          <w:b/>
          <w:bCs/>
          <w:szCs w:val="24"/>
        </w:rPr>
        <w:t xml:space="preserve"> </w:t>
      </w:r>
      <w:r w:rsidR="00C538F5" w:rsidRPr="006212AF">
        <w:rPr>
          <w:rFonts w:ascii="Arial" w:hAnsi="Arial" w:cs="Arial"/>
          <w:b/>
          <w:bCs/>
          <w:szCs w:val="24"/>
        </w:rPr>
        <w:t xml:space="preserve">located in the gold producing </w:t>
      </w:r>
      <w:proofErr w:type="spellStart"/>
      <w:r w:rsidR="00C538F5" w:rsidRPr="006212AF">
        <w:rPr>
          <w:rFonts w:ascii="Arial" w:hAnsi="Arial" w:cs="Arial"/>
          <w:b/>
          <w:bCs/>
          <w:szCs w:val="24"/>
        </w:rPr>
        <w:t>Hemlo</w:t>
      </w:r>
      <w:proofErr w:type="spellEnd"/>
      <w:r w:rsidR="00C538F5" w:rsidRPr="006212AF">
        <w:rPr>
          <w:rFonts w:ascii="Arial" w:hAnsi="Arial" w:cs="Arial"/>
          <w:b/>
          <w:bCs/>
          <w:szCs w:val="24"/>
        </w:rPr>
        <w:t xml:space="preserve"> region of Ontario. Three drill holes have been completed to date.</w:t>
      </w:r>
    </w:p>
    <w:p w14:paraId="06E2E0F9" w14:textId="48DD588B" w:rsidR="00C538F5" w:rsidRPr="006212AF" w:rsidRDefault="00C538F5" w:rsidP="00C538F5">
      <w:pPr>
        <w:pStyle w:val="List"/>
        <w:spacing w:before="120"/>
        <w:ind w:left="0" w:firstLine="0"/>
        <w:jc w:val="both"/>
        <w:rPr>
          <w:rFonts w:ascii="Arial" w:hAnsi="Arial" w:cs="Arial"/>
          <w:b/>
          <w:bCs/>
          <w:szCs w:val="24"/>
        </w:rPr>
      </w:pPr>
    </w:p>
    <w:p w14:paraId="6E9AAD27" w14:textId="7FA11D19" w:rsidR="00C538F5" w:rsidRPr="006212AF" w:rsidRDefault="00C538F5" w:rsidP="00C538F5">
      <w:pPr>
        <w:pStyle w:val="List"/>
        <w:spacing w:before="120"/>
        <w:ind w:left="0" w:firstLine="0"/>
        <w:jc w:val="both"/>
        <w:rPr>
          <w:rFonts w:ascii="Arial" w:hAnsi="Arial" w:cs="Arial"/>
          <w:b/>
          <w:bCs/>
        </w:rPr>
      </w:pPr>
      <w:r w:rsidRPr="006212AF">
        <w:rPr>
          <w:rFonts w:ascii="Arial" w:hAnsi="Arial" w:cs="Arial"/>
          <w:b/>
          <w:bCs/>
        </w:rPr>
        <w:t xml:space="preserve">The Issuer's focus </w:t>
      </w:r>
      <w:r w:rsidRPr="006212AF">
        <w:rPr>
          <w:rFonts w:ascii="Arial" w:hAnsi="Arial" w:cs="Arial"/>
          <w:b/>
          <w:bCs/>
        </w:rPr>
        <w:t xml:space="preserve">is to define the gold grade continuity of the </w:t>
      </w:r>
      <w:proofErr w:type="spellStart"/>
      <w:r w:rsidRPr="006212AF">
        <w:rPr>
          <w:rFonts w:ascii="Arial" w:hAnsi="Arial" w:cs="Arial"/>
          <w:b/>
          <w:bCs/>
        </w:rPr>
        <w:t>Afric</w:t>
      </w:r>
      <w:proofErr w:type="spellEnd"/>
      <w:r w:rsidRPr="006212AF">
        <w:rPr>
          <w:rFonts w:ascii="Arial" w:hAnsi="Arial" w:cs="Arial"/>
          <w:b/>
          <w:bCs/>
        </w:rPr>
        <w:t xml:space="preserve"> Zone to aid in the further development of the geological model. The drilling will advance the</w:t>
      </w:r>
      <w:r w:rsidRPr="006212AF">
        <w:rPr>
          <w:rFonts w:ascii="Arial" w:hAnsi="Arial" w:cs="Arial"/>
          <w:b/>
          <w:bCs/>
        </w:rPr>
        <w:t xml:space="preserve"> Issuer's</w:t>
      </w:r>
      <w:r w:rsidRPr="006212AF">
        <w:rPr>
          <w:rFonts w:ascii="Arial" w:hAnsi="Arial" w:cs="Arial"/>
          <w:b/>
          <w:bCs/>
        </w:rPr>
        <w:t xml:space="preserve"> efforts towards defining a NI 43-101 mineral resource on the </w:t>
      </w:r>
      <w:proofErr w:type="spellStart"/>
      <w:r w:rsidRPr="006212AF">
        <w:rPr>
          <w:rFonts w:ascii="Arial" w:hAnsi="Arial" w:cs="Arial"/>
          <w:b/>
          <w:bCs/>
        </w:rPr>
        <w:t>Afric</w:t>
      </w:r>
      <w:proofErr w:type="spellEnd"/>
      <w:r w:rsidRPr="006212AF">
        <w:rPr>
          <w:rFonts w:ascii="Arial" w:hAnsi="Arial" w:cs="Arial"/>
          <w:b/>
          <w:bCs/>
        </w:rPr>
        <w:t xml:space="preserve"> Zone and will evaluate potential extensions to the east and the west and to depth. The program will also test, relatively untested, parallel east-west vein systems, to the north of the </w:t>
      </w:r>
      <w:proofErr w:type="spellStart"/>
      <w:r w:rsidRPr="006212AF">
        <w:rPr>
          <w:rFonts w:ascii="Arial" w:hAnsi="Arial" w:cs="Arial"/>
          <w:b/>
          <w:bCs/>
        </w:rPr>
        <w:t>Afric</w:t>
      </w:r>
      <w:proofErr w:type="spellEnd"/>
      <w:r w:rsidRPr="006212AF">
        <w:rPr>
          <w:rFonts w:ascii="Arial" w:hAnsi="Arial" w:cs="Arial"/>
          <w:b/>
          <w:bCs/>
        </w:rPr>
        <w:t xml:space="preserve"> Zone, such as the #4, #5, Gino and Main veins</w:t>
      </w:r>
      <w:r w:rsidRPr="006212AF">
        <w:rPr>
          <w:rFonts w:ascii="Arial" w:hAnsi="Arial" w:cs="Arial"/>
          <w:b/>
          <w:bCs/>
        </w:rPr>
        <w:t xml:space="preserve">. </w:t>
      </w:r>
    </w:p>
    <w:p w14:paraId="2F5B31DB" w14:textId="77777777" w:rsidR="00C538F5" w:rsidRPr="006212AF" w:rsidRDefault="00C538F5" w:rsidP="00C538F5">
      <w:pPr>
        <w:pStyle w:val="List"/>
        <w:spacing w:before="120"/>
        <w:ind w:left="0" w:firstLine="0"/>
        <w:jc w:val="both"/>
        <w:rPr>
          <w:rFonts w:ascii="Arial" w:hAnsi="Arial" w:cs="Arial"/>
          <w:b/>
          <w:bCs/>
          <w:szCs w:val="24"/>
        </w:rPr>
      </w:pPr>
    </w:p>
    <w:p w14:paraId="55404886" w14:textId="4F98ED95" w:rsidR="00C538F5" w:rsidRPr="006212AF" w:rsidRDefault="00C538F5" w:rsidP="00C538F5">
      <w:pPr>
        <w:pStyle w:val="List"/>
        <w:spacing w:before="120"/>
        <w:ind w:left="0" w:firstLine="0"/>
        <w:jc w:val="both"/>
        <w:rPr>
          <w:rFonts w:ascii="Arial" w:hAnsi="Arial" w:cs="Arial"/>
          <w:b/>
          <w:bCs/>
          <w:szCs w:val="24"/>
        </w:rPr>
      </w:pPr>
      <w:r w:rsidRPr="006212AF">
        <w:rPr>
          <w:rFonts w:ascii="Arial" w:hAnsi="Arial" w:cs="Arial"/>
          <w:b/>
          <w:bCs/>
          <w:szCs w:val="24"/>
        </w:rPr>
        <w:t>T</w:t>
      </w:r>
      <w:r w:rsidRPr="006212AF">
        <w:rPr>
          <w:rFonts w:ascii="Arial" w:hAnsi="Arial" w:cs="Arial"/>
          <w:b/>
          <w:bCs/>
        </w:rPr>
        <w:t xml:space="preserve">he Phase 1 program, which has been contracted to </w:t>
      </w:r>
      <w:proofErr w:type="spellStart"/>
      <w:r w:rsidRPr="006212AF">
        <w:rPr>
          <w:rFonts w:ascii="Arial" w:hAnsi="Arial" w:cs="Arial"/>
          <w:b/>
          <w:bCs/>
        </w:rPr>
        <w:t>Niigaani</w:t>
      </w:r>
      <w:proofErr w:type="spellEnd"/>
      <w:r w:rsidRPr="006212AF">
        <w:rPr>
          <w:rFonts w:ascii="Arial" w:hAnsi="Arial" w:cs="Arial"/>
          <w:b/>
          <w:bCs/>
        </w:rPr>
        <w:t xml:space="preserve"> Drilling of Thunder Bay, is planned for approximately 15 HQ size diamond drill </w:t>
      </w:r>
      <w:proofErr w:type="gramStart"/>
      <w:r w:rsidRPr="006212AF">
        <w:rPr>
          <w:rFonts w:ascii="Arial" w:hAnsi="Arial" w:cs="Arial"/>
          <w:b/>
          <w:bCs/>
        </w:rPr>
        <w:t>holes</w:t>
      </w:r>
      <w:proofErr w:type="gramEnd"/>
      <w:r w:rsidRPr="006212AF">
        <w:rPr>
          <w:rFonts w:ascii="Arial" w:hAnsi="Arial" w:cs="Arial"/>
          <w:b/>
          <w:bCs/>
        </w:rPr>
        <w:t xml:space="preserve"> and is expected to take up to 2 months to complete. The sawed (halved) drill core will be batched and sent for assay throughout the program. Results will be released once data has been received and compiled.</w:t>
      </w:r>
    </w:p>
    <w:p w14:paraId="74B5AD60" w14:textId="75F2E328" w:rsidR="00C538F5" w:rsidRPr="006212AF" w:rsidRDefault="00C538F5" w:rsidP="00C538F5">
      <w:pPr>
        <w:pStyle w:val="List"/>
        <w:spacing w:before="120"/>
        <w:ind w:left="0" w:firstLine="0"/>
        <w:jc w:val="both"/>
        <w:rPr>
          <w:rFonts w:ascii="Arial" w:hAnsi="Arial" w:cs="Arial"/>
          <w:b/>
          <w:bCs/>
          <w:szCs w:val="24"/>
        </w:rPr>
      </w:pPr>
    </w:p>
    <w:p w14:paraId="0201669A" w14:textId="2005DC75" w:rsidR="00C538F5" w:rsidRPr="006212AF" w:rsidRDefault="00C538F5" w:rsidP="00C538F5">
      <w:pPr>
        <w:pStyle w:val="List"/>
        <w:spacing w:before="120"/>
        <w:ind w:left="0" w:firstLine="0"/>
        <w:jc w:val="both"/>
        <w:rPr>
          <w:rFonts w:ascii="Arial" w:hAnsi="Arial" w:cs="Arial"/>
          <w:b/>
          <w:bCs/>
        </w:rPr>
      </w:pPr>
      <w:r w:rsidRPr="006212AF">
        <w:rPr>
          <w:rFonts w:ascii="Arial" w:hAnsi="Arial" w:cs="Arial"/>
          <w:b/>
          <w:bCs/>
        </w:rPr>
        <w:t xml:space="preserve">Peter </w:t>
      </w:r>
      <w:proofErr w:type="spellStart"/>
      <w:r w:rsidRPr="006212AF">
        <w:rPr>
          <w:rFonts w:ascii="Arial" w:hAnsi="Arial" w:cs="Arial"/>
          <w:b/>
          <w:bCs/>
        </w:rPr>
        <w:t>Dimmell</w:t>
      </w:r>
      <w:proofErr w:type="spellEnd"/>
      <w:r w:rsidRPr="006212AF">
        <w:rPr>
          <w:rFonts w:ascii="Arial" w:hAnsi="Arial" w:cs="Arial"/>
          <w:b/>
          <w:bCs/>
        </w:rPr>
        <w:t xml:space="preserve">, P. Geo (ON, NL), a technical advisor to </w:t>
      </w:r>
      <w:r w:rsidRPr="006212AF">
        <w:rPr>
          <w:rFonts w:ascii="Arial" w:hAnsi="Arial" w:cs="Arial"/>
          <w:b/>
          <w:bCs/>
        </w:rPr>
        <w:t>the Issuer</w:t>
      </w:r>
      <w:r w:rsidRPr="006212AF">
        <w:rPr>
          <w:rFonts w:ascii="Arial" w:hAnsi="Arial" w:cs="Arial"/>
          <w:b/>
          <w:bCs/>
        </w:rPr>
        <w:t xml:space="preserve"> and a Qualified Person as defined in National Instrument 43-101, Standards of Disclosure for Mineral Projects, has approved the scientific and technical disclosure </w:t>
      </w:r>
      <w:r w:rsidRPr="006212AF">
        <w:rPr>
          <w:rFonts w:ascii="Arial" w:hAnsi="Arial" w:cs="Arial"/>
          <w:b/>
          <w:bCs/>
        </w:rPr>
        <w:t>in the news release dated January 26, 2021</w:t>
      </w:r>
      <w:r w:rsidRPr="006212AF">
        <w:rPr>
          <w:rFonts w:ascii="Arial" w:hAnsi="Arial" w:cs="Arial"/>
          <w:b/>
          <w:bCs/>
        </w:rPr>
        <w:t>.</w:t>
      </w:r>
    </w:p>
    <w:p w14:paraId="05B83589" w14:textId="77777777" w:rsidR="00C538F5" w:rsidRDefault="00C538F5" w:rsidP="00C538F5">
      <w:pPr>
        <w:pStyle w:val="List"/>
        <w:spacing w:before="120"/>
        <w:ind w:left="0" w:firstLine="0"/>
        <w:jc w:val="both"/>
        <w:rPr>
          <w:rFonts w:ascii="Arial" w:hAnsi="Arial" w:cs="Arial"/>
          <w:szCs w:val="24"/>
        </w:rPr>
      </w:pPr>
    </w:p>
    <w:p w14:paraId="4A816BB7" w14:textId="76A38A55" w:rsidR="00640E94" w:rsidRDefault="00640E94">
      <w:pPr>
        <w:pStyle w:val="List"/>
        <w:numPr>
          <w:ilvl w:val="0"/>
          <w:numId w:val="28"/>
        </w:numPr>
        <w:spacing w:before="120"/>
        <w:jc w:val="both"/>
        <w:rPr>
          <w:rFonts w:ascii="Arial" w:hAnsi="Arial" w:cs="Arial"/>
          <w:szCs w:val="24"/>
        </w:rPr>
      </w:pPr>
      <w:r w:rsidRPr="00691211">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FECAFF" w14:textId="77777777" w:rsidR="006212AF" w:rsidRPr="006212AF" w:rsidRDefault="006212AF" w:rsidP="006212AF">
      <w:pPr>
        <w:pStyle w:val="List"/>
        <w:spacing w:before="120"/>
        <w:ind w:left="0" w:firstLine="0"/>
        <w:jc w:val="both"/>
        <w:rPr>
          <w:rFonts w:ascii="Arial" w:hAnsi="Arial" w:cs="Arial"/>
          <w:b/>
          <w:bCs/>
          <w:szCs w:val="24"/>
        </w:rPr>
      </w:pPr>
    </w:p>
    <w:p w14:paraId="32BA2493" w14:textId="4F48D917" w:rsidR="004467A5" w:rsidRDefault="004467A5" w:rsidP="006212AF">
      <w:pPr>
        <w:pStyle w:val="List"/>
        <w:spacing w:before="120"/>
        <w:jc w:val="both"/>
        <w:rPr>
          <w:rFonts w:ascii="Arial" w:hAnsi="Arial" w:cs="Arial"/>
          <w:b/>
          <w:bCs/>
          <w:szCs w:val="24"/>
        </w:rPr>
      </w:pPr>
      <w:r w:rsidRPr="006212AF">
        <w:rPr>
          <w:rFonts w:ascii="Arial" w:hAnsi="Arial" w:cs="Arial"/>
          <w:b/>
          <w:bCs/>
          <w:szCs w:val="24"/>
        </w:rPr>
        <w:t>None</w:t>
      </w:r>
    </w:p>
    <w:p w14:paraId="38BD2C36" w14:textId="77777777" w:rsidR="006212AF" w:rsidRPr="006212AF" w:rsidRDefault="006212AF" w:rsidP="006212AF">
      <w:pPr>
        <w:pStyle w:val="List"/>
        <w:spacing w:before="120"/>
        <w:jc w:val="both"/>
        <w:rPr>
          <w:rFonts w:ascii="Arial" w:hAnsi="Arial" w:cs="Arial"/>
          <w:b/>
          <w:bCs/>
          <w:szCs w:val="24"/>
        </w:rPr>
      </w:pPr>
    </w:p>
    <w:p w14:paraId="4E34244C" w14:textId="4C55D9D3" w:rsidR="009206DC" w:rsidRDefault="00640E94" w:rsidP="00162F3D">
      <w:pPr>
        <w:pStyle w:val="List"/>
        <w:numPr>
          <w:ilvl w:val="0"/>
          <w:numId w:val="28"/>
        </w:numPr>
        <w:spacing w:before="120"/>
        <w:jc w:val="both"/>
        <w:rPr>
          <w:rFonts w:ascii="Arial" w:hAnsi="Arial" w:cs="Arial"/>
          <w:szCs w:val="24"/>
        </w:rPr>
      </w:pPr>
      <w:r w:rsidRPr="00691211">
        <w:rPr>
          <w:rFonts w:ascii="Arial" w:hAnsi="Arial" w:cs="Arial"/>
          <w:szCs w:val="24"/>
        </w:rPr>
        <w:t xml:space="preserve">Describe any new business relationships </w:t>
      </w:r>
      <w:proofErr w:type="gramStart"/>
      <w:r w:rsidRPr="00691211">
        <w:rPr>
          <w:rFonts w:ascii="Arial" w:hAnsi="Arial" w:cs="Arial"/>
          <w:szCs w:val="24"/>
        </w:rPr>
        <w:t>entered into</w:t>
      </w:r>
      <w:proofErr w:type="gramEnd"/>
      <w:r w:rsidRPr="006912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4925510" w14:textId="77777777" w:rsidR="006212AF" w:rsidRPr="00162F3D" w:rsidRDefault="006212AF" w:rsidP="006212AF">
      <w:pPr>
        <w:pStyle w:val="List"/>
        <w:spacing w:before="120"/>
        <w:ind w:left="0" w:firstLine="0"/>
        <w:jc w:val="both"/>
        <w:rPr>
          <w:rFonts w:ascii="Arial" w:hAnsi="Arial" w:cs="Arial"/>
          <w:szCs w:val="24"/>
        </w:rPr>
      </w:pPr>
    </w:p>
    <w:p w14:paraId="43ABF96E" w14:textId="4CD5FF62" w:rsidR="00267E25" w:rsidRPr="006212AF" w:rsidRDefault="00267E25" w:rsidP="006212AF">
      <w:pPr>
        <w:pStyle w:val="List"/>
        <w:spacing w:before="120"/>
        <w:jc w:val="both"/>
        <w:rPr>
          <w:rFonts w:ascii="Arial" w:hAnsi="Arial" w:cs="Arial"/>
          <w:b/>
          <w:bCs/>
          <w:szCs w:val="24"/>
        </w:rPr>
      </w:pPr>
      <w:r w:rsidRPr="006212AF">
        <w:rPr>
          <w:rFonts w:ascii="Arial" w:hAnsi="Arial" w:cs="Arial"/>
          <w:b/>
          <w:bCs/>
          <w:szCs w:val="24"/>
        </w:rPr>
        <w:t xml:space="preserve">On </w:t>
      </w:r>
      <w:proofErr w:type="gramStart"/>
      <w:r w:rsidRPr="006212AF">
        <w:rPr>
          <w:rFonts w:ascii="Arial" w:hAnsi="Arial" w:cs="Arial"/>
          <w:b/>
          <w:bCs/>
          <w:szCs w:val="24"/>
        </w:rPr>
        <w:t>January 1</w:t>
      </w:r>
      <w:r w:rsidR="00682CCD" w:rsidRPr="006212AF">
        <w:rPr>
          <w:rFonts w:ascii="Arial" w:hAnsi="Arial" w:cs="Arial"/>
          <w:b/>
          <w:bCs/>
          <w:szCs w:val="24"/>
        </w:rPr>
        <w:t>2, 2021</w:t>
      </w:r>
      <w:proofErr w:type="gramEnd"/>
      <w:r w:rsidRPr="006212AF">
        <w:rPr>
          <w:rFonts w:ascii="Arial" w:hAnsi="Arial" w:cs="Arial"/>
          <w:b/>
          <w:bCs/>
          <w:szCs w:val="24"/>
        </w:rPr>
        <w:t xml:space="preserve"> the Issuer announced</w:t>
      </w:r>
      <w:r w:rsidR="00162F3D" w:rsidRPr="006212AF">
        <w:rPr>
          <w:rFonts w:ascii="Arial" w:hAnsi="Arial" w:cs="Arial"/>
          <w:b/>
          <w:bCs/>
          <w:szCs w:val="24"/>
        </w:rPr>
        <w:t xml:space="preserve"> the following</w:t>
      </w:r>
      <w:r w:rsidR="00682CCD" w:rsidRPr="006212AF">
        <w:rPr>
          <w:rFonts w:ascii="Arial" w:hAnsi="Arial" w:cs="Arial"/>
          <w:b/>
          <w:bCs/>
          <w:szCs w:val="24"/>
        </w:rPr>
        <w:t>:</w:t>
      </w:r>
    </w:p>
    <w:p w14:paraId="48B331C3" w14:textId="77777777" w:rsidR="006212AF" w:rsidRPr="006212AF" w:rsidRDefault="006212AF" w:rsidP="009206DC">
      <w:pPr>
        <w:pStyle w:val="List"/>
        <w:spacing w:before="120"/>
        <w:ind w:hanging="360"/>
        <w:jc w:val="both"/>
        <w:rPr>
          <w:rFonts w:ascii="Arial" w:hAnsi="Arial" w:cs="Arial"/>
          <w:b/>
          <w:bCs/>
          <w:szCs w:val="24"/>
        </w:rPr>
      </w:pPr>
    </w:p>
    <w:p w14:paraId="04DE75C4" w14:textId="77777777" w:rsidR="00267E25" w:rsidRPr="006212AF" w:rsidRDefault="00267E25" w:rsidP="003F2BD8">
      <w:pPr>
        <w:pStyle w:val="List"/>
        <w:spacing w:before="120"/>
        <w:ind w:left="720" w:firstLine="0"/>
        <w:jc w:val="both"/>
        <w:rPr>
          <w:rFonts w:ascii="Arial" w:hAnsi="Arial" w:cs="Arial"/>
          <w:b/>
          <w:bCs/>
          <w:szCs w:val="24"/>
          <w:u w:val="single"/>
        </w:rPr>
      </w:pPr>
      <w:r w:rsidRPr="006212AF">
        <w:rPr>
          <w:rFonts w:ascii="Arial" w:hAnsi="Arial" w:cs="Arial"/>
          <w:b/>
          <w:bCs/>
          <w:szCs w:val="24"/>
          <w:u w:val="single"/>
        </w:rPr>
        <w:lastRenderedPageBreak/>
        <w:t>Proactive Investors</w:t>
      </w:r>
    </w:p>
    <w:p w14:paraId="16C88E59" w14:textId="669DAF80" w:rsidR="00267E25" w:rsidRPr="006212AF" w:rsidRDefault="00267E25" w:rsidP="00267E25">
      <w:pPr>
        <w:pStyle w:val="List"/>
        <w:spacing w:before="120"/>
        <w:ind w:left="720" w:firstLine="0"/>
        <w:jc w:val="both"/>
        <w:rPr>
          <w:rFonts w:ascii="Arial" w:hAnsi="Arial" w:cs="Arial"/>
          <w:b/>
          <w:bCs/>
          <w:szCs w:val="24"/>
        </w:rPr>
      </w:pPr>
      <w:r w:rsidRPr="006212AF">
        <w:rPr>
          <w:rFonts w:ascii="Arial" w:hAnsi="Arial" w:cs="Arial"/>
          <w:b/>
          <w:bCs/>
          <w:szCs w:val="24"/>
        </w:rPr>
        <w:t xml:space="preserve">The </w:t>
      </w:r>
      <w:r w:rsidR="00162F3D" w:rsidRPr="006212AF">
        <w:rPr>
          <w:rFonts w:ascii="Arial" w:hAnsi="Arial" w:cs="Arial"/>
          <w:b/>
          <w:bCs/>
          <w:szCs w:val="24"/>
        </w:rPr>
        <w:t>Issuer</w:t>
      </w:r>
      <w:r w:rsidRPr="006212AF">
        <w:rPr>
          <w:rFonts w:ascii="Arial" w:hAnsi="Arial" w:cs="Arial"/>
          <w:b/>
          <w:bCs/>
          <w:szCs w:val="24"/>
        </w:rPr>
        <w:t xml:space="preserve"> has entered into an agreement with Proactive to provide written and video interview coverage of news releases and written content. The agreement covers a term of one year at an aggregate cost of CAD $37,500. To the knowledge of the </w:t>
      </w:r>
      <w:r w:rsidR="00162F3D" w:rsidRPr="006212AF">
        <w:rPr>
          <w:rFonts w:ascii="Arial" w:hAnsi="Arial" w:cs="Arial"/>
          <w:b/>
          <w:bCs/>
          <w:szCs w:val="24"/>
        </w:rPr>
        <w:t>Issuer</w:t>
      </w:r>
      <w:r w:rsidRPr="006212AF">
        <w:rPr>
          <w:rFonts w:ascii="Arial" w:hAnsi="Arial" w:cs="Arial"/>
          <w:b/>
          <w:bCs/>
          <w:szCs w:val="24"/>
        </w:rPr>
        <w:t xml:space="preserve">, Proactive owns 62,500 common shares of the </w:t>
      </w:r>
      <w:r w:rsidR="00162F3D" w:rsidRPr="006212AF">
        <w:rPr>
          <w:rFonts w:ascii="Arial" w:hAnsi="Arial" w:cs="Arial"/>
          <w:b/>
          <w:bCs/>
          <w:szCs w:val="24"/>
        </w:rPr>
        <w:t>Issuer</w:t>
      </w:r>
      <w:r w:rsidRPr="006212AF">
        <w:rPr>
          <w:rFonts w:ascii="Arial" w:hAnsi="Arial" w:cs="Arial"/>
          <w:b/>
          <w:bCs/>
          <w:szCs w:val="24"/>
        </w:rPr>
        <w:t>.</w:t>
      </w:r>
    </w:p>
    <w:p w14:paraId="4A62B830" w14:textId="77777777" w:rsidR="00682CCD" w:rsidRPr="006212AF" w:rsidRDefault="00682CCD" w:rsidP="00267E25">
      <w:pPr>
        <w:pStyle w:val="List"/>
        <w:spacing w:before="120"/>
        <w:ind w:left="720" w:firstLine="0"/>
        <w:jc w:val="both"/>
        <w:rPr>
          <w:rFonts w:ascii="Arial" w:hAnsi="Arial" w:cs="Arial"/>
          <w:b/>
          <w:bCs/>
          <w:szCs w:val="24"/>
        </w:rPr>
      </w:pPr>
    </w:p>
    <w:p w14:paraId="0CB76734" w14:textId="77777777" w:rsidR="00267E25" w:rsidRPr="006212AF" w:rsidRDefault="00267E25" w:rsidP="003F2BD8">
      <w:pPr>
        <w:pStyle w:val="List"/>
        <w:spacing w:before="120"/>
        <w:ind w:left="720" w:firstLine="0"/>
        <w:jc w:val="both"/>
        <w:rPr>
          <w:rFonts w:ascii="Arial" w:hAnsi="Arial" w:cs="Arial"/>
          <w:b/>
          <w:bCs/>
          <w:szCs w:val="24"/>
          <w:u w:val="single"/>
        </w:rPr>
      </w:pPr>
      <w:r w:rsidRPr="006212AF">
        <w:rPr>
          <w:rFonts w:ascii="Arial" w:hAnsi="Arial" w:cs="Arial"/>
          <w:b/>
          <w:bCs/>
          <w:szCs w:val="24"/>
          <w:u w:val="single"/>
        </w:rPr>
        <w:t xml:space="preserve">Market One </w:t>
      </w:r>
    </w:p>
    <w:p w14:paraId="3B482A6C" w14:textId="313B4308" w:rsidR="00267E25" w:rsidRPr="006212AF" w:rsidRDefault="00267E25" w:rsidP="003F2BD8">
      <w:pPr>
        <w:pStyle w:val="List"/>
        <w:spacing w:before="120"/>
        <w:ind w:left="720" w:firstLine="0"/>
        <w:jc w:val="both"/>
        <w:rPr>
          <w:rFonts w:ascii="Arial" w:hAnsi="Arial" w:cs="Arial"/>
          <w:b/>
          <w:bCs/>
          <w:szCs w:val="24"/>
        </w:rPr>
      </w:pPr>
      <w:r w:rsidRPr="006212AF">
        <w:rPr>
          <w:rFonts w:ascii="Arial" w:hAnsi="Arial" w:cs="Arial"/>
          <w:b/>
          <w:bCs/>
          <w:szCs w:val="24"/>
        </w:rPr>
        <w:t xml:space="preserve">The </w:t>
      </w:r>
      <w:r w:rsidR="00162F3D" w:rsidRPr="006212AF">
        <w:rPr>
          <w:rFonts w:ascii="Arial" w:hAnsi="Arial" w:cs="Arial"/>
          <w:b/>
          <w:bCs/>
          <w:szCs w:val="24"/>
        </w:rPr>
        <w:t>Issuer</w:t>
      </w:r>
      <w:r w:rsidRPr="006212AF">
        <w:rPr>
          <w:rFonts w:ascii="Arial" w:hAnsi="Arial" w:cs="Arial"/>
          <w:b/>
          <w:bCs/>
          <w:szCs w:val="24"/>
        </w:rPr>
        <w:t xml:space="preserve"> has entered into an agreement with Market One to provide digital media services, marketing, and data analytics services. The agreement covers a term of one year at an aggregate cost of CAD $300,000. To the knowledge of the </w:t>
      </w:r>
      <w:r w:rsidR="00162F3D" w:rsidRPr="006212AF">
        <w:rPr>
          <w:rFonts w:ascii="Arial" w:hAnsi="Arial" w:cs="Arial"/>
          <w:b/>
          <w:bCs/>
          <w:szCs w:val="24"/>
        </w:rPr>
        <w:t>Issuer</w:t>
      </w:r>
      <w:r w:rsidRPr="006212AF">
        <w:rPr>
          <w:rFonts w:ascii="Arial" w:hAnsi="Arial" w:cs="Arial"/>
          <w:b/>
          <w:bCs/>
          <w:szCs w:val="24"/>
        </w:rPr>
        <w:t xml:space="preserve">, Market One does not own or control any securities of the </w:t>
      </w:r>
      <w:r w:rsidR="00162F3D" w:rsidRPr="006212AF">
        <w:rPr>
          <w:rFonts w:ascii="Arial" w:hAnsi="Arial" w:cs="Arial"/>
          <w:b/>
          <w:bCs/>
          <w:szCs w:val="24"/>
        </w:rPr>
        <w:t>Issuer</w:t>
      </w:r>
      <w:r w:rsidRPr="006212AF">
        <w:rPr>
          <w:rFonts w:ascii="Arial" w:hAnsi="Arial" w:cs="Arial"/>
          <w:b/>
          <w:bCs/>
          <w:szCs w:val="24"/>
        </w:rPr>
        <w:t xml:space="preserve">. </w:t>
      </w:r>
    </w:p>
    <w:p w14:paraId="49874CE4" w14:textId="77777777" w:rsidR="00682CCD" w:rsidRPr="006212AF" w:rsidRDefault="00682CCD" w:rsidP="003F2BD8">
      <w:pPr>
        <w:pStyle w:val="List"/>
        <w:spacing w:before="120"/>
        <w:ind w:left="720" w:firstLine="0"/>
        <w:jc w:val="both"/>
        <w:rPr>
          <w:rFonts w:ascii="Arial" w:hAnsi="Arial" w:cs="Arial"/>
          <w:b/>
          <w:bCs/>
          <w:szCs w:val="24"/>
        </w:rPr>
      </w:pPr>
    </w:p>
    <w:p w14:paraId="693E905F" w14:textId="77777777" w:rsidR="00267E25" w:rsidRPr="006212AF" w:rsidRDefault="00267E25" w:rsidP="003F2BD8">
      <w:pPr>
        <w:pStyle w:val="List"/>
        <w:spacing w:before="120"/>
        <w:ind w:left="720" w:firstLine="0"/>
        <w:jc w:val="both"/>
        <w:rPr>
          <w:rFonts w:ascii="Arial" w:hAnsi="Arial" w:cs="Arial"/>
          <w:b/>
          <w:bCs/>
          <w:szCs w:val="24"/>
          <w:u w:val="single"/>
        </w:rPr>
      </w:pPr>
      <w:proofErr w:type="spellStart"/>
      <w:r w:rsidRPr="006212AF">
        <w:rPr>
          <w:rFonts w:ascii="Arial" w:hAnsi="Arial" w:cs="Arial"/>
          <w:b/>
          <w:bCs/>
          <w:szCs w:val="24"/>
          <w:u w:val="single"/>
        </w:rPr>
        <w:t>Stockhouse</w:t>
      </w:r>
      <w:proofErr w:type="spellEnd"/>
      <w:r w:rsidRPr="006212AF">
        <w:rPr>
          <w:rFonts w:ascii="Arial" w:hAnsi="Arial" w:cs="Arial"/>
          <w:b/>
          <w:bCs/>
          <w:szCs w:val="24"/>
          <w:u w:val="single"/>
        </w:rPr>
        <w:t xml:space="preserve"> </w:t>
      </w:r>
    </w:p>
    <w:p w14:paraId="3CE08E24" w14:textId="0A413012" w:rsidR="00267E25" w:rsidRPr="006212AF" w:rsidRDefault="00267E25" w:rsidP="003F2BD8">
      <w:pPr>
        <w:pStyle w:val="List"/>
        <w:spacing w:before="120"/>
        <w:ind w:left="720" w:firstLine="0"/>
        <w:jc w:val="both"/>
        <w:rPr>
          <w:rFonts w:ascii="Arial" w:hAnsi="Arial" w:cs="Arial"/>
          <w:b/>
          <w:bCs/>
          <w:szCs w:val="24"/>
        </w:rPr>
      </w:pPr>
      <w:r w:rsidRPr="006212AF">
        <w:rPr>
          <w:rFonts w:ascii="Arial" w:hAnsi="Arial" w:cs="Arial"/>
          <w:b/>
          <w:bCs/>
          <w:szCs w:val="24"/>
        </w:rPr>
        <w:t xml:space="preserve">The </w:t>
      </w:r>
      <w:r w:rsidR="00162F3D" w:rsidRPr="006212AF">
        <w:rPr>
          <w:rFonts w:ascii="Arial" w:hAnsi="Arial" w:cs="Arial"/>
          <w:b/>
          <w:bCs/>
          <w:szCs w:val="24"/>
        </w:rPr>
        <w:t>Issuer</w:t>
      </w:r>
      <w:r w:rsidRPr="006212AF">
        <w:rPr>
          <w:rFonts w:ascii="Arial" w:hAnsi="Arial" w:cs="Arial"/>
          <w:b/>
          <w:bCs/>
          <w:szCs w:val="24"/>
        </w:rPr>
        <w:t xml:space="preserve"> has entered into an agreement with </w:t>
      </w:r>
      <w:proofErr w:type="spellStart"/>
      <w:r w:rsidRPr="006212AF">
        <w:rPr>
          <w:rFonts w:ascii="Arial" w:hAnsi="Arial" w:cs="Arial"/>
          <w:b/>
          <w:bCs/>
          <w:szCs w:val="24"/>
        </w:rPr>
        <w:t>Stockhouse</w:t>
      </w:r>
      <w:proofErr w:type="spellEnd"/>
      <w:r w:rsidRPr="006212AF">
        <w:rPr>
          <w:rFonts w:ascii="Arial" w:hAnsi="Arial" w:cs="Arial"/>
          <w:b/>
          <w:bCs/>
          <w:szCs w:val="24"/>
        </w:rPr>
        <w:t xml:space="preserve"> for the purposes of targeting potential investors through their online platform. The agreement covers a term of one year at an aggregate cost of CAD $120,000. To the knowledge of the </w:t>
      </w:r>
      <w:r w:rsidR="00162F3D" w:rsidRPr="006212AF">
        <w:rPr>
          <w:rFonts w:ascii="Arial" w:hAnsi="Arial" w:cs="Arial"/>
          <w:b/>
          <w:bCs/>
          <w:szCs w:val="24"/>
        </w:rPr>
        <w:t>Issuer</w:t>
      </w:r>
      <w:r w:rsidRPr="006212AF">
        <w:rPr>
          <w:rFonts w:ascii="Arial" w:hAnsi="Arial" w:cs="Arial"/>
          <w:b/>
          <w:bCs/>
          <w:szCs w:val="24"/>
        </w:rPr>
        <w:t xml:space="preserve"> </w:t>
      </w:r>
      <w:proofErr w:type="spellStart"/>
      <w:r w:rsidRPr="006212AF">
        <w:rPr>
          <w:rFonts w:ascii="Arial" w:hAnsi="Arial" w:cs="Arial"/>
          <w:b/>
          <w:bCs/>
          <w:szCs w:val="24"/>
        </w:rPr>
        <w:t>Stockhouse</w:t>
      </w:r>
      <w:proofErr w:type="spellEnd"/>
      <w:r w:rsidRPr="006212AF">
        <w:rPr>
          <w:rFonts w:ascii="Arial" w:hAnsi="Arial" w:cs="Arial"/>
          <w:b/>
          <w:bCs/>
          <w:szCs w:val="24"/>
        </w:rPr>
        <w:t xml:space="preserve"> does not own or control any securities of the </w:t>
      </w:r>
      <w:r w:rsidR="00162F3D" w:rsidRPr="006212AF">
        <w:rPr>
          <w:rFonts w:ascii="Arial" w:hAnsi="Arial" w:cs="Arial"/>
          <w:b/>
          <w:bCs/>
          <w:szCs w:val="24"/>
        </w:rPr>
        <w:t>Issuer</w:t>
      </w:r>
      <w:r w:rsidRPr="006212AF">
        <w:rPr>
          <w:rFonts w:ascii="Arial" w:hAnsi="Arial" w:cs="Arial"/>
          <w:b/>
          <w:bCs/>
          <w:szCs w:val="24"/>
        </w:rPr>
        <w:t xml:space="preserve">. </w:t>
      </w:r>
    </w:p>
    <w:p w14:paraId="01DDE9BA" w14:textId="77777777" w:rsidR="00F47A96" w:rsidRPr="006212AF" w:rsidRDefault="00F47A96" w:rsidP="003F2BD8">
      <w:pPr>
        <w:pStyle w:val="List"/>
        <w:spacing w:before="120"/>
        <w:ind w:left="720" w:firstLine="0"/>
        <w:jc w:val="both"/>
        <w:rPr>
          <w:rFonts w:ascii="Arial" w:hAnsi="Arial" w:cs="Arial"/>
          <w:b/>
          <w:bCs/>
          <w:szCs w:val="24"/>
        </w:rPr>
      </w:pPr>
    </w:p>
    <w:p w14:paraId="2E2701AA" w14:textId="38045B55" w:rsidR="00267E25" w:rsidRPr="006212AF" w:rsidRDefault="00267E25" w:rsidP="003F2BD8">
      <w:pPr>
        <w:pStyle w:val="List"/>
        <w:spacing w:before="120"/>
        <w:ind w:left="720" w:firstLine="0"/>
        <w:jc w:val="both"/>
        <w:rPr>
          <w:rFonts w:ascii="Arial" w:hAnsi="Arial" w:cs="Arial"/>
          <w:b/>
          <w:bCs/>
          <w:szCs w:val="24"/>
          <w:u w:val="single"/>
        </w:rPr>
      </w:pPr>
      <w:r w:rsidRPr="006212AF">
        <w:rPr>
          <w:rFonts w:ascii="Arial" w:hAnsi="Arial" w:cs="Arial"/>
          <w:b/>
          <w:bCs/>
          <w:szCs w:val="24"/>
          <w:u w:val="single"/>
        </w:rPr>
        <w:t xml:space="preserve">Mezzo &amp; Golden </w:t>
      </w:r>
    </w:p>
    <w:p w14:paraId="6D128E08" w14:textId="4840D87D" w:rsidR="00267E25" w:rsidRPr="006212AF" w:rsidRDefault="00162F3D" w:rsidP="003F2BD8">
      <w:pPr>
        <w:pStyle w:val="List"/>
        <w:spacing w:before="120"/>
        <w:ind w:left="720" w:firstLine="0"/>
        <w:jc w:val="both"/>
        <w:rPr>
          <w:rFonts w:ascii="Arial" w:hAnsi="Arial" w:cs="Arial"/>
          <w:b/>
          <w:bCs/>
          <w:szCs w:val="24"/>
        </w:rPr>
      </w:pPr>
      <w:r w:rsidRPr="006212AF">
        <w:rPr>
          <w:rFonts w:ascii="Arial" w:hAnsi="Arial" w:cs="Arial"/>
          <w:b/>
          <w:bCs/>
          <w:szCs w:val="24"/>
        </w:rPr>
        <w:t>T</w:t>
      </w:r>
      <w:r w:rsidR="00267E25" w:rsidRPr="006212AF">
        <w:rPr>
          <w:rFonts w:ascii="Arial" w:hAnsi="Arial" w:cs="Arial"/>
          <w:b/>
          <w:bCs/>
          <w:szCs w:val="24"/>
        </w:rPr>
        <w:t xml:space="preserve">he </w:t>
      </w:r>
      <w:r w:rsidRPr="006212AF">
        <w:rPr>
          <w:rFonts w:ascii="Arial" w:hAnsi="Arial" w:cs="Arial"/>
          <w:b/>
          <w:bCs/>
          <w:szCs w:val="24"/>
        </w:rPr>
        <w:t>Issuer</w:t>
      </w:r>
      <w:r w:rsidR="00267E25" w:rsidRPr="006212AF">
        <w:rPr>
          <w:rFonts w:ascii="Arial" w:hAnsi="Arial" w:cs="Arial"/>
          <w:b/>
          <w:bCs/>
          <w:szCs w:val="24"/>
        </w:rPr>
        <w:t xml:space="preserve"> has entered into an agreement with Mezzo for the purposes of introducing the </w:t>
      </w:r>
      <w:r w:rsidRPr="006212AF">
        <w:rPr>
          <w:rFonts w:ascii="Arial" w:hAnsi="Arial" w:cs="Arial"/>
          <w:b/>
          <w:bCs/>
          <w:szCs w:val="24"/>
        </w:rPr>
        <w:t>Issuer</w:t>
      </w:r>
      <w:r w:rsidR="00267E25" w:rsidRPr="006212AF">
        <w:rPr>
          <w:rFonts w:ascii="Arial" w:hAnsi="Arial" w:cs="Arial"/>
          <w:b/>
          <w:bCs/>
          <w:szCs w:val="24"/>
        </w:rPr>
        <w:t xml:space="preserve"> to a European audience. The agreement covers a term of six months for an aggregate cost of CAD $314,000, which covers fees for both Mezzo and Golden. To the knowledge of the </w:t>
      </w:r>
      <w:r w:rsidRPr="006212AF">
        <w:rPr>
          <w:rFonts w:ascii="Arial" w:hAnsi="Arial" w:cs="Arial"/>
          <w:b/>
          <w:bCs/>
          <w:szCs w:val="24"/>
        </w:rPr>
        <w:t>Issuer</w:t>
      </w:r>
      <w:r w:rsidR="00267E25" w:rsidRPr="006212AF">
        <w:rPr>
          <w:rFonts w:ascii="Arial" w:hAnsi="Arial" w:cs="Arial"/>
          <w:b/>
          <w:bCs/>
          <w:szCs w:val="24"/>
        </w:rPr>
        <w:t xml:space="preserve"> Mezzo and Golden each own 75,000 stock options for common stock of the </w:t>
      </w:r>
      <w:r w:rsidRPr="006212AF">
        <w:rPr>
          <w:rFonts w:ascii="Arial" w:hAnsi="Arial" w:cs="Arial"/>
          <w:b/>
          <w:bCs/>
          <w:szCs w:val="24"/>
        </w:rPr>
        <w:t>Issuer</w:t>
      </w:r>
      <w:r w:rsidR="00267E25" w:rsidRPr="006212AF">
        <w:rPr>
          <w:rFonts w:ascii="Arial" w:hAnsi="Arial" w:cs="Arial"/>
          <w:b/>
          <w:bCs/>
          <w:szCs w:val="24"/>
        </w:rPr>
        <w:t xml:space="preserve">. </w:t>
      </w:r>
    </w:p>
    <w:p w14:paraId="7ABDFF16" w14:textId="77777777" w:rsidR="00682CCD" w:rsidRPr="006212AF" w:rsidRDefault="00682CCD" w:rsidP="003F2BD8">
      <w:pPr>
        <w:pStyle w:val="List"/>
        <w:spacing w:before="120"/>
        <w:ind w:left="720" w:firstLine="0"/>
        <w:jc w:val="both"/>
        <w:rPr>
          <w:rFonts w:ascii="Arial" w:hAnsi="Arial" w:cs="Arial"/>
          <w:b/>
          <w:bCs/>
          <w:szCs w:val="24"/>
        </w:rPr>
      </w:pPr>
    </w:p>
    <w:p w14:paraId="50A3A667" w14:textId="77777777" w:rsidR="00267E25" w:rsidRPr="006212AF" w:rsidRDefault="00267E25" w:rsidP="003F2BD8">
      <w:pPr>
        <w:pStyle w:val="List"/>
        <w:spacing w:before="120"/>
        <w:ind w:left="720" w:firstLine="0"/>
        <w:jc w:val="both"/>
        <w:rPr>
          <w:rFonts w:ascii="Arial" w:hAnsi="Arial" w:cs="Arial"/>
          <w:b/>
          <w:bCs/>
          <w:szCs w:val="24"/>
          <w:u w:val="single"/>
        </w:rPr>
      </w:pPr>
      <w:r w:rsidRPr="006212AF">
        <w:rPr>
          <w:rFonts w:ascii="Arial" w:hAnsi="Arial" w:cs="Arial"/>
          <w:b/>
          <w:bCs/>
          <w:szCs w:val="24"/>
          <w:u w:val="single"/>
        </w:rPr>
        <w:t xml:space="preserve">Investing News Network </w:t>
      </w:r>
    </w:p>
    <w:p w14:paraId="3AF92F32" w14:textId="65EFDA5D" w:rsidR="00267E25" w:rsidRPr="006212AF" w:rsidRDefault="00267E25" w:rsidP="003F2BD8">
      <w:pPr>
        <w:pStyle w:val="List"/>
        <w:spacing w:before="120"/>
        <w:ind w:left="720" w:firstLine="0"/>
        <w:jc w:val="both"/>
        <w:rPr>
          <w:rFonts w:ascii="Arial" w:hAnsi="Arial" w:cs="Arial"/>
          <w:b/>
          <w:bCs/>
          <w:szCs w:val="24"/>
        </w:rPr>
      </w:pPr>
      <w:r w:rsidRPr="006212AF">
        <w:rPr>
          <w:rFonts w:ascii="Arial" w:hAnsi="Arial" w:cs="Arial"/>
          <w:b/>
          <w:bCs/>
          <w:szCs w:val="24"/>
        </w:rPr>
        <w:t xml:space="preserve">The </w:t>
      </w:r>
      <w:r w:rsidR="00162F3D" w:rsidRPr="006212AF">
        <w:rPr>
          <w:rFonts w:ascii="Arial" w:hAnsi="Arial" w:cs="Arial"/>
          <w:b/>
          <w:bCs/>
          <w:szCs w:val="24"/>
        </w:rPr>
        <w:t>Issuer</w:t>
      </w:r>
      <w:r w:rsidRPr="006212AF">
        <w:rPr>
          <w:rFonts w:ascii="Arial" w:hAnsi="Arial" w:cs="Arial"/>
          <w:b/>
          <w:bCs/>
          <w:szCs w:val="24"/>
        </w:rPr>
        <w:t xml:space="preserve"> has entered into an agreement with Investing News Network for the purpose of targeting potential investors through their online platform. The agreement covers a term of one year for an aggregate cost of CAD $80,000. To the knowledge of the </w:t>
      </w:r>
      <w:r w:rsidR="00162F3D" w:rsidRPr="006212AF">
        <w:rPr>
          <w:rFonts w:ascii="Arial" w:hAnsi="Arial" w:cs="Arial"/>
          <w:b/>
          <w:bCs/>
          <w:szCs w:val="24"/>
        </w:rPr>
        <w:t>Issuer</w:t>
      </w:r>
      <w:r w:rsidRPr="006212AF">
        <w:rPr>
          <w:rFonts w:ascii="Arial" w:hAnsi="Arial" w:cs="Arial"/>
          <w:b/>
          <w:bCs/>
          <w:szCs w:val="24"/>
        </w:rPr>
        <w:t xml:space="preserve"> Investing News Network does not own or control any securities of the </w:t>
      </w:r>
      <w:r w:rsidR="00162F3D" w:rsidRPr="006212AF">
        <w:rPr>
          <w:rFonts w:ascii="Arial" w:hAnsi="Arial" w:cs="Arial"/>
          <w:b/>
          <w:bCs/>
          <w:szCs w:val="24"/>
        </w:rPr>
        <w:t>Issuer</w:t>
      </w:r>
      <w:r w:rsidRPr="006212AF">
        <w:rPr>
          <w:rFonts w:ascii="Arial" w:hAnsi="Arial" w:cs="Arial"/>
          <w:b/>
          <w:bCs/>
          <w:szCs w:val="24"/>
        </w:rPr>
        <w:t>.</w:t>
      </w:r>
    </w:p>
    <w:p w14:paraId="3D9906DD" w14:textId="77777777" w:rsidR="00682CCD" w:rsidRPr="006212AF" w:rsidRDefault="00682CCD" w:rsidP="003F2BD8">
      <w:pPr>
        <w:pStyle w:val="List"/>
        <w:spacing w:before="120"/>
        <w:ind w:left="720" w:firstLine="0"/>
        <w:jc w:val="both"/>
        <w:rPr>
          <w:rFonts w:ascii="Arial" w:hAnsi="Arial" w:cs="Arial"/>
          <w:b/>
          <w:bCs/>
          <w:szCs w:val="24"/>
        </w:rPr>
      </w:pPr>
    </w:p>
    <w:p w14:paraId="66ED056A" w14:textId="77777777" w:rsidR="00267E25" w:rsidRPr="006212AF" w:rsidRDefault="00267E25" w:rsidP="003F2BD8">
      <w:pPr>
        <w:pStyle w:val="List"/>
        <w:spacing w:before="120"/>
        <w:ind w:left="720" w:firstLine="0"/>
        <w:jc w:val="both"/>
        <w:rPr>
          <w:rFonts w:ascii="Arial" w:hAnsi="Arial" w:cs="Arial"/>
          <w:b/>
          <w:bCs/>
          <w:szCs w:val="24"/>
          <w:u w:val="single"/>
        </w:rPr>
      </w:pPr>
      <w:r w:rsidRPr="006212AF">
        <w:rPr>
          <w:rFonts w:ascii="Arial" w:hAnsi="Arial" w:cs="Arial"/>
          <w:b/>
          <w:bCs/>
          <w:szCs w:val="24"/>
          <w:u w:val="single"/>
        </w:rPr>
        <w:t>Gerhard Merkel</w:t>
      </w:r>
    </w:p>
    <w:p w14:paraId="07D240FE" w14:textId="5625F6B7" w:rsidR="00267E25" w:rsidRPr="006212AF" w:rsidRDefault="00267E25" w:rsidP="003F2BD8">
      <w:pPr>
        <w:pStyle w:val="List"/>
        <w:spacing w:before="120"/>
        <w:ind w:left="720" w:firstLine="0"/>
        <w:jc w:val="both"/>
        <w:rPr>
          <w:rFonts w:ascii="Arial" w:hAnsi="Arial" w:cs="Arial"/>
          <w:b/>
          <w:bCs/>
          <w:szCs w:val="24"/>
        </w:rPr>
      </w:pPr>
      <w:r w:rsidRPr="006212AF">
        <w:rPr>
          <w:rFonts w:ascii="Arial" w:hAnsi="Arial" w:cs="Arial"/>
          <w:b/>
          <w:bCs/>
          <w:szCs w:val="24"/>
        </w:rPr>
        <w:t xml:space="preserve">The </w:t>
      </w:r>
      <w:r w:rsidR="00162F3D" w:rsidRPr="006212AF">
        <w:rPr>
          <w:rFonts w:ascii="Arial" w:hAnsi="Arial" w:cs="Arial"/>
          <w:b/>
          <w:bCs/>
          <w:szCs w:val="24"/>
        </w:rPr>
        <w:t>Issuer</w:t>
      </w:r>
      <w:r w:rsidRPr="006212AF">
        <w:rPr>
          <w:rFonts w:ascii="Arial" w:hAnsi="Arial" w:cs="Arial"/>
          <w:b/>
          <w:bCs/>
          <w:szCs w:val="24"/>
        </w:rPr>
        <w:t xml:space="preserve"> has entered into a consulting agreement with Gerhard Merkel for the purpose of targeting potential global investors. The agreement covers one year for an aggregate cost of CAD $125,000. To the knowledge of the </w:t>
      </w:r>
      <w:r w:rsidR="00162F3D" w:rsidRPr="006212AF">
        <w:rPr>
          <w:rFonts w:ascii="Arial" w:hAnsi="Arial" w:cs="Arial"/>
          <w:b/>
          <w:bCs/>
          <w:szCs w:val="24"/>
        </w:rPr>
        <w:t>Issuer</w:t>
      </w:r>
      <w:r w:rsidRPr="006212AF">
        <w:rPr>
          <w:rFonts w:ascii="Arial" w:hAnsi="Arial" w:cs="Arial"/>
          <w:b/>
          <w:bCs/>
          <w:szCs w:val="24"/>
        </w:rPr>
        <w:t xml:space="preserve"> Gerhard Merkel does not own nor control any securities of the </w:t>
      </w:r>
      <w:r w:rsidR="00162F3D" w:rsidRPr="006212AF">
        <w:rPr>
          <w:rFonts w:ascii="Arial" w:hAnsi="Arial" w:cs="Arial"/>
          <w:b/>
          <w:bCs/>
          <w:szCs w:val="24"/>
        </w:rPr>
        <w:t>Issuer</w:t>
      </w:r>
      <w:r w:rsidRPr="006212AF">
        <w:rPr>
          <w:rFonts w:ascii="Arial" w:hAnsi="Arial" w:cs="Arial"/>
          <w:b/>
          <w:bCs/>
          <w:szCs w:val="24"/>
        </w:rPr>
        <w:t>.</w:t>
      </w:r>
    </w:p>
    <w:p w14:paraId="53B4CCB8" w14:textId="07641B36" w:rsidR="00640E94" w:rsidRDefault="00640E94">
      <w:pPr>
        <w:pStyle w:val="List"/>
        <w:numPr>
          <w:ilvl w:val="0"/>
          <w:numId w:val="28"/>
        </w:numPr>
        <w:spacing w:before="120"/>
        <w:jc w:val="both"/>
        <w:rPr>
          <w:rFonts w:ascii="Arial" w:hAnsi="Arial" w:cs="Arial"/>
          <w:szCs w:val="24"/>
        </w:rPr>
      </w:pPr>
      <w:r w:rsidRPr="00691211">
        <w:rPr>
          <w:rFonts w:ascii="Arial" w:hAnsi="Arial" w:cs="Arial"/>
          <w:szCs w:val="24"/>
        </w:rPr>
        <w:lastRenderedPageBreak/>
        <w:t>Describe the expiry or termination of any contracts or agreements between the Issuer, the Issuer’s affiliates or third parties or cancellation of any financing arrangements that have been previously announced.</w:t>
      </w:r>
    </w:p>
    <w:p w14:paraId="267495D3" w14:textId="77777777" w:rsidR="006212AF" w:rsidRPr="00691211" w:rsidRDefault="006212AF" w:rsidP="006212AF">
      <w:pPr>
        <w:pStyle w:val="List"/>
        <w:spacing w:before="120"/>
        <w:ind w:left="0" w:firstLine="0"/>
        <w:jc w:val="both"/>
        <w:rPr>
          <w:rFonts w:ascii="Arial" w:hAnsi="Arial" w:cs="Arial"/>
          <w:szCs w:val="24"/>
        </w:rPr>
      </w:pPr>
    </w:p>
    <w:p w14:paraId="615FCB31" w14:textId="61A483C3" w:rsidR="003F2BD8" w:rsidRDefault="003F2BD8" w:rsidP="003F2BD8">
      <w:pPr>
        <w:pStyle w:val="List"/>
        <w:spacing w:before="120"/>
        <w:ind w:left="1800"/>
        <w:jc w:val="both"/>
        <w:rPr>
          <w:rFonts w:ascii="Arial" w:hAnsi="Arial" w:cs="Arial"/>
          <w:b/>
          <w:bCs/>
          <w:szCs w:val="24"/>
        </w:rPr>
      </w:pPr>
      <w:r w:rsidRPr="006212AF">
        <w:rPr>
          <w:rFonts w:ascii="Arial" w:hAnsi="Arial" w:cs="Arial"/>
          <w:b/>
          <w:bCs/>
          <w:szCs w:val="24"/>
        </w:rPr>
        <w:t>None</w:t>
      </w:r>
    </w:p>
    <w:p w14:paraId="7F5FADF2" w14:textId="77777777" w:rsidR="006212AF" w:rsidRPr="006212AF" w:rsidRDefault="006212AF" w:rsidP="006212AF">
      <w:pPr>
        <w:pStyle w:val="List"/>
        <w:spacing w:before="120"/>
        <w:jc w:val="both"/>
        <w:rPr>
          <w:rFonts w:ascii="Arial" w:hAnsi="Arial" w:cs="Arial"/>
          <w:b/>
          <w:bCs/>
          <w:szCs w:val="24"/>
        </w:rPr>
      </w:pPr>
    </w:p>
    <w:p w14:paraId="5A1E9079" w14:textId="14A12284" w:rsidR="00640E94" w:rsidRDefault="00640E94">
      <w:pPr>
        <w:pStyle w:val="List"/>
        <w:numPr>
          <w:ilvl w:val="0"/>
          <w:numId w:val="28"/>
        </w:numPr>
        <w:spacing w:before="120"/>
        <w:jc w:val="both"/>
        <w:rPr>
          <w:rFonts w:ascii="Arial" w:hAnsi="Arial" w:cs="Arial"/>
          <w:szCs w:val="24"/>
        </w:rPr>
      </w:pPr>
      <w:r w:rsidRPr="00691211">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4B5D056" w14:textId="77777777" w:rsidR="006212AF" w:rsidRPr="00691211" w:rsidRDefault="006212AF" w:rsidP="001F1905">
      <w:pPr>
        <w:pStyle w:val="List"/>
        <w:spacing w:before="120"/>
        <w:ind w:left="0" w:firstLine="0"/>
        <w:jc w:val="both"/>
        <w:rPr>
          <w:rFonts w:ascii="Arial" w:hAnsi="Arial" w:cs="Arial"/>
          <w:szCs w:val="24"/>
        </w:rPr>
      </w:pPr>
    </w:p>
    <w:p w14:paraId="700B3B81" w14:textId="4E06376D" w:rsidR="003F2BD8" w:rsidRDefault="003F2BD8" w:rsidP="003F2BD8">
      <w:pPr>
        <w:pStyle w:val="List"/>
        <w:spacing w:before="120"/>
        <w:ind w:left="720" w:firstLine="0"/>
        <w:jc w:val="both"/>
        <w:rPr>
          <w:rFonts w:ascii="Arial" w:hAnsi="Arial" w:cs="Arial"/>
          <w:b/>
          <w:bCs/>
          <w:szCs w:val="24"/>
        </w:rPr>
      </w:pPr>
      <w:r w:rsidRPr="006212AF">
        <w:rPr>
          <w:rFonts w:ascii="Arial" w:hAnsi="Arial" w:cs="Arial"/>
          <w:b/>
          <w:bCs/>
          <w:szCs w:val="24"/>
        </w:rPr>
        <w:t>None</w:t>
      </w:r>
    </w:p>
    <w:p w14:paraId="5F8935AD" w14:textId="77777777" w:rsidR="006212AF" w:rsidRPr="006212AF" w:rsidRDefault="006212AF" w:rsidP="006212AF">
      <w:pPr>
        <w:pStyle w:val="List"/>
        <w:spacing w:before="120"/>
        <w:jc w:val="both"/>
        <w:rPr>
          <w:rFonts w:ascii="Arial" w:hAnsi="Arial" w:cs="Arial"/>
          <w:b/>
          <w:bCs/>
          <w:szCs w:val="24"/>
        </w:rPr>
      </w:pPr>
    </w:p>
    <w:p w14:paraId="619965CB" w14:textId="2DDD08F6" w:rsidR="00640E94" w:rsidRDefault="00640E94">
      <w:pPr>
        <w:pStyle w:val="List"/>
        <w:numPr>
          <w:ilvl w:val="0"/>
          <w:numId w:val="28"/>
        </w:numPr>
        <w:spacing w:before="120"/>
        <w:jc w:val="both"/>
        <w:rPr>
          <w:rFonts w:ascii="Arial" w:hAnsi="Arial" w:cs="Arial"/>
          <w:szCs w:val="24"/>
        </w:rPr>
      </w:pPr>
      <w:r w:rsidRPr="00691211">
        <w:rPr>
          <w:rFonts w:ascii="Arial" w:hAnsi="Arial" w:cs="Arial"/>
          <w:szCs w:val="24"/>
        </w:rPr>
        <w:t>Describe the acquisition of new customers or loss of customers</w:t>
      </w:r>
    </w:p>
    <w:p w14:paraId="13AD9A6A" w14:textId="77777777" w:rsidR="006212AF" w:rsidRPr="00691211" w:rsidRDefault="006212AF" w:rsidP="006212AF">
      <w:pPr>
        <w:pStyle w:val="List"/>
        <w:spacing w:before="120"/>
        <w:ind w:left="0" w:firstLine="0"/>
        <w:jc w:val="both"/>
        <w:rPr>
          <w:rFonts w:ascii="Arial" w:hAnsi="Arial" w:cs="Arial"/>
          <w:szCs w:val="24"/>
        </w:rPr>
      </w:pPr>
    </w:p>
    <w:p w14:paraId="1942F383" w14:textId="06098E35" w:rsidR="003F2BD8" w:rsidRDefault="003F2BD8" w:rsidP="003F2BD8">
      <w:pPr>
        <w:pStyle w:val="List"/>
        <w:spacing w:before="120"/>
        <w:ind w:left="720" w:firstLine="0"/>
        <w:jc w:val="both"/>
        <w:rPr>
          <w:rFonts w:ascii="Arial" w:hAnsi="Arial" w:cs="Arial"/>
          <w:b/>
          <w:bCs/>
          <w:szCs w:val="24"/>
        </w:rPr>
      </w:pPr>
      <w:r w:rsidRPr="006212AF">
        <w:rPr>
          <w:rFonts w:ascii="Arial" w:hAnsi="Arial" w:cs="Arial"/>
          <w:b/>
          <w:bCs/>
          <w:szCs w:val="24"/>
        </w:rPr>
        <w:t>N/A</w:t>
      </w:r>
    </w:p>
    <w:p w14:paraId="37A1357C" w14:textId="77777777" w:rsidR="006212AF" w:rsidRPr="006212AF" w:rsidRDefault="006212AF" w:rsidP="006212AF">
      <w:pPr>
        <w:pStyle w:val="List"/>
        <w:spacing w:before="120"/>
        <w:jc w:val="both"/>
        <w:rPr>
          <w:rFonts w:ascii="Arial" w:hAnsi="Arial" w:cs="Arial"/>
          <w:b/>
          <w:bCs/>
          <w:szCs w:val="24"/>
        </w:rPr>
      </w:pPr>
    </w:p>
    <w:p w14:paraId="54E315E7" w14:textId="3E8DB2A9" w:rsidR="00640E94" w:rsidRDefault="00640E94">
      <w:pPr>
        <w:pStyle w:val="List"/>
        <w:numPr>
          <w:ilvl w:val="0"/>
          <w:numId w:val="28"/>
        </w:numPr>
        <w:spacing w:before="120"/>
        <w:jc w:val="both"/>
        <w:rPr>
          <w:rFonts w:ascii="Arial" w:hAnsi="Arial" w:cs="Arial"/>
          <w:szCs w:val="24"/>
        </w:rPr>
      </w:pPr>
      <w:r w:rsidRPr="006912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691211">
        <w:rPr>
          <w:rFonts w:ascii="Arial" w:hAnsi="Arial" w:cs="Arial"/>
          <w:szCs w:val="24"/>
        </w:rPr>
        <w:t>trade-marks</w:t>
      </w:r>
      <w:proofErr w:type="gramEnd"/>
      <w:r w:rsidRPr="00691211">
        <w:rPr>
          <w:rFonts w:ascii="Arial" w:hAnsi="Arial" w:cs="Arial"/>
          <w:szCs w:val="24"/>
        </w:rPr>
        <w:t>.</w:t>
      </w:r>
    </w:p>
    <w:p w14:paraId="5D0BC45A" w14:textId="77777777" w:rsidR="006212AF" w:rsidRPr="00691211" w:rsidRDefault="006212AF" w:rsidP="006212AF">
      <w:pPr>
        <w:pStyle w:val="List"/>
        <w:spacing w:before="120"/>
        <w:ind w:left="0" w:firstLine="0"/>
        <w:jc w:val="both"/>
        <w:rPr>
          <w:rFonts w:ascii="Arial" w:hAnsi="Arial" w:cs="Arial"/>
          <w:szCs w:val="24"/>
        </w:rPr>
      </w:pPr>
    </w:p>
    <w:p w14:paraId="4B4989CF" w14:textId="27788B10" w:rsidR="003F2BD8" w:rsidRDefault="003F2BD8" w:rsidP="003F2BD8">
      <w:pPr>
        <w:pStyle w:val="List"/>
        <w:spacing w:before="120"/>
        <w:ind w:left="720" w:firstLine="0"/>
        <w:jc w:val="both"/>
        <w:rPr>
          <w:rFonts w:ascii="Arial" w:hAnsi="Arial" w:cs="Arial"/>
          <w:b/>
          <w:bCs/>
          <w:szCs w:val="24"/>
        </w:rPr>
      </w:pPr>
      <w:r w:rsidRPr="006212AF">
        <w:rPr>
          <w:rFonts w:ascii="Arial" w:hAnsi="Arial" w:cs="Arial"/>
          <w:b/>
          <w:bCs/>
          <w:szCs w:val="24"/>
        </w:rPr>
        <w:t>None</w:t>
      </w:r>
    </w:p>
    <w:p w14:paraId="567B9A89" w14:textId="77777777" w:rsidR="006212AF" w:rsidRPr="006212AF" w:rsidRDefault="006212AF" w:rsidP="006212AF">
      <w:pPr>
        <w:pStyle w:val="List"/>
        <w:spacing w:before="120"/>
        <w:jc w:val="both"/>
        <w:rPr>
          <w:rFonts w:ascii="Arial" w:hAnsi="Arial" w:cs="Arial"/>
          <w:b/>
          <w:bCs/>
          <w:szCs w:val="24"/>
        </w:rPr>
      </w:pPr>
    </w:p>
    <w:p w14:paraId="26CC341C" w14:textId="5EE45CAC" w:rsidR="00640E94" w:rsidRDefault="00640E94">
      <w:pPr>
        <w:pStyle w:val="List"/>
        <w:numPr>
          <w:ilvl w:val="0"/>
          <w:numId w:val="28"/>
        </w:numPr>
        <w:spacing w:before="120"/>
        <w:jc w:val="both"/>
        <w:rPr>
          <w:rFonts w:ascii="Arial" w:hAnsi="Arial" w:cs="Arial"/>
          <w:szCs w:val="24"/>
        </w:rPr>
      </w:pPr>
      <w:r w:rsidRPr="00691211">
        <w:rPr>
          <w:rFonts w:ascii="Arial" w:hAnsi="Arial" w:cs="Arial"/>
          <w:szCs w:val="24"/>
        </w:rPr>
        <w:t>Report on any employee hirings, terminations or lay-offs with details of anticipated length of lay-offs.</w:t>
      </w:r>
    </w:p>
    <w:p w14:paraId="79C429B1" w14:textId="77777777" w:rsidR="006212AF" w:rsidRPr="00691211" w:rsidRDefault="006212AF" w:rsidP="006212AF">
      <w:pPr>
        <w:pStyle w:val="List"/>
        <w:spacing w:before="120"/>
        <w:ind w:left="0" w:firstLine="0"/>
        <w:jc w:val="both"/>
        <w:rPr>
          <w:rFonts w:ascii="Arial" w:hAnsi="Arial" w:cs="Arial"/>
          <w:szCs w:val="24"/>
        </w:rPr>
      </w:pPr>
    </w:p>
    <w:p w14:paraId="22F3420F" w14:textId="75806B20" w:rsidR="003F2BD8" w:rsidRDefault="003F2BD8" w:rsidP="003F2BD8">
      <w:pPr>
        <w:pStyle w:val="List"/>
        <w:spacing w:before="120"/>
        <w:ind w:left="720" w:firstLine="0"/>
        <w:jc w:val="both"/>
        <w:rPr>
          <w:rFonts w:ascii="Arial" w:hAnsi="Arial" w:cs="Arial"/>
          <w:b/>
          <w:bCs/>
          <w:szCs w:val="24"/>
        </w:rPr>
      </w:pPr>
      <w:r w:rsidRPr="006212AF">
        <w:rPr>
          <w:rFonts w:ascii="Arial" w:hAnsi="Arial" w:cs="Arial"/>
          <w:b/>
          <w:bCs/>
          <w:szCs w:val="24"/>
        </w:rPr>
        <w:t>None</w:t>
      </w:r>
    </w:p>
    <w:p w14:paraId="5A9AA655" w14:textId="77777777" w:rsidR="006212AF" w:rsidRPr="006212AF" w:rsidRDefault="006212AF" w:rsidP="006212AF">
      <w:pPr>
        <w:pStyle w:val="List"/>
        <w:spacing w:before="120"/>
        <w:jc w:val="both"/>
        <w:rPr>
          <w:rFonts w:ascii="Arial" w:hAnsi="Arial" w:cs="Arial"/>
          <w:b/>
          <w:bCs/>
          <w:szCs w:val="24"/>
        </w:rPr>
      </w:pPr>
    </w:p>
    <w:p w14:paraId="02F7CCF3" w14:textId="79EBE085" w:rsidR="00640E94" w:rsidRDefault="00640E94">
      <w:pPr>
        <w:pStyle w:val="List"/>
        <w:numPr>
          <w:ilvl w:val="0"/>
          <w:numId w:val="28"/>
        </w:numPr>
        <w:spacing w:before="120"/>
        <w:jc w:val="both"/>
        <w:rPr>
          <w:rFonts w:ascii="Arial" w:hAnsi="Arial" w:cs="Arial"/>
          <w:szCs w:val="24"/>
        </w:rPr>
      </w:pPr>
      <w:r w:rsidRPr="00691211">
        <w:rPr>
          <w:rFonts w:ascii="Arial" w:hAnsi="Arial" w:cs="Arial"/>
          <w:szCs w:val="24"/>
        </w:rPr>
        <w:t>Report on any labour disputes and resolutions of those disputes if applicable.</w:t>
      </w:r>
    </w:p>
    <w:p w14:paraId="69113FC1" w14:textId="77777777" w:rsidR="006212AF" w:rsidRPr="00691211" w:rsidRDefault="006212AF" w:rsidP="006212AF">
      <w:pPr>
        <w:pStyle w:val="List"/>
        <w:spacing w:before="120"/>
        <w:ind w:left="0" w:firstLine="0"/>
        <w:jc w:val="both"/>
        <w:rPr>
          <w:rFonts w:ascii="Arial" w:hAnsi="Arial" w:cs="Arial"/>
          <w:szCs w:val="24"/>
        </w:rPr>
      </w:pPr>
    </w:p>
    <w:p w14:paraId="013809A7" w14:textId="55C7CF9D" w:rsidR="003F2BD8" w:rsidRDefault="003F2BD8" w:rsidP="003F2BD8">
      <w:pPr>
        <w:pStyle w:val="List"/>
        <w:spacing w:before="120"/>
        <w:ind w:left="720" w:firstLine="0"/>
        <w:jc w:val="both"/>
        <w:rPr>
          <w:rFonts w:ascii="Arial" w:hAnsi="Arial" w:cs="Arial"/>
          <w:b/>
          <w:bCs/>
          <w:szCs w:val="24"/>
        </w:rPr>
      </w:pPr>
      <w:r w:rsidRPr="006212AF">
        <w:rPr>
          <w:rFonts w:ascii="Arial" w:hAnsi="Arial" w:cs="Arial"/>
          <w:b/>
          <w:bCs/>
          <w:szCs w:val="24"/>
        </w:rPr>
        <w:t>None</w:t>
      </w:r>
    </w:p>
    <w:p w14:paraId="6D74A794" w14:textId="77777777" w:rsidR="006212AF" w:rsidRPr="006212AF" w:rsidRDefault="006212AF" w:rsidP="006212AF">
      <w:pPr>
        <w:pStyle w:val="List"/>
        <w:spacing w:before="120"/>
        <w:jc w:val="both"/>
        <w:rPr>
          <w:rFonts w:ascii="Arial" w:hAnsi="Arial" w:cs="Arial"/>
          <w:b/>
          <w:bCs/>
          <w:szCs w:val="24"/>
        </w:rPr>
      </w:pPr>
    </w:p>
    <w:p w14:paraId="777E3148" w14:textId="5284C1E2" w:rsidR="00640E94" w:rsidRDefault="00640E94">
      <w:pPr>
        <w:pStyle w:val="List"/>
        <w:numPr>
          <w:ilvl w:val="0"/>
          <w:numId w:val="28"/>
        </w:numPr>
        <w:spacing w:before="120"/>
        <w:jc w:val="both"/>
        <w:rPr>
          <w:rFonts w:ascii="Arial" w:hAnsi="Arial" w:cs="Arial"/>
          <w:szCs w:val="24"/>
        </w:rPr>
      </w:pPr>
      <w:r w:rsidRPr="00691211">
        <w:rPr>
          <w:rFonts w:ascii="Arial" w:hAnsi="Arial" w:cs="Arial"/>
          <w:szCs w:val="24"/>
        </w:rPr>
        <w:t xml:space="preserve">Describe and provide details of legal proceedings to which the Issuer became a party, including the name of the court or agency, the date instituted, the principal </w:t>
      </w:r>
      <w:r w:rsidRPr="00691211">
        <w:rPr>
          <w:rFonts w:ascii="Arial" w:hAnsi="Arial" w:cs="Arial"/>
          <w:szCs w:val="24"/>
        </w:rPr>
        <w:lastRenderedPageBreak/>
        <w:t>parties to the proceedings, the nature of the claim, the amount claimed, if any, if the proceedings are being contested, and the present status of the proceedings.</w:t>
      </w:r>
    </w:p>
    <w:p w14:paraId="4A0EDC95" w14:textId="77777777" w:rsidR="006212AF" w:rsidRPr="00691211" w:rsidRDefault="006212AF" w:rsidP="006212AF">
      <w:pPr>
        <w:pStyle w:val="List"/>
        <w:spacing w:before="120"/>
        <w:ind w:left="0" w:firstLine="0"/>
        <w:jc w:val="both"/>
        <w:rPr>
          <w:rFonts w:ascii="Arial" w:hAnsi="Arial" w:cs="Arial"/>
          <w:szCs w:val="24"/>
        </w:rPr>
      </w:pPr>
    </w:p>
    <w:p w14:paraId="21E2A4B4" w14:textId="37312608" w:rsidR="003F2BD8" w:rsidRDefault="003F2BD8" w:rsidP="003F2BD8">
      <w:pPr>
        <w:pStyle w:val="List"/>
        <w:spacing w:before="120"/>
        <w:ind w:left="720" w:firstLine="0"/>
        <w:jc w:val="both"/>
        <w:rPr>
          <w:rFonts w:ascii="Arial" w:hAnsi="Arial" w:cs="Arial"/>
          <w:b/>
          <w:bCs/>
          <w:szCs w:val="24"/>
        </w:rPr>
      </w:pPr>
      <w:r w:rsidRPr="006212AF">
        <w:rPr>
          <w:rFonts w:ascii="Arial" w:hAnsi="Arial" w:cs="Arial"/>
          <w:b/>
          <w:bCs/>
          <w:szCs w:val="24"/>
        </w:rPr>
        <w:t>None</w:t>
      </w:r>
    </w:p>
    <w:p w14:paraId="738CDBF1" w14:textId="77777777" w:rsidR="006212AF" w:rsidRPr="006212AF" w:rsidRDefault="006212AF" w:rsidP="006212AF">
      <w:pPr>
        <w:pStyle w:val="List"/>
        <w:spacing w:before="120"/>
        <w:jc w:val="both"/>
        <w:rPr>
          <w:rFonts w:ascii="Arial" w:hAnsi="Arial" w:cs="Arial"/>
          <w:b/>
          <w:bCs/>
          <w:szCs w:val="24"/>
        </w:rPr>
      </w:pPr>
    </w:p>
    <w:p w14:paraId="3F35A167" w14:textId="7DDEA0FC" w:rsidR="00640E94" w:rsidRDefault="00640E94">
      <w:pPr>
        <w:pStyle w:val="List"/>
        <w:numPr>
          <w:ilvl w:val="0"/>
          <w:numId w:val="28"/>
        </w:numPr>
        <w:spacing w:before="120"/>
        <w:jc w:val="both"/>
        <w:rPr>
          <w:rFonts w:ascii="Arial" w:hAnsi="Arial" w:cs="Arial"/>
          <w:szCs w:val="24"/>
        </w:rPr>
      </w:pPr>
      <w:r w:rsidRPr="00691211">
        <w:rPr>
          <w:rFonts w:ascii="Arial" w:hAnsi="Arial" w:cs="Arial"/>
          <w:szCs w:val="24"/>
        </w:rPr>
        <w:t>Provide details of any indebtedness incurred or repaid by the Issuer together with the terms of such indebtedness.</w:t>
      </w:r>
    </w:p>
    <w:p w14:paraId="60D2EE3D" w14:textId="77777777" w:rsidR="006212AF" w:rsidRDefault="006212AF" w:rsidP="006212AF">
      <w:pPr>
        <w:pStyle w:val="List"/>
        <w:spacing w:before="120"/>
        <w:ind w:left="0" w:firstLine="0"/>
        <w:jc w:val="both"/>
        <w:rPr>
          <w:rFonts w:ascii="Arial" w:hAnsi="Arial" w:cs="Arial"/>
          <w:szCs w:val="24"/>
        </w:rPr>
      </w:pPr>
    </w:p>
    <w:p w14:paraId="60ADB91C" w14:textId="170A7C65" w:rsidR="006212AF" w:rsidRDefault="006212AF" w:rsidP="006212AF">
      <w:pPr>
        <w:pStyle w:val="List"/>
        <w:spacing w:before="120"/>
        <w:ind w:left="720" w:firstLine="0"/>
        <w:jc w:val="both"/>
        <w:rPr>
          <w:rFonts w:ascii="Arial" w:hAnsi="Arial" w:cs="Arial"/>
          <w:b/>
          <w:bCs/>
          <w:szCs w:val="24"/>
        </w:rPr>
      </w:pPr>
      <w:r>
        <w:rPr>
          <w:rFonts w:ascii="Arial" w:hAnsi="Arial" w:cs="Arial"/>
          <w:b/>
          <w:bCs/>
          <w:szCs w:val="24"/>
        </w:rPr>
        <w:t>None</w:t>
      </w:r>
    </w:p>
    <w:p w14:paraId="0852E731" w14:textId="77777777" w:rsidR="006212AF" w:rsidRPr="006212AF" w:rsidRDefault="006212AF" w:rsidP="006212AF">
      <w:pPr>
        <w:pStyle w:val="List"/>
        <w:spacing w:before="120"/>
        <w:jc w:val="both"/>
        <w:rPr>
          <w:rFonts w:ascii="Arial" w:hAnsi="Arial" w:cs="Arial"/>
          <w:b/>
          <w:bCs/>
          <w:szCs w:val="24"/>
        </w:rPr>
      </w:pPr>
    </w:p>
    <w:p w14:paraId="3B1F9E98" w14:textId="6853801D" w:rsidR="003F2BD8" w:rsidRPr="00162F3D" w:rsidRDefault="00640E94" w:rsidP="00162F3D">
      <w:pPr>
        <w:pStyle w:val="List"/>
        <w:numPr>
          <w:ilvl w:val="0"/>
          <w:numId w:val="28"/>
        </w:numPr>
        <w:spacing w:before="120"/>
        <w:jc w:val="both"/>
        <w:rPr>
          <w:rFonts w:ascii="Arial" w:hAnsi="Arial" w:cs="Arial"/>
          <w:szCs w:val="24"/>
        </w:rPr>
      </w:pPr>
      <w:r w:rsidRPr="00691211">
        <w:rPr>
          <w:rFonts w:ascii="Arial" w:hAnsi="Arial" w:cs="Arial"/>
          <w:szCs w:val="24"/>
        </w:rPr>
        <w:t>Provide details of any securities issued and options or warrants granted.</w:t>
      </w:r>
    </w:p>
    <w:p w14:paraId="7D9935C0" w14:textId="77777777" w:rsidR="00640E94" w:rsidRPr="00691211" w:rsidRDefault="00640E94">
      <w:pPr>
        <w:pStyle w:val="List"/>
        <w:spacing w:before="120"/>
        <w:ind w:left="0" w:firstLine="0"/>
        <w:jc w:val="both"/>
        <w:rPr>
          <w:rFonts w:ascii="Arial" w:hAnsi="Arial" w:cs="Arial"/>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37"/>
        <w:gridCol w:w="2651"/>
        <w:gridCol w:w="2394"/>
      </w:tblGrid>
      <w:tr w:rsidR="00640E94" w:rsidRPr="00691211" w14:paraId="52B78908" w14:textId="77777777" w:rsidTr="00FB2C07">
        <w:tc>
          <w:tcPr>
            <w:tcW w:w="2394" w:type="dxa"/>
          </w:tcPr>
          <w:p w14:paraId="79B00800" w14:textId="77777777" w:rsidR="00640E94" w:rsidRPr="00691211" w:rsidRDefault="00640E94">
            <w:pPr>
              <w:pStyle w:val="List"/>
              <w:tabs>
                <w:tab w:val="left" w:pos="360"/>
              </w:tabs>
              <w:spacing w:before="0" w:line="280" w:lineRule="exact"/>
              <w:ind w:left="0" w:firstLine="0"/>
              <w:jc w:val="center"/>
              <w:rPr>
                <w:rFonts w:ascii="Arial" w:hAnsi="Arial" w:cs="Arial"/>
                <w:b/>
                <w:szCs w:val="24"/>
              </w:rPr>
            </w:pPr>
            <w:r w:rsidRPr="00691211">
              <w:rPr>
                <w:rFonts w:ascii="Arial" w:hAnsi="Arial" w:cs="Arial"/>
                <w:b/>
                <w:szCs w:val="24"/>
              </w:rPr>
              <w:t>Security</w:t>
            </w:r>
          </w:p>
        </w:tc>
        <w:tc>
          <w:tcPr>
            <w:tcW w:w="2137" w:type="dxa"/>
          </w:tcPr>
          <w:p w14:paraId="712FCE93" w14:textId="77777777" w:rsidR="00640E94" w:rsidRPr="00691211" w:rsidRDefault="00640E94">
            <w:pPr>
              <w:pStyle w:val="List"/>
              <w:tabs>
                <w:tab w:val="left" w:pos="360"/>
              </w:tabs>
              <w:spacing w:before="0" w:line="280" w:lineRule="exact"/>
              <w:ind w:left="0" w:firstLine="0"/>
              <w:jc w:val="center"/>
              <w:rPr>
                <w:rFonts w:ascii="Arial" w:hAnsi="Arial" w:cs="Arial"/>
                <w:b/>
                <w:szCs w:val="24"/>
              </w:rPr>
            </w:pPr>
            <w:r w:rsidRPr="00691211">
              <w:rPr>
                <w:rFonts w:ascii="Arial" w:hAnsi="Arial" w:cs="Arial"/>
                <w:b/>
                <w:szCs w:val="24"/>
              </w:rPr>
              <w:t>Number Issued</w:t>
            </w:r>
          </w:p>
        </w:tc>
        <w:tc>
          <w:tcPr>
            <w:tcW w:w="2651" w:type="dxa"/>
          </w:tcPr>
          <w:p w14:paraId="5214D0DE" w14:textId="77777777" w:rsidR="00640E94" w:rsidRPr="00691211" w:rsidRDefault="00640E94">
            <w:pPr>
              <w:pStyle w:val="List"/>
              <w:tabs>
                <w:tab w:val="left" w:pos="360"/>
              </w:tabs>
              <w:spacing w:before="0" w:line="280" w:lineRule="exact"/>
              <w:ind w:left="0" w:firstLine="0"/>
              <w:jc w:val="center"/>
              <w:rPr>
                <w:rFonts w:ascii="Arial" w:hAnsi="Arial" w:cs="Arial"/>
                <w:b/>
                <w:szCs w:val="24"/>
              </w:rPr>
            </w:pPr>
            <w:r w:rsidRPr="00691211">
              <w:rPr>
                <w:rFonts w:ascii="Arial" w:hAnsi="Arial" w:cs="Arial"/>
                <w:b/>
                <w:szCs w:val="24"/>
              </w:rPr>
              <w:t>Details of Issuance</w:t>
            </w:r>
          </w:p>
        </w:tc>
        <w:tc>
          <w:tcPr>
            <w:tcW w:w="2394" w:type="dxa"/>
          </w:tcPr>
          <w:p w14:paraId="039DAB0B" w14:textId="77777777" w:rsidR="00640E94" w:rsidRPr="00691211" w:rsidRDefault="00640E94">
            <w:pPr>
              <w:pStyle w:val="List"/>
              <w:tabs>
                <w:tab w:val="left" w:pos="360"/>
              </w:tabs>
              <w:spacing w:before="0" w:line="280" w:lineRule="exact"/>
              <w:ind w:left="0" w:firstLine="0"/>
              <w:jc w:val="center"/>
              <w:rPr>
                <w:rFonts w:ascii="Arial" w:hAnsi="Arial" w:cs="Arial"/>
                <w:b/>
                <w:szCs w:val="24"/>
              </w:rPr>
            </w:pPr>
            <w:r w:rsidRPr="00691211">
              <w:rPr>
                <w:rFonts w:ascii="Arial" w:hAnsi="Arial" w:cs="Arial"/>
                <w:b/>
                <w:szCs w:val="24"/>
              </w:rPr>
              <w:t xml:space="preserve">Use of </w:t>
            </w:r>
            <w:proofErr w:type="gramStart"/>
            <w:r w:rsidRPr="00691211">
              <w:rPr>
                <w:rFonts w:ascii="Arial" w:hAnsi="Arial" w:cs="Arial"/>
                <w:b/>
                <w:szCs w:val="24"/>
              </w:rPr>
              <w:t>Proceeds</w:t>
            </w:r>
            <w:r w:rsidRPr="00691211">
              <w:rPr>
                <w:rFonts w:ascii="Arial" w:hAnsi="Arial" w:cs="Arial"/>
                <w:b/>
                <w:szCs w:val="24"/>
                <w:vertAlign w:val="superscript"/>
              </w:rPr>
              <w:t>(</w:t>
            </w:r>
            <w:proofErr w:type="gramEnd"/>
            <w:r w:rsidRPr="00691211">
              <w:rPr>
                <w:rFonts w:ascii="Arial" w:hAnsi="Arial" w:cs="Arial"/>
                <w:b/>
                <w:szCs w:val="24"/>
                <w:vertAlign w:val="superscript"/>
              </w:rPr>
              <w:t>1)</w:t>
            </w:r>
          </w:p>
        </w:tc>
      </w:tr>
      <w:tr w:rsidR="00640E94" w:rsidRPr="00691211" w14:paraId="49351B59" w14:textId="77777777" w:rsidTr="00FB2C07">
        <w:tc>
          <w:tcPr>
            <w:tcW w:w="2394" w:type="dxa"/>
          </w:tcPr>
          <w:p w14:paraId="6610CF0C" w14:textId="4F12C7E0" w:rsidR="00640E94" w:rsidRPr="00691211" w:rsidRDefault="00FB2C07">
            <w:pPr>
              <w:pStyle w:val="List"/>
              <w:tabs>
                <w:tab w:val="left" w:pos="360"/>
              </w:tabs>
              <w:spacing w:before="0" w:line="280" w:lineRule="exact"/>
              <w:ind w:left="0" w:firstLine="0"/>
              <w:jc w:val="both"/>
              <w:rPr>
                <w:rFonts w:ascii="Arial" w:hAnsi="Arial" w:cs="Arial"/>
                <w:szCs w:val="24"/>
              </w:rPr>
            </w:pPr>
            <w:r>
              <w:rPr>
                <w:rFonts w:ascii="Arial" w:hAnsi="Arial" w:cs="Arial"/>
                <w:szCs w:val="24"/>
              </w:rPr>
              <w:t>Options</w:t>
            </w:r>
          </w:p>
        </w:tc>
        <w:tc>
          <w:tcPr>
            <w:tcW w:w="2137" w:type="dxa"/>
          </w:tcPr>
          <w:p w14:paraId="2DE3E2B7" w14:textId="167988A2" w:rsidR="00640E94" w:rsidRPr="00691211" w:rsidRDefault="00FB2C07">
            <w:pPr>
              <w:pStyle w:val="List"/>
              <w:tabs>
                <w:tab w:val="left" w:pos="360"/>
              </w:tabs>
              <w:spacing w:before="0" w:line="280" w:lineRule="exact"/>
              <w:ind w:left="0" w:firstLine="0"/>
              <w:jc w:val="both"/>
              <w:rPr>
                <w:rFonts w:ascii="Arial" w:hAnsi="Arial" w:cs="Arial"/>
                <w:szCs w:val="24"/>
              </w:rPr>
            </w:pPr>
            <w:r>
              <w:rPr>
                <w:rFonts w:ascii="Arial" w:hAnsi="Arial" w:cs="Arial"/>
                <w:szCs w:val="24"/>
              </w:rPr>
              <w:t>225,000</w:t>
            </w:r>
          </w:p>
        </w:tc>
        <w:tc>
          <w:tcPr>
            <w:tcW w:w="2651" w:type="dxa"/>
          </w:tcPr>
          <w:p w14:paraId="1A7D5AC7" w14:textId="7233FA35" w:rsidR="00640E94" w:rsidRPr="00691211" w:rsidRDefault="00FB2C07" w:rsidP="00FB2C07">
            <w:pPr>
              <w:pStyle w:val="List"/>
              <w:tabs>
                <w:tab w:val="left" w:pos="58"/>
              </w:tabs>
              <w:spacing w:before="0" w:line="280" w:lineRule="exact"/>
              <w:ind w:left="0" w:firstLine="0"/>
              <w:jc w:val="both"/>
              <w:rPr>
                <w:rFonts w:ascii="Arial" w:hAnsi="Arial" w:cs="Arial"/>
                <w:szCs w:val="24"/>
              </w:rPr>
            </w:pPr>
            <w:r>
              <w:rPr>
                <w:rFonts w:ascii="Arial" w:hAnsi="Arial" w:cs="Arial"/>
                <w:szCs w:val="24"/>
              </w:rPr>
              <w:t xml:space="preserve">Incentive Stock Options granted to consultants </w:t>
            </w:r>
          </w:p>
        </w:tc>
        <w:tc>
          <w:tcPr>
            <w:tcW w:w="2394" w:type="dxa"/>
          </w:tcPr>
          <w:p w14:paraId="56104508" w14:textId="1FC9684A" w:rsidR="00640E94" w:rsidRPr="00691211" w:rsidRDefault="00FB2C07">
            <w:pPr>
              <w:pStyle w:val="List"/>
              <w:tabs>
                <w:tab w:val="left" w:pos="360"/>
              </w:tabs>
              <w:spacing w:before="0" w:line="280" w:lineRule="exact"/>
              <w:ind w:left="0" w:firstLine="0"/>
              <w:jc w:val="both"/>
              <w:rPr>
                <w:rFonts w:ascii="Arial" w:hAnsi="Arial" w:cs="Arial"/>
                <w:szCs w:val="24"/>
              </w:rPr>
            </w:pPr>
            <w:r>
              <w:rPr>
                <w:rFonts w:ascii="Arial" w:hAnsi="Arial" w:cs="Arial"/>
                <w:szCs w:val="24"/>
              </w:rPr>
              <w:t>Working Capital</w:t>
            </w:r>
          </w:p>
        </w:tc>
      </w:tr>
      <w:tr w:rsidR="00640E94" w:rsidRPr="00691211" w14:paraId="4F6A65D2" w14:textId="77777777" w:rsidTr="00FB2C07">
        <w:tc>
          <w:tcPr>
            <w:tcW w:w="2394" w:type="dxa"/>
          </w:tcPr>
          <w:p w14:paraId="1566FE33" w14:textId="77777777" w:rsidR="00640E94" w:rsidRPr="00691211" w:rsidRDefault="00640E94">
            <w:pPr>
              <w:pStyle w:val="List"/>
              <w:tabs>
                <w:tab w:val="left" w:pos="360"/>
              </w:tabs>
              <w:spacing w:before="0" w:line="280" w:lineRule="exact"/>
              <w:ind w:left="0" w:firstLine="0"/>
              <w:jc w:val="both"/>
              <w:rPr>
                <w:rFonts w:ascii="Arial" w:hAnsi="Arial" w:cs="Arial"/>
                <w:szCs w:val="24"/>
              </w:rPr>
            </w:pPr>
          </w:p>
        </w:tc>
        <w:tc>
          <w:tcPr>
            <w:tcW w:w="2137" w:type="dxa"/>
          </w:tcPr>
          <w:p w14:paraId="2B32AE57" w14:textId="77777777" w:rsidR="00640E94" w:rsidRPr="00691211" w:rsidRDefault="00640E94">
            <w:pPr>
              <w:pStyle w:val="List"/>
              <w:tabs>
                <w:tab w:val="left" w:pos="360"/>
              </w:tabs>
              <w:spacing w:before="0" w:line="280" w:lineRule="exact"/>
              <w:ind w:left="0" w:firstLine="0"/>
              <w:jc w:val="both"/>
              <w:rPr>
                <w:rFonts w:ascii="Arial" w:hAnsi="Arial" w:cs="Arial"/>
                <w:szCs w:val="24"/>
              </w:rPr>
            </w:pPr>
          </w:p>
        </w:tc>
        <w:tc>
          <w:tcPr>
            <w:tcW w:w="2651" w:type="dxa"/>
          </w:tcPr>
          <w:p w14:paraId="525701D7" w14:textId="77777777" w:rsidR="00640E94" w:rsidRPr="00691211" w:rsidRDefault="00640E94">
            <w:pPr>
              <w:pStyle w:val="List"/>
              <w:tabs>
                <w:tab w:val="left" w:pos="360"/>
              </w:tabs>
              <w:spacing w:before="0" w:line="280" w:lineRule="exact"/>
              <w:ind w:left="0" w:firstLine="0"/>
              <w:jc w:val="both"/>
              <w:rPr>
                <w:rFonts w:ascii="Arial" w:hAnsi="Arial" w:cs="Arial"/>
                <w:szCs w:val="24"/>
              </w:rPr>
            </w:pPr>
          </w:p>
        </w:tc>
        <w:tc>
          <w:tcPr>
            <w:tcW w:w="2394" w:type="dxa"/>
          </w:tcPr>
          <w:p w14:paraId="6EEE84D2" w14:textId="77777777" w:rsidR="00640E94" w:rsidRPr="00691211" w:rsidRDefault="00640E94">
            <w:pPr>
              <w:pStyle w:val="List"/>
              <w:tabs>
                <w:tab w:val="left" w:pos="360"/>
              </w:tabs>
              <w:spacing w:before="0" w:line="280" w:lineRule="exact"/>
              <w:ind w:left="0" w:firstLine="0"/>
              <w:jc w:val="both"/>
              <w:rPr>
                <w:rFonts w:ascii="Arial" w:hAnsi="Arial" w:cs="Arial"/>
                <w:szCs w:val="24"/>
              </w:rPr>
            </w:pPr>
          </w:p>
        </w:tc>
      </w:tr>
      <w:tr w:rsidR="00640E94" w:rsidRPr="00691211" w14:paraId="27E759B8" w14:textId="77777777" w:rsidTr="00FB2C07">
        <w:tc>
          <w:tcPr>
            <w:tcW w:w="2394" w:type="dxa"/>
          </w:tcPr>
          <w:p w14:paraId="3FD11B1B" w14:textId="77777777" w:rsidR="00640E94" w:rsidRPr="00691211" w:rsidRDefault="00640E94">
            <w:pPr>
              <w:pStyle w:val="List"/>
              <w:tabs>
                <w:tab w:val="left" w:pos="360"/>
              </w:tabs>
              <w:spacing w:before="0" w:line="280" w:lineRule="exact"/>
              <w:ind w:left="0" w:firstLine="0"/>
              <w:jc w:val="both"/>
              <w:rPr>
                <w:rFonts w:ascii="Arial" w:hAnsi="Arial" w:cs="Arial"/>
                <w:szCs w:val="24"/>
              </w:rPr>
            </w:pPr>
          </w:p>
        </w:tc>
        <w:tc>
          <w:tcPr>
            <w:tcW w:w="2137" w:type="dxa"/>
          </w:tcPr>
          <w:p w14:paraId="5409B146" w14:textId="77777777" w:rsidR="00640E94" w:rsidRPr="00691211" w:rsidRDefault="00640E94">
            <w:pPr>
              <w:pStyle w:val="List"/>
              <w:tabs>
                <w:tab w:val="left" w:pos="360"/>
              </w:tabs>
              <w:spacing w:before="0" w:line="280" w:lineRule="exact"/>
              <w:ind w:left="0" w:firstLine="0"/>
              <w:jc w:val="both"/>
              <w:rPr>
                <w:rFonts w:ascii="Arial" w:hAnsi="Arial" w:cs="Arial"/>
                <w:szCs w:val="24"/>
              </w:rPr>
            </w:pPr>
          </w:p>
        </w:tc>
        <w:tc>
          <w:tcPr>
            <w:tcW w:w="2651" w:type="dxa"/>
          </w:tcPr>
          <w:p w14:paraId="12E2BBCD" w14:textId="77777777" w:rsidR="00640E94" w:rsidRPr="00691211" w:rsidRDefault="00640E94">
            <w:pPr>
              <w:pStyle w:val="List"/>
              <w:tabs>
                <w:tab w:val="left" w:pos="360"/>
              </w:tabs>
              <w:spacing w:before="0" w:line="280" w:lineRule="exact"/>
              <w:ind w:left="0" w:firstLine="0"/>
              <w:jc w:val="both"/>
              <w:rPr>
                <w:rFonts w:ascii="Arial" w:hAnsi="Arial" w:cs="Arial"/>
                <w:szCs w:val="24"/>
              </w:rPr>
            </w:pPr>
          </w:p>
        </w:tc>
        <w:tc>
          <w:tcPr>
            <w:tcW w:w="2394" w:type="dxa"/>
          </w:tcPr>
          <w:p w14:paraId="1F4B5422" w14:textId="77777777" w:rsidR="00640E94" w:rsidRPr="00691211" w:rsidRDefault="00640E94">
            <w:pPr>
              <w:pStyle w:val="List"/>
              <w:tabs>
                <w:tab w:val="left" w:pos="360"/>
              </w:tabs>
              <w:spacing w:before="0" w:line="280" w:lineRule="exact"/>
              <w:ind w:left="0" w:firstLine="0"/>
              <w:jc w:val="both"/>
              <w:rPr>
                <w:rFonts w:ascii="Arial" w:hAnsi="Arial" w:cs="Arial"/>
                <w:szCs w:val="24"/>
              </w:rPr>
            </w:pPr>
          </w:p>
        </w:tc>
      </w:tr>
    </w:tbl>
    <w:p w14:paraId="7169B89D" w14:textId="77777777" w:rsidR="00640E94" w:rsidRPr="00691211" w:rsidRDefault="00640E94">
      <w:pPr>
        <w:pStyle w:val="List"/>
        <w:tabs>
          <w:tab w:val="left" w:pos="360"/>
        </w:tabs>
        <w:spacing w:before="120"/>
        <w:ind w:left="0" w:firstLine="0"/>
        <w:jc w:val="both"/>
        <w:rPr>
          <w:rFonts w:ascii="Arial" w:hAnsi="Arial" w:cs="Arial"/>
          <w:i/>
          <w:szCs w:val="24"/>
        </w:rPr>
      </w:pPr>
      <w:r w:rsidRPr="00691211">
        <w:rPr>
          <w:rFonts w:ascii="Arial" w:hAnsi="Arial" w:cs="Arial"/>
          <w:i/>
          <w:szCs w:val="24"/>
        </w:rPr>
        <w:t>(1)</w:t>
      </w:r>
      <w:r w:rsidRPr="00691211">
        <w:rPr>
          <w:rFonts w:ascii="Arial" w:hAnsi="Arial" w:cs="Arial"/>
          <w:i/>
          <w:szCs w:val="24"/>
        </w:rPr>
        <w:tab/>
        <w:t>State aggregate proceeds and intended allocation of proceeds.</w:t>
      </w:r>
    </w:p>
    <w:p w14:paraId="7FDC57E4" w14:textId="6F7BF4A0" w:rsidR="00640E94" w:rsidRDefault="00640E94">
      <w:pPr>
        <w:pStyle w:val="List"/>
        <w:keepNext/>
        <w:keepLines/>
        <w:numPr>
          <w:ilvl w:val="0"/>
          <w:numId w:val="28"/>
        </w:numPr>
        <w:spacing w:before="120"/>
        <w:jc w:val="both"/>
        <w:rPr>
          <w:rFonts w:ascii="Arial" w:hAnsi="Arial" w:cs="Arial"/>
          <w:szCs w:val="24"/>
        </w:rPr>
      </w:pPr>
      <w:r w:rsidRPr="00691211">
        <w:rPr>
          <w:rFonts w:ascii="Arial" w:hAnsi="Arial" w:cs="Arial"/>
          <w:szCs w:val="24"/>
        </w:rPr>
        <w:t>Provide details of any loans to or by Related Persons.</w:t>
      </w:r>
    </w:p>
    <w:p w14:paraId="01649650" w14:textId="595C2FEF" w:rsidR="006212AF" w:rsidRDefault="006212AF" w:rsidP="006212AF">
      <w:pPr>
        <w:pStyle w:val="List"/>
        <w:keepNext/>
        <w:keepLines/>
        <w:spacing w:before="120"/>
        <w:ind w:left="0" w:firstLine="0"/>
        <w:jc w:val="both"/>
        <w:rPr>
          <w:rFonts w:ascii="Arial" w:hAnsi="Arial" w:cs="Arial"/>
          <w:szCs w:val="24"/>
        </w:rPr>
      </w:pPr>
    </w:p>
    <w:p w14:paraId="40A7B9FE" w14:textId="1C0C5369" w:rsidR="006212AF" w:rsidRPr="006212AF" w:rsidRDefault="006212AF" w:rsidP="006212AF">
      <w:pPr>
        <w:pStyle w:val="List"/>
        <w:keepNext/>
        <w:keepLines/>
        <w:spacing w:before="120"/>
        <w:ind w:left="0" w:firstLine="0"/>
        <w:jc w:val="both"/>
        <w:rPr>
          <w:rFonts w:ascii="Arial" w:hAnsi="Arial" w:cs="Arial"/>
          <w:b/>
          <w:bCs/>
          <w:szCs w:val="24"/>
        </w:rPr>
      </w:pPr>
      <w:r w:rsidRPr="006212AF">
        <w:rPr>
          <w:rFonts w:ascii="Arial" w:hAnsi="Arial" w:cs="Arial"/>
          <w:b/>
          <w:bCs/>
          <w:szCs w:val="24"/>
        </w:rPr>
        <w:t>N/A</w:t>
      </w:r>
    </w:p>
    <w:p w14:paraId="1FE894F9" w14:textId="77777777" w:rsidR="006212AF" w:rsidRPr="00691211" w:rsidRDefault="006212AF" w:rsidP="006212AF">
      <w:pPr>
        <w:pStyle w:val="List"/>
        <w:keepNext/>
        <w:keepLines/>
        <w:spacing w:before="120"/>
        <w:ind w:left="0" w:firstLine="0"/>
        <w:jc w:val="both"/>
        <w:rPr>
          <w:rFonts w:ascii="Arial" w:hAnsi="Arial" w:cs="Arial"/>
          <w:szCs w:val="24"/>
        </w:rPr>
      </w:pPr>
    </w:p>
    <w:p w14:paraId="00EFCDD0" w14:textId="47018C49" w:rsidR="003F2BD8" w:rsidRDefault="00640E94" w:rsidP="00162F3D">
      <w:pPr>
        <w:pStyle w:val="List"/>
        <w:keepNext/>
        <w:keepLines/>
        <w:numPr>
          <w:ilvl w:val="0"/>
          <w:numId w:val="28"/>
        </w:numPr>
        <w:spacing w:before="120"/>
        <w:jc w:val="both"/>
        <w:rPr>
          <w:rFonts w:ascii="Arial" w:hAnsi="Arial" w:cs="Arial"/>
          <w:szCs w:val="24"/>
        </w:rPr>
      </w:pPr>
      <w:r w:rsidRPr="00691211">
        <w:rPr>
          <w:rFonts w:ascii="Arial" w:hAnsi="Arial" w:cs="Arial"/>
          <w:szCs w:val="24"/>
        </w:rPr>
        <w:t xml:space="preserve">Provide details of any changes in directors, </w:t>
      </w:r>
      <w:proofErr w:type="gramStart"/>
      <w:r w:rsidRPr="00691211">
        <w:rPr>
          <w:rFonts w:ascii="Arial" w:hAnsi="Arial" w:cs="Arial"/>
          <w:szCs w:val="24"/>
        </w:rPr>
        <w:t>officers</w:t>
      </w:r>
      <w:proofErr w:type="gramEnd"/>
      <w:r w:rsidRPr="00691211">
        <w:rPr>
          <w:rFonts w:ascii="Arial" w:hAnsi="Arial" w:cs="Arial"/>
          <w:szCs w:val="24"/>
        </w:rPr>
        <w:t xml:space="preserve"> or committee members</w:t>
      </w:r>
      <w:r w:rsidR="003F2BD8" w:rsidRPr="00691211">
        <w:rPr>
          <w:rFonts w:ascii="Arial" w:hAnsi="Arial" w:cs="Arial"/>
          <w:szCs w:val="24"/>
        </w:rPr>
        <w:t>.</w:t>
      </w:r>
    </w:p>
    <w:p w14:paraId="216FB8B8" w14:textId="4D301D13" w:rsidR="006212AF" w:rsidRPr="006212AF" w:rsidRDefault="006212AF" w:rsidP="006212AF">
      <w:pPr>
        <w:pStyle w:val="List"/>
        <w:keepNext/>
        <w:keepLines/>
        <w:spacing w:before="120"/>
        <w:jc w:val="both"/>
        <w:rPr>
          <w:rFonts w:ascii="Arial" w:hAnsi="Arial" w:cs="Arial"/>
          <w:b/>
          <w:bCs/>
          <w:szCs w:val="24"/>
        </w:rPr>
      </w:pPr>
    </w:p>
    <w:p w14:paraId="49D84149" w14:textId="630E4429" w:rsidR="006212AF" w:rsidRPr="006212AF" w:rsidRDefault="006212AF" w:rsidP="006212AF">
      <w:pPr>
        <w:pStyle w:val="List"/>
        <w:keepNext/>
        <w:keepLines/>
        <w:spacing w:before="120"/>
        <w:ind w:left="0" w:firstLine="0"/>
        <w:jc w:val="both"/>
        <w:rPr>
          <w:rFonts w:ascii="Arial" w:hAnsi="Arial" w:cs="Arial"/>
          <w:b/>
          <w:bCs/>
          <w:szCs w:val="24"/>
        </w:rPr>
      </w:pPr>
      <w:r w:rsidRPr="006212AF">
        <w:rPr>
          <w:rFonts w:ascii="Arial" w:hAnsi="Arial" w:cs="Arial"/>
          <w:b/>
          <w:bCs/>
          <w:szCs w:val="24"/>
        </w:rPr>
        <w:t xml:space="preserve">On </w:t>
      </w:r>
      <w:proofErr w:type="gramStart"/>
      <w:r w:rsidRPr="006212AF">
        <w:rPr>
          <w:rFonts w:ascii="Arial" w:hAnsi="Arial" w:cs="Arial"/>
          <w:b/>
          <w:bCs/>
          <w:szCs w:val="24"/>
        </w:rPr>
        <w:t>January 29, 2021</w:t>
      </w:r>
      <w:proofErr w:type="gramEnd"/>
      <w:r w:rsidRPr="006212AF">
        <w:rPr>
          <w:rFonts w:ascii="Arial" w:hAnsi="Arial" w:cs="Arial"/>
          <w:b/>
          <w:bCs/>
          <w:szCs w:val="24"/>
        </w:rPr>
        <w:t xml:space="preserve"> the board of directors of the Issuer appointed a Compensation Committee comprised of Adam Schatzker and John Veltheer, who are both directors of the Issuer.</w:t>
      </w:r>
    </w:p>
    <w:p w14:paraId="78576E51" w14:textId="77777777" w:rsidR="006212AF" w:rsidRDefault="006212AF" w:rsidP="006212AF">
      <w:pPr>
        <w:pStyle w:val="List"/>
        <w:keepNext/>
        <w:keepLines/>
        <w:spacing w:before="120"/>
        <w:jc w:val="both"/>
        <w:rPr>
          <w:rFonts w:ascii="Arial" w:hAnsi="Arial" w:cs="Arial"/>
          <w:szCs w:val="24"/>
        </w:rPr>
      </w:pPr>
    </w:p>
    <w:p w14:paraId="74BCB36D" w14:textId="5000A3E0" w:rsidR="00640E94" w:rsidRDefault="00640E94">
      <w:pPr>
        <w:pStyle w:val="List"/>
        <w:numPr>
          <w:ilvl w:val="0"/>
          <w:numId w:val="28"/>
        </w:numPr>
        <w:spacing w:before="120"/>
        <w:jc w:val="both"/>
        <w:rPr>
          <w:rFonts w:ascii="Arial" w:hAnsi="Arial" w:cs="Arial"/>
          <w:szCs w:val="24"/>
        </w:rPr>
      </w:pPr>
      <w:r w:rsidRPr="00691211">
        <w:rPr>
          <w:rFonts w:ascii="Arial" w:hAnsi="Arial" w:cs="Arial"/>
          <w:szCs w:val="24"/>
        </w:rPr>
        <w:t>Discuss any trends which are likely to impact the Issuer including trends in the Issuer’s market(s) or political/regulatory trends.</w:t>
      </w:r>
    </w:p>
    <w:p w14:paraId="439BADD4" w14:textId="77777777" w:rsidR="006212AF" w:rsidRDefault="006212AF" w:rsidP="006212AF">
      <w:pPr>
        <w:pStyle w:val="List"/>
        <w:spacing w:before="120"/>
        <w:ind w:left="0" w:firstLine="0"/>
        <w:jc w:val="both"/>
        <w:rPr>
          <w:rFonts w:ascii="Arial" w:hAnsi="Arial" w:cs="Arial"/>
          <w:szCs w:val="24"/>
        </w:rPr>
      </w:pPr>
    </w:p>
    <w:p w14:paraId="744E6020" w14:textId="6209D5D1" w:rsidR="006212AF" w:rsidRPr="006212AF" w:rsidRDefault="006212AF" w:rsidP="006212AF">
      <w:pPr>
        <w:pStyle w:val="List"/>
        <w:spacing w:before="120"/>
        <w:ind w:left="0" w:firstLine="0"/>
        <w:jc w:val="both"/>
        <w:rPr>
          <w:rFonts w:ascii="Arial" w:hAnsi="Arial" w:cs="Arial"/>
          <w:b/>
          <w:bCs/>
          <w:szCs w:val="24"/>
        </w:rPr>
      </w:pPr>
      <w:r w:rsidRPr="006212AF">
        <w:rPr>
          <w:rFonts w:ascii="Arial" w:hAnsi="Arial" w:cs="Arial"/>
          <w:b/>
          <w:bCs/>
        </w:rPr>
        <w:t>The Issuer’s business involves certain risks and uncertainties that are inherent to the Issuer’s industry. For disclosure on risks related to an investment in the Issuer, please refer to the Issuer’s most recent Management’s Discussion and Analysis under the titles “F</w:t>
      </w:r>
      <w:r w:rsidR="001F1905">
        <w:rPr>
          <w:rFonts w:ascii="Arial" w:hAnsi="Arial" w:cs="Arial"/>
          <w:b/>
          <w:bCs/>
        </w:rPr>
        <w:t>INANCIAL INSTRUMENTS AND RISK</w:t>
      </w:r>
      <w:r w:rsidRPr="006212AF">
        <w:rPr>
          <w:rFonts w:ascii="Arial" w:hAnsi="Arial" w:cs="Arial"/>
          <w:b/>
          <w:bCs/>
        </w:rPr>
        <w:t xml:space="preserve">”, which is available on SEDAR at </w:t>
      </w:r>
      <w:hyperlink r:id="rId8" w:history="1">
        <w:r w:rsidR="001F1905" w:rsidRPr="008903FA">
          <w:rPr>
            <w:rStyle w:val="Hyperlink"/>
            <w:rFonts w:ascii="Arial" w:hAnsi="Arial" w:cs="Arial"/>
            <w:b/>
            <w:bCs/>
          </w:rPr>
          <w:t>www.sedar.com</w:t>
        </w:r>
      </w:hyperlink>
      <w:r w:rsidR="001F1905">
        <w:rPr>
          <w:rFonts w:ascii="Arial" w:hAnsi="Arial" w:cs="Arial"/>
          <w:b/>
          <w:bCs/>
        </w:rPr>
        <w:t xml:space="preserve">. </w:t>
      </w:r>
      <w:r w:rsidRPr="006212AF">
        <w:rPr>
          <w:rFonts w:ascii="Arial" w:hAnsi="Arial" w:cs="Arial"/>
          <w:b/>
          <w:bCs/>
        </w:rPr>
        <w:t xml:space="preserve">The outbreak of COVID-19 has significantly increased economic uncertainty. In addition, public and private sector </w:t>
      </w:r>
      <w:proofErr w:type="gramStart"/>
      <w:r w:rsidRPr="006212AF">
        <w:rPr>
          <w:rFonts w:ascii="Arial" w:hAnsi="Arial" w:cs="Arial"/>
          <w:b/>
          <w:bCs/>
        </w:rPr>
        <w:t>policies</w:t>
      </w:r>
      <w:proofErr w:type="gramEnd"/>
      <w:r w:rsidRPr="006212AF">
        <w:rPr>
          <w:rFonts w:ascii="Arial" w:hAnsi="Arial" w:cs="Arial"/>
          <w:b/>
          <w:bCs/>
        </w:rPr>
        <w:t xml:space="preserve"> and initiatives </w:t>
      </w:r>
      <w:r w:rsidRPr="006212AF">
        <w:rPr>
          <w:rFonts w:ascii="Arial" w:hAnsi="Arial" w:cs="Arial"/>
          <w:b/>
          <w:bCs/>
        </w:rPr>
        <w:lastRenderedPageBreak/>
        <w:t>to reduce the transmission of COVID-19, such as the imposition of travel restrictions and the adoption of remote working, have impacted our business and operations. COVID-19 is impacting our contractors’ ability to provide services to us, including professional services such as accounting and auditing due to social distancing measures.</w:t>
      </w:r>
    </w:p>
    <w:p w14:paraId="063C55B0" w14:textId="77777777" w:rsidR="00640E94" w:rsidRPr="00691211" w:rsidRDefault="00640E94">
      <w:pPr>
        <w:pStyle w:val="List"/>
        <w:keepNext/>
        <w:spacing w:before="120"/>
        <w:ind w:left="0" w:firstLine="0"/>
        <w:rPr>
          <w:rFonts w:ascii="Arial" w:hAnsi="Arial" w:cs="Arial"/>
          <w:b/>
          <w:szCs w:val="24"/>
        </w:rPr>
      </w:pPr>
      <w:r w:rsidRPr="00691211">
        <w:rPr>
          <w:rFonts w:ascii="Arial" w:hAnsi="Arial" w:cs="Arial"/>
          <w:b/>
          <w:szCs w:val="24"/>
        </w:rPr>
        <w:br w:type="page"/>
      </w:r>
      <w:r w:rsidRPr="00691211">
        <w:rPr>
          <w:rFonts w:ascii="Arial" w:hAnsi="Arial" w:cs="Arial"/>
          <w:b/>
          <w:szCs w:val="24"/>
        </w:rPr>
        <w:lastRenderedPageBreak/>
        <w:t xml:space="preserve">Certificate </w:t>
      </w:r>
      <w:proofErr w:type="gramStart"/>
      <w:r w:rsidRPr="00691211">
        <w:rPr>
          <w:rFonts w:ascii="Arial" w:hAnsi="Arial" w:cs="Arial"/>
          <w:b/>
          <w:szCs w:val="24"/>
        </w:rPr>
        <w:t>Of</w:t>
      </w:r>
      <w:proofErr w:type="gramEnd"/>
      <w:r w:rsidRPr="00691211">
        <w:rPr>
          <w:rFonts w:ascii="Arial" w:hAnsi="Arial" w:cs="Arial"/>
          <w:b/>
          <w:szCs w:val="24"/>
        </w:rPr>
        <w:t xml:space="preserve"> Compliance</w:t>
      </w:r>
    </w:p>
    <w:p w14:paraId="53AFE26E" w14:textId="77777777" w:rsidR="00640E94" w:rsidRPr="00691211" w:rsidRDefault="00640E94">
      <w:pPr>
        <w:pStyle w:val="BodyText"/>
        <w:keepNext/>
        <w:rPr>
          <w:rFonts w:ascii="Arial" w:hAnsi="Arial" w:cs="Arial"/>
          <w:szCs w:val="24"/>
        </w:rPr>
      </w:pPr>
      <w:r w:rsidRPr="00691211">
        <w:rPr>
          <w:rFonts w:ascii="Arial" w:hAnsi="Arial" w:cs="Arial"/>
          <w:szCs w:val="24"/>
        </w:rPr>
        <w:t>The undersigned hereby certifies that:</w:t>
      </w:r>
    </w:p>
    <w:p w14:paraId="1D8E7738" w14:textId="77777777" w:rsidR="00640E94" w:rsidRPr="00691211" w:rsidRDefault="00640E94">
      <w:pPr>
        <w:pStyle w:val="List"/>
        <w:keepNext/>
        <w:numPr>
          <w:ilvl w:val="0"/>
          <w:numId w:val="23"/>
        </w:numPr>
        <w:jc w:val="both"/>
        <w:rPr>
          <w:rFonts w:ascii="Arial" w:hAnsi="Arial" w:cs="Arial"/>
          <w:szCs w:val="24"/>
        </w:rPr>
      </w:pPr>
      <w:r w:rsidRPr="00691211">
        <w:rPr>
          <w:rFonts w:ascii="Arial" w:hAnsi="Arial" w:cs="Arial"/>
          <w:szCs w:val="24"/>
        </w:rPr>
        <w:t>The undersigned is a director and/or senior officer of the Issuer and has been duly authorized by a resolution of the board of directors of the Issuer to sign this Certificate of Compliance.</w:t>
      </w:r>
    </w:p>
    <w:p w14:paraId="7D807056" w14:textId="77777777" w:rsidR="00640E94" w:rsidRPr="00691211" w:rsidRDefault="00640E94">
      <w:pPr>
        <w:pStyle w:val="List"/>
        <w:numPr>
          <w:ilvl w:val="0"/>
          <w:numId w:val="23"/>
        </w:numPr>
        <w:jc w:val="both"/>
        <w:rPr>
          <w:rFonts w:ascii="Arial" w:hAnsi="Arial" w:cs="Arial"/>
          <w:szCs w:val="24"/>
        </w:rPr>
      </w:pPr>
      <w:r w:rsidRPr="00691211">
        <w:rPr>
          <w:rFonts w:ascii="Arial" w:hAnsi="Arial" w:cs="Arial"/>
          <w:szCs w:val="24"/>
        </w:rPr>
        <w:t xml:space="preserve">As of the date hereof there </w:t>
      </w:r>
      <w:proofErr w:type="gramStart"/>
      <w:r w:rsidRPr="00691211">
        <w:rPr>
          <w:rFonts w:ascii="Arial" w:hAnsi="Arial" w:cs="Arial"/>
          <w:szCs w:val="24"/>
        </w:rPr>
        <w:t>were is</w:t>
      </w:r>
      <w:proofErr w:type="gramEnd"/>
      <w:r w:rsidRPr="00691211">
        <w:rPr>
          <w:rFonts w:ascii="Arial" w:hAnsi="Arial" w:cs="Arial"/>
          <w:szCs w:val="24"/>
        </w:rPr>
        <w:t xml:space="preserve"> no material information concerning the Issuer which has not been publicly disclosed.</w:t>
      </w:r>
    </w:p>
    <w:p w14:paraId="4362A102" w14:textId="77777777" w:rsidR="00640E94" w:rsidRPr="00691211" w:rsidRDefault="00640E94">
      <w:pPr>
        <w:pStyle w:val="List"/>
        <w:numPr>
          <w:ilvl w:val="0"/>
          <w:numId w:val="23"/>
        </w:numPr>
        <w:jc w:val="both"/>
        <w:rPr>
          <w:rFonts w:ascii="Arial" w:hAnsi="Arial" w:cs="Arial"/>
          <w:szCs w:val="24"/>
        </w:rPr>
      </w:pPr>
      <w:r w:rsidRPr="00691211">
        <w:rPr>
          <w:rFonts w:ascii="Arial" w:hAnsi="Arial" w:cs="Arial"/>
          <w:szCs w:val="24"/>
        </w:rPr>
        <w:t xml:space="preserve">The undersigned hereby certifies to </w:t>
      </w:r>
      <w:r w:rsidR="008B7E92" w:rsidRPr="00691211">
        <w:rPr>
          <w:rFonts w:ascii="Arial" w:hAnsi="Arial" w:cs="Arial"/>
          <w:szCs w:val="24"/>
        </w:rPr>
        <w:t xml:space="preserve">the Exchange </w:t>
      </w:r>
      <w:r w:rsidRPr="00691211">
        <w:rPr>
          <w:rFonts w:ascii="Arial" w:hAnsi="Arial" w:cs="Arial"/>
          <w:szCs w:val="24"/>
        </w:rPr>
        <w:t xml:space="preserve">that the Issuer </w:t>
      </w:r>
      <w:proofErr w:type="gramStart"/>
      <w:r w:rsidRPr="00691211">
        <w:rPr>
          <w:rFonts w:ascii="Arial" w:hAnsi="Arial" w:cs="Arial"/>
          <w:szCs w:val="24"/>
        </w:rPr>
        <w:t>is in compliance with</w:t>
      </w:r>
      <w:proofErr w:type="gramEnd"/>
      <w:r w:rsidRPr="00691211">
        <w:rPr>
          <w:rFonts w:ascii="Arial" w:hAnsi="Arial" w:cs="Arial"/>
          <w:szCs w:val="24"/>
        </w:rPr>
        <w:t xml:space="preserve"> the requirements of </w:t>
      </w:r>
      <w:r w:rsidR="00E36141" w:rsidRPr="00691211">
        <w:rPr>
          <w:rFonts w:ascii="Arial" w:hAnsi="Arial" w:cs="Arial"/>
          <w:szCs w:val="24"/>
        </w:rPr>
        <w:t xml:space="preserve">applicable securities legislation (as such term is defined in National Instrument 14-101) </w:t>
      </w:r>
      <w:r w:rsidRPr="00691211">
        <w:rPr>
          <w:rFonts w:ascii="Arial" w:hAnsi="Arial" w:cs="Arial"/>
          <w:szCs w:val="24"/>
        </w:rPr>
        <w:t xml:space="preserve">and all </w:t>
      </w:r>
      <w:r w:rsidR="008B7E92" w:rsidRPr="00691211">
        <w:rPr>
          <w:rFonts w:ascii="Arial" w:hAnsi="Arial" w:cs="Arial"/>
          <w:szCs w:val="24"/>
        </w:rPr>
        <w:t xml:space="preserve">Exchange </w:t>
      </w:r>
      <w:r w:rsidRPr="00691211">
        <w:rPr>
          <w:rFonts w:ascii="Arial" w:hAnsi="Arial" w:cs="Arial"/>
          <w:szCs w:val="24"/>
        </w:rPr>
        <w:t xml:space="preserve">Requirements (as defined in </w:t>
      </w:r>
      <w:r w:rsidR="003669A9" w:rsidRPr="00691211">
        <w:rPr>
          <w:rFonts w:ascii="Arial" w:hAnsi="Arial" w:cs="Arial"/>
          <w:szCs w:val="24"/>
        </w:rPr>
        <w:t>CNSX</w:t>
      </w:r>
      <w:r w:rsidRPr="00691211">
        <w:rPr>
          <w:rFonts w:ascii="Arial" w:hAnsi="Arial" w:cs="Arial"/>
          <w:szCs w:val="24"/>
        </w:rPr>
        <w:t xml:space="preserve"> Policy 1).</w:t>
      </w:r>
    </w:p>
    <w:p w14:paraId="39C796AE" w14:textId="77777777" w:rsidR="00640E94" w:rsidRPr="00691211" w:rsidRDefault="00640E94">
      <w:pPr>
        <w:pStyle w:val="List"/>
        <w:numPr>
          <w:ilvl w:val="0"/>
          <w:numId w:val="23"/>
        </w:numPr>
        <w:jc w:val="both"/>
        <w:rPr>
          <w:rFonts w:ascii="Arial" w:hAnsi="Arial" w:cs="Arial"/>
          <w:szCs w:val="24"/>
        </w:rPr>
      </w:pPr>
      <w:proofErr w:type="gramStart"/>
      <w:r w:rsidRPr="00691211">
        <w:rPr>
          <w:rFonts w:ascii="Arial" w:hAnsi="Arial" w:cs="Arial"/>
          <w:szCs w:val="24"/>
        </w:rPr>
        <w:t>All of</w:t>
      </w:r>
      <w:proofErr w:type="gramEnd"/>
      <w:r w:rsidRPr="00691211">
        <w:rPr>
          <w:rFonts w:ascii="Arial" w:hAnsi="Arial" w:cs="Arial"/>
          <w:szCs w:val="24"/>
        </w:rPr>
        <w:t xml:space="preserve"> the information in this Form 7 Monthly Progress Report is true.</w:t>
      </w:r>
    </w:p>
    <w:p w14:paraId="38EC5998" w14:textId="7BC70FC0" w:rsidR="00640E94" w:rsidRPr="00691211" w:rsidRDefault="00640E94">
      <w:pPr>
        <w:pStyle w:val="BodyText"/>
        <w:tabs>
          <w:tab w:val="left" w:pos="4680"/>
          <w:tab w:val="left" w:pos="7200"/>
        </w:tabs>
        <w:spacing w:before="480"/>
        <w:jc w:val="both"/>
        <w:rPr>
          <w:rFonts w:ascii="Arial" w:hAnsi="Arial" w:cs="Arial"/>
          <w:szCs w:val="24"/>
        </w:rPr>
      </w:pPr>
      <w:r w:rsidRPr="00691211">
        <w:rPr>
          <w:rFonts w:ascii="Arial" w:hAnsi="Arial" w:cs="Arial"/>
          <w:szCs w:val="24"/>
        </w:rPr>
        <w:t>Dated</w:t>
      </w:r>
      <w:r w:rsidR="00162F3D">
        <w:rPr>
          <w:rFonts w:ascii="Arial" w:hAnsi="Arial" w:cs="Arial"/>
          <w:szCs w:val="24"/>
        </w:rPr>
        <w:t xml:space="preserve">: February </w:t>
      </w:r>
      <w:r w:rsidR="001F1905">
        <w:rPr>
          <w:rFonts w:ascii="Arial" w:hAnsi="Arial" w:cs="Arial"/>
          <w:szCs w:val="24"/>
        </w:rPr>
        <w:t>8</w:t>
      </w:r>
      <w:r w:rsidR="00162F3D">
        <w:rPr>
          <w:rFonts w:ascii="Arial" w:hAnsi="Arial" w:cs="Arial"/>
          <w:szCs w:val="24"/>
        </w:rPr>
        <w:t>, 2021</w:t>
      </w:r>
    </w:p>
    <w:p w14:paraId="5E35E187" w14:textId="0FEC832C" w:rsidR="00640E94" w:rsidRPr="00691211" w:rsidRDefault="00640E94">
      <w:pPr>
        <w:pStyle w:val="List"/>
        <w:tabs>
          <w:tab w:val="left" w:pos="9180"/>
        </w:tabs>
        <w:ind w:left="5760" w:hanging="5760"/>
        <w:rPr>
          <w:rFonts w:ascii="Arial" w:hAnsi="Arial" w:cs="Arial"/>
          <w:szCs w:val="24"/>
        </w:rPr>
      </w:pPr>
      <w:r w:rsidRPr="00691211">
        <w:rPr>
          <w:rFonts w:ascii="Arial" w:hAnsi="Arial" w:cs="Arial"/>
          <w:szCs w:val="24"/>
        </w:rPr>
        <w:tab/>
      </w:r>
      <w:r w:rsidR="001F1905">
        <w:rPr>
          <w:rFonts w:ascii="Arial" w:hAnsi="Arial" w:cs="Arial"/>
          <w:szCs w:val="24"/>
          <w:u w:val="single"/>
        </w:rPr>
        <w:t>Christian Scovenna</w:t>
      </w:r>
      <w:r w:rsidRPr="00691211">
        <w:rPr>
          <w:rFonts w:ascii="Arial" w:hAnsi="Arial" w:cs="Arial"/>
          <w:szCs w:val="24"/>
          <w:u w:val="single"/>
        </w:rPr>
        <w:tab/>
      </w:r>
      <w:r w:rsidRPr="00691211">
        <w:rPr>
          <w:rFonts w:ascii="Arial" w:hAnsi="Arial" w:cs="Arial"/>
          <w:szCs w:val="24"/>
          <w:u w:val="single"/>
        </w:rPr>
        <w:br/>
      </w:r>
      <w:r w:rsidRPr="00691211">
        <w:rPr>
          <w:rFonts w:ascii="Arial" w:hAnsi="Arial" w:cs="Arial"/>
          <w:szCs w:val="24"/>
        </w:rPr>
        <w:t>Name of Director or Senior Officer</w:t>
      </w:r>
    </w:p>
    <w:p w14:paraId="5419D28E" w14:textId="15A1F273" w:rsidR="00640E94" w:rsidRPr="00691211" w:rsidRDefault="00640E94">
      <w:pPr>
        <w:pStyle w:val="List"/>
        <w:tabs>
          <w:tab w:val="left" w:pos="9180"/>
          <w:tab w:val="left" w:pos="9360"/>
        </w:tabs>
        <w:ind w:left="5760" w:hanging="5760"/>
        <w:rPr>
          <w:rFonts w:ascii="Arial" w:hAnsi="Arial" w:cs="Arial"/>
          <w:szCs w:val="24"/>
        </w:rPr>
      </w:pPr>
      <w:r w:rsidRPr="00691211">
        <w:rPr>
          <w:rFonts w:ascii="Arial" w:hAnsi="Arial" w:cs="Arial"/>
          <w:szCs w:val="24"/>
        </w:rPr>
        <w:tab/>
      </w:r>
      <w:r w:rsidR="00162F3D" w:rsidRPr="00162F3D">
        <w:rPr>
          <w:rFonts w:ascii="Arial" w:hAnsi="Arial" w:cs="Arial"/>
          <w:i/>
          <w:iCs/>
          <w:szCs w:val="24"/>
          <w:u w:val="single"/>
        </w:rPr>
        <w:t>"</w:t>
      </w:r>
      <w:r w:rsidR="001F1905">
        <w:rPr>
          <w:rFonts w:ascii="Arial" w:hAnsi="Arial" w:cs="Arial"/>
          <w:i/>
          <w:iCs/>
          <w:szCs w:val="24"/>
          <w:u w:val="single"/>
        </w:rPr>
        <w:t>Christian Scovenna</w:t>
      </w:r>
      <w:r w:rsidR="00162F3D">
        <w:rPr>
          <w:rFonts w:ascii="Arial" w:hAnsi="Arial" w:cs="Arial"/>
          <w:i/>
          <w:iCs/>
          <w:szCs w:val="24"/>
          <w:u w:val="single"/>
        </w:rPr>
        <w:t>"</w:t>
      </w:r>
      <w:r w:rsidRPr="00691211">
        <w:rPr>
          <w:rFonts w:ascii="Arial" w:hAnsi="Arial" w:cs="Arial"/>
          <w:szCs w:val="24"/>
          <w:u w:val="single"/>
        </w:rPr>
        <w:tab/>
      </w:r>
      <w:r w:rsidRPr="00691211">
        <w:rPr>
          <w:rFonts w:ascii="Arial" w:hAnsi="Arial" w:cs="Arial"/>
          <w:szCs w:val="24"/>
        </w:rPr>
        <w:br/>
        <w:t>Signature</w:t>
      </w:r>
    </w:p>
    <w:p w14:paraId="6A1C4E54" w14:textId="77777777" w:rsidR="00162F3D" w:rsidRDefault="00162F3D">
      <w:pPr>
        <w:pStyle w:val="BodyText"/>
        <w:tabs>
          <w:tab w:val="left" w:pos="9180"/>
        </w:tabs>
        <w:spacing w:before="0"/>
        <w:ind w:left="5760"/>
        <w:rPr>
          <w:rFonts w:ascii="Arial" w:hAnsi="Arial" w:cs="Arial"/>
          <w:szCs w:val="24"/>
          <w:u w:val="single"/>
        </w:rPr>
      </w:pPr>
    </w:p>
    <w:p w14:paraId="7DAF7B9B" w14:textId="34D0D041" w:rsidR="00640E94" w:rsidRPr="00691211" w:rsidRDefault="00162F3D">
      <w:pPr>
        <w:pStyle w:val="BodyText"/>
        <w:tabs>
          <w:tab w:val="left" w:pos="9180"/>
        </w:tabs>
        <w:spacing w:before="0"/>
        <w:ind w:left="5760"/>
        <w:rPr>
          <w:rFonts w:ascii="Arial" w:hAnsi="Arial" w:cs="Arial"/>
          <w:szCs w:val="24"/>
        </w:rPr>
      </w:pPr>
      <w:r>
        <w:rPr>
          <w:rFonts w:ascii="Arial" w:hAnsi="Arial" w:cs="Arial"/>
          <w:szCs w:val="24"/>
          <w:u w:val="single"/>
        </w:rPr>
        <w:t>Chief</w:t>
      </w:r>
      <w:r w:rsidR="001F1905">
        <w:rPr>
          <w:rFonts w:ascii="Arial" w:hAnsi="Arial" w:cs="Arial"/>
          <w:szCs w:val="24"/>
          <w:u w:val="single"/>
        </w:rPr>
        <w:t xml:space="preserve"> Executive Officer</w:t>
      </w:r>
      <w:r w:rsidR="00640E94" w:rsidRPr="00691211">
        <w:rPr>
          <w:rFonts w:ascii="Arial" w:hAnsi="Arial" w:cs="Arial"/>
          <w:szCs w:val="24"/>
          <w:u w:val="single"/>
        </w:rPr>
        <w:tab/>
      </w:r>
      <w:r w:rsidR="00640E94" w:rsidRPr="00691211">
        <w:rPr>
          <w:rFonts w:ascii="Arial" w:hAnsi="Arial" w:cs="Arial"/>
          <w:szCs w:val="24"/>
        </w:rPr>
        <w:br/>
        <w:t>Official Capacity</w:t>
      </w:r>
      <w:bookmarkEnd w:id="4"/>
    </w:p>
    <w:p w14:paraId="5025EA56" w14:textId="77777777" w:rsidR="00640E94" w:rsidRPr="006912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691211" w14:paraId="0C71B09E" w14:textId="77777777">
        <w:tc>
          <w:tcPr>
            <w:tcW w:w="4878" w:type="dxa"/>
            <w:tcBorders>
              <w:top w:val="single" w:sz="18" w:space="0" w:color="auto"/>
              <w:bottom w:val="nil"/>
              <w:right w:val="single" w:sz="18" w:space="0" w:color="auto"/>
            </w:tcBorders>
          </w:tcPr>
          <w:p w14:paraId="599BB6FD" w14:textId="77777777" w:rsidR="00640E94" w:rsidRPr="00691211" w:rsidRDefault="00640E94">
            <w:pPr>
              <w:pStyle w:val="BodyText"/>
              <w:spacing w:before="0"/>
              <w:rPr>
                <w:rFonts w:ascii="Arial" w:hAnsi="Arial" w:cs="Arial"/>
                <w:b/>
                <w:i/>
                <w:szCs w:val="24"/>
              </w:rPr>
            </w:pPr>
            <w:r w:rsidRPr="00691211">
              <w:rPr>
                <w:rFonts w:ascii="Arial" w:hAnsi="Arial" w:cs="Arial"/>
                <w:b/>
                <w:i/>
                <w:szCs w:val="24"/>
              </w:rPr>
              <w:t>Issuer Details</w:t>
            </w:r>
          </w:p>
          <w:p w14:paraId="45C7E845" w14:textId="77777777" w:rsidR="00640E94" w:rsidRPr="00691211" w:rsidRDefault="00640E94">
            <w:pPr>
              <w:pStyle w:val="BodyText"/>
              <w:spacing w:before="0"/>
              <w:rPr>
                <w:rFonts w:ascii="Arial" w:hAnsi="Arial" w:cs="Arial"/>
                <w:szCs w:val="24"/>
              </w:rPr>
            </w:pPr>
            <w:r w:rsidRPr="00691211">
              <w:rPr>
                <w:rFonts w:ascii="Arial" w:hAnsi="Arial" w:cs="Arial"/>
                <w:szCs w:val="24"/>
              </w:rPr>
              <w:t>Name of Issuer</w:t>
            </w:r>
          </w:p>
          <w:p w14:paraId="2126692C" w14:textId="30ED8F13" w:rsidR="00640E94" w:rsidRPr="00691211" w:rsidRDefault="001F1905">
            <w:pPr>
              <w:pStyle w:val="BodyText"/>
              <w:rPr>
                <w:rFonts w:ascii="Arial" w:hAnsi="Arial" w:cs="Arial"/>
                <w:szCs w:val="24"/>
              </w:rPr>
            </w:pPr>
            <w:r>
              <w:rPr>
                <w:rStyle w:val="Strong"/>
                <w:rFonts w:ascii="Arial" w:hAnsi="Arial" w:cs="Arial"/>
                <w:color w:val="222222"/>
              </w:rPr>
              <w:t>Ready Set Gold Corp.</w:t>
            </w:r>
          </w:p>
        </w:tc>
        <w:tc>
          <w:tcPr>
            <w:tcW w:w="1800" w:type="dxa"/>
            <w:tcBorders>
              <w:top w:val="single" w:sz="18" w:space="0" w:color="auto"/>
              <w:left w:val="single" w:sz="18" w:space="0" w:color="auto"/>
              <w:bottom w:val="nil"/>
              <w:right w:val="single" w:sz="18" w:space="0" w:color="auto"/>
            </w:tcBorders>
          </w:tcPr>
          <w:p w14:paraId="0B501C94" w14:textId="77777777" w:rsidR="00640E94" w:rsidRDefault="00640E94">
            <w:pPr>
              <w:pStyle w:val="BodyText"/>
              <w:spacing w:before="0"/>
              <w:rPr>
                <w:rFonts w:ascii="Arial" w:hAnsi="Arial" w:cs="Arial"/>
                <w:szCs w:val="24"/>
              </w:rPr>
            </w:pPr>
            <w:proofErr w:type="gramStart"/>
            <w:r w:rsidRPr="00691211">
              <w:rPr>
                <w:rFonts w:ascii="Arial" w:hAnsi="Arial" w:cs="Arial"/>
                <w:szCs w:val="24"/>
              </w:rPr>
              <w:t>For  Month</w:t>
            </w:r>
            <w:proofErr w:type="gramEnd"/>
            <w:r w:rsidRPr="00691211">
              <w:rPr>
                <w:rFonts w:ascii="Arial" w:hAnsi="Arial" w:cs="Arial"/>
                <w:szCs w:val="24"/>
              </w:rPr>
              <w:t xml:space="preserve"> End</w:t>
            </w:r>
          </w:p>
          <w:p w14:paraId="0CB18C9B" w14:textId="77777777" w:rsidR="001F1905" w:rsidRDefault="001F1905">
            <w:pPr>
              <w:pStyle w:val="BodyText"/>
              <w:spacing w:before="0"/>
              <w:rPr>
                <w:rFonts w:ascii="Arial" w:hAnsi="Arial" w:cs="Arial"/>
                <w:szCs w:val="24"/>
              </w:rPr>
            </w:pPr>
          </w:p>
          <w:p w14:paraId="599D891C" w14:textId="09217249" w:rsidR="001F1905" w:rsidRPr="00691211" w:rsidRDefault="001F1905">
            <w:pPr>
              <w:pStyle w:val="BodyText"/>
              <w:spacing w:before="0"/>
              <w:rPr>
                <w:rFonts w:ascii="Arial" w:hAnsi="Arial" w:cs="Arial"/>
                <w:szCs w:val="24"/>
              </w:rPr>
            </w:pPr>
            <w:r>
              <w:rPr>
                <w:rFonts w:ascii="Arial" w:hAnsi="Arial" w:cs="Arial"/>
                <w:szCs w:val="24"/>
              </w:rPr>
              <w:t>January</w:t>
            </w:r>
          </w:p>
        </w:tc>
        <w:tc>
          <w:tcPr>
            <w:tcW w:w="2898" w:type="dxa"/>
            <w:tcBorders>
              <w:top w:val="single" w:sz="18" w:space="0" w:color="auto"/>
              <w:left w:val="single" w:sz="18" w:space="0" w:color="auto"/>
              <w:bottom w:val="nil"/>
            </w:tcBorders>
          </w:tcPr>
          <w:p w14:paraId="0BA1E5FF" w14:textId="77777777" w:rsidR="00640E94" w:rsidRPr="00691211" w:rsidRDefault="00640E94">
            <w:pPr>
              <w:pStyle w:val="BodyText"/>
              <w:spacing w:before="0"/>
              <w:rPr>
                <w:rFonts w:ascii="Arial" w:hAnsi="Arial" w:cs="Arial"/>
                <w:szCs w:val="24"/>
              </w:rPr>
            </w:pPr>
            <w:r w:rsidRPr="00691211">
              <w:rPr>
                <w:rFonts w:ascii="Arial" w:hAnsi="Arial" w:cs="Arial"/>
                <w:szCs w:val="24"/>
              </w:rPr>
              <w:t>Date of Report</w:t>
            </w:r>
          </w:p>
          <w:p w14:paraId="5E6ACCB0" w14:textId="77777777" w:rsidR="00640E94" w:rsidRDefault="00640E94">
            <w:pPr>
              <w:pStyle w:val="BodyText"/>
              <w:spacing w:before="0"/>
              <w:rPr>
                <w:rFonts w:ascii="Arial" w:hAnsi="Arial" w:cs="Arial"/>
                <w:szCs w:val="24"/>
              </w:rPr>
            </w:pPr>
            <w:r w:rsidRPr="00691211">
              <w:rPr>
                <w:rFonts w:ascii="Arial" w:hAnsi="Arial" w:cs="Arial"/>
                <w:szCs w:val="24"/>
              </w:rPr>
              <w:t>YY/MM/D</w:t>
            </w:r>
          </w:p>
          <w:p w14:paraId="7BE027BC" w14:textId="77777777" w:rsidR="001F1905" w:rsidRDefault="001F1905">
            <w:pPr>
              <w:pStyle w:val="BodyText"/>
              <w:spacing w:before="0"/>
              <w:rPr>
                <w:rFonts w:ascii="Arial" w:hAnsi="Arial" w:cs="Arial"/>
                <w:szCs w:val="24"/>
              </w:rPr>
            </w:pPr>
          </w:p>
          <w:p w14:paraId="5D010D8D" w14:textId="65718C1D" w:rsidR="001F1905" w:rsidRPr="00691211" w:rsidRDefault="001F1905">
            <w:pPr>
              <w:pStyle w:val="BodyText"/>
              <w:spacing w:before="0"/>
              <w:rPr>
                <w:rFonts w:ascii="Arial" w:hAnsi="Arial" w:cs="Arial"/>
                <w:szCs w:val="24"/>
              </w:rPr>
            </w:pPr>
            <w:r>
              <w:rPr>
                <w:rFonts w:ascii="Arial" w:hAnsi="Arial" w:cs="Arial"/>
                <w:szCs w:val="24"/>
              </w:rPr>
              <w:t>21/02/-8</w:t>
            </w:r>
          </w:p>
        </w:tc>
      </w:tr>
      <w:tr w:rsidR="00640E94" w:rsidRPr="00691211" w14:paraId="61B41840" w14:textId="77777777">
        <w:trPr>
          <w:cantSplit/>
        </w:trPr>
        <w:tc>
          <w:tcPr>
            <w:tcW w:w="9576" w:type="dxa"/>
            <w:gridSpan w:val="3"/>
            <w:tcBorders>
              <w:top w:val="single" w:sz="18" w:space="0" w:color="auto"/>
              <w:bottom w:val="single" w:sz="18" w:space="0" w:color="auto"/>
            </w:tcBorders>
          </w:tcPr>
          <w:p w14:paraId="00916170" w14:textId="00BFD525" w:rsidR="00640E94" w:rsidRDefault="00640E94">
            <w:pPr>
              <w:pStyle w:val="BodyText"/>
              <w:spacing w:before="0"/>
              <w:rPr>
                <w:rFonts w:ascii="Arial" w:hAnsi="Arial" w:cs="Arial"/>
                <w:szCs w:val="24"/>
              </w:rPr>
            </w:pPr>
            <w:r w:rsidRPr="00691211">
              <w:rPr>
                <w:rFonts w:ascii="Arial" w:hAnsi="Arial" w:cs="Arial"/>
                <w:szCs w:val="24"/>
              </w:rPr>
              <w:t>Issuer Address</w:t>
            </w:r>
          </w:p>
          <w:p w14:paraId="7A8BD695" w14:textId="77777777" w:rsidR="00640E94" w:rsidRPr="00691211" w:rsidRDefault="00640E94" w:rsidP="001F1905">
            <w:pPr>
              <w:pStyle w:val="BodyText"/>
              <w:spacing w:before="0"/>
              <w:rPr>
                <w:rFonts w:ascii="Arial" w:hAnsi="Arial" w:cs="Arial"/>
                <w:szCs w:val="24"/>
              </w:rPr>
            </w:pPr>
          </w:p>
        </w:tc>
      </w:tr>
      <w:tr w:rsidR="00640E94" w:rsidRPr="00691211" w14:paraId="151F0780" w14:textId="77777777">
        <w:tc>
          <w:tcPr>
            <w:tcW w:w="4878" w:type="dxa"/>
            <w:tcBorders>
              <w:top w:val="single" w:sz="18" w:space="0" w:color="auto"/>
              <w:bottom w:val="single" w:sz="18" w:space="0" w:color="auto"/>
              <w:right w:val="single" w:sz="18" w:space="0" w:color="auto"/>
            </w:tcBorders>
          </w:tcPr>
          <w:p w14:paraId="55132E7C" w14:textId="77777777" w:rsidR="00640E94" w:rsidRPr="00691211" w:rsidRDefault="00640E94">
            <w:pPr>
              <w:pStyle w:val="BodyText"/>
              <w:spacing w:before="0"/>
              <w:rPr>
                <w:rFonts w:ascii="Arial" w:hAnsi="Arial" w:cs="Arial"/>
                <w:szCs w:val="24"/>
              </w:rPr>
            </w:pPr>
            <w:r w:rsidRPr="00691211">
              <w:rPr>
                <w:rFonts w:ascii="Arial" w:hAnsi="Arial" w:cs="Arial"/>
                <w:szCs w:val="24"/>
              </w:rPr>
              <w:t>City/Province/Postal Code</w:t>
            </w:r>
          </w:p>
          <w:p w14:paraId="5BEB1FB7" w14:textId="77777777" w:rsidR="00640E94" w:rsidRPr="00691211" w:rsidRDefault="00640E94">
            <w:pPr>
              <w:pStyle w:val="BodyText"/>
              <w:spacing w:before="0"/>
              <w:rPr>
                <w:rFonts w:ascii="Arial" w:hAnsi="Arial" w:cs="Arial"/>
                <w:szCs w:val="24"/>
              </w:rPr>
            </w:pPr>
          </w:p>
          <w:p w14:paraId="14F2E753" w14:textId="77777777" w:rsidR="001F1905" w:rsidRPr="001F1905" w:rsidRDefault="001F1905" w:rsidP="001F1905">
            <w:pPr>
              <w:pStyle w:val="BodyText"/>
              <w:spacing w:before="0"/>
              <w:rPr>
                <w:rFonts w:ascii="Arial" w:hAnsi="Arial" w:cs="Arial"/>
                <w:b/>
                <w:bCs/>
                <w:szCs w:val="24"/>
              </w:rPr>
            </w:pPr>
            <w:r>
              <w:rPr>
                <w:rFonts w:ascii="Arial" w:hAnsi="Arial" w:cs="Arial"/>
                <w:b/>
                <w:bCs/>
                <w:szCs w:val="24"/>
              </w:rPr>
              <w:t xml:space="preserve">Vancouver, BC </w:t>
            </w:r>
            <w:r w:rsidRPr="001F1905">
              <w:rPr>
                <w:rFonts w:ascii="Arial" w:hAnsi="Arial" w:cs="Arial"/>
                <w:b/>
                <w:bCs/>
                <w:szCs w:val="24"/>
              </w:rPr>
              <w:t>V6A 4C1</w:t>
            </w:r>
          </w:p>
          <w:p w14:paraId="662C930F" w14:textId="45A11F0A" w:rsidR="00640E94" w:rsidRPr="001F1905" w:rsidRDefault="00640E94">
            <w:pPr>
              <w:pStyle w:val="BodyText"/>
              <w:spacing w:before="0"/>
              <w:rPr>
                <w:rFonts w:ascii="Arial" w:hAnsi="Arial" w:cs="Arial"/>
                <w:b/>
                <w:bCs/>
                <w:szCs w:val="24"/>
              </w:rPr>
            </w:pPr>
          </w:p>
        </w:tc>
        <w:tc>
          <w:tcPr>
            <w:tcW w:w="1800" w:type="dxa"/>
            <w:tcBorders>
              <w:top w:val="single" w:sz="18" w:space="0" w:color="auto"/>
              <w:left w:val="single" w:sz="18" w:space="0" w:color="auto"/>
              <w:bottom w:val="single" w:sz="18" w:space="0" w:color="auto"/>
              <w:right w:val="single" w:sz="18" w:space="0" w:color="auto"/>
            </w:tcBorders>
          </w:tcPr>
          <w:p w14:paraId="57128FA6" w14:textId="77777777" w:rsidR="00640E94" w:rsidRPr="00691211" w:rsidRDefault="00640E94">
            <w:pPr>
              <w:pStyle w:val="BodyText"/>
              <w:spacing w:before="0"/>
              <w:rPr>
                <w:rFonts w:ascii="Arial" w:hAnsi="Arial" w:cs="Arial"/>
                <w:szCs w:val="24"/>
              </w:rPr>
            </w:pPr>
            <w:r w:rsidRPr="00691211">
              <w:rPr>
                <w:rFonts w:ascii="Arial" w:hAnsi="Arial" w:cs="Arial"/>
                <w:szCs w:val="24"/>
              </w:rPr>
              <w:t>Issuer Fax No.</w:t>
            </w:r>
          </w:p>
          <w:p w14:paraId="7E1DAE0A" w14:textId="77777777" w:rsidR="00640E94" w:rsidRPr="00691211" w:rsidRDefault="00640E94">
            <w:pPr>
              <w:pStyle w:val="BodyText"/>
              <w:spacing w:before="0"/>
              <w:rPr>
                <w:rFonts w:ascii="Arial" w:hAnsi="Arial" w:cs="Arial"/>
                <w:szCs w:val="24"/>
              </w:rPr>
            </w:pPr>
            <w:r w:rsidRPr="00691211">
              <w:rPr>
                <w:rFonts w:ascii="Arial" w:hAnsi="Arial" w:cs="Arial"/>
                <w:szCs w:val="24"/>
              </w:rPr>
              <w:t>(     )</w:t>
            </w:r>
          </w:p>
        </w:tc>
        <w:tc>
          <w:tcPr>
            <w:tcW w:w="2898" w:type="dxa"/>
            <w:tcBorders>
              <w:top w:val="single" w:sz="18" w:space="0" w:color="auto"/>
              <w:left w:val="single" w:sz="18" w:space="0" w:color="auto"/>
              <w:bottom w:val="single" w:sz="18" w:space="0" w:color="auto"/>
            </w:tcBorders>
          </w:tcPr>
          <w:p w14:paraId="53AAB48F" w14:textId="613D11D3" w:rsidR="00640E94" w:rsidRDefault="00640E94">
            <w:pPr>
              <w:pStyle w:val="BodyText"/>
              <w:spacing w:before="0"/>
              <w:rPr>
                <w:rFonts w:ascii="Arial" w:hAnsi="Arial" w:cs="Arial"/>
                <w:szCs w:val="24"/>
              </w:rPr>
            </w:pPr>
            <w:r w:rsidRPr="00691211">
              <w:rPr>
                <w:rFonts w:ascii="Arial" w:hAnsi="Arial" w:cs="Arial"/>
                <w:szCs w:val="24"/>
              </w:rPr>
              <w:t>Issuer Telephone No.</w:t>
            </w:r>
          </w:p>
          <w:p w14:paraId="7EE1C136" w14:textId="77777777" w:rsidR="001F1905" w:rsidRPr="00691211" w:rsidRDefault="001F1905">
            <w:pPr>
              <w:pStyle w:val="BodyText"/>
              <w:spacing w:before="0"/>
              <w:rPr>
                <w:rFonts w:ascii="Arial" w:hAnsi="Arial" w:cs="Arial"/>
                <w:szCs w:val="24"/>
              </w:rPr>
            </w:pPr>
          </w:p>
          <w:p w14:paraId="56DDC6C3" w14:textId="006FEF54" w:rsidR="00640E94" w:rsidRPr="001F1905" w:rsidRDefault="001F1905">
            <w:pPr>
              <w:pStyle w:val="BodyText"/>
              <w:spacing w:before="0"/>
              <w:rPr>
                <w:rFonts w:ascii="Arial" w:hAnsi="Arial" w:cs="Arial"/>
                <w:b/>
                <w:bCs/>
                <w:szCs w:val="24"/>
              </w:rPr>
            </w:pPr>
            <w:r w:rsidRPr="001F1905">
              <w:rPr>
                <w:rFonts w:ascii="Arial" w:hAnsi="Arial" w:cs="Arial"/>
                <w:b/>
                <w:bCs/>
                <w:szCs w:val="24"/>
              </w:rPr>
              <w:t>604 365-0425</w:t>
            </w:r>
          </w:p>
        </w:tc>
      </w:tr>
      <w:tr w:rsidR="00640E94" w:rsidRPr="00691211" w14:paraId="2F2DC75F" w14:textId="77777777">
        <w:tc>
          <w:tcPr>
            <w:tcW w:w="4878" w:type="dxa"/>
            <w:tcBorders>
              <w:top w:val="single" w:sz="18" w:space="0" w:color="auto"/>
              <w:bottom w:val="single" w:sz="18" w:space="0" w:color="auto"/>
              <w:right w:val="single" w:sz="18" w:space="0" w:color="auto"/>
            </w:tcBorders>
          </w:tcPr>
          <w:p w14:paraId="626F791D" w14:textId="77777777" w:rsidR="00640E94" w:rsidRPr="00691211" w:rsidRDefault="00640E94">
            <w:pPr>
              <w:pStyle w:val="BodyText"/>
              <w:spacing w:before="0"/>
              <w:rPr>
                <w:rFonts w:ascii="Arial" w:hAnsi="Arial" w:cs="Arial"/>
                <w:szCs w:val="24"/>
              </w:rPr>
            </w:pPr>
            <w:r w:rsidRPr="00691211">
              <w:rPr>
                <w:rFonts w:ascii="Arial" w:hAnsi="Arial" w:cs="Arial"/>
                <w:szCs w:val="24"/>
              </w:rPr>
              <w:t>Contact Name</w:t>
            </w:r>
          </w:p>
          <w:p w14:paraId="69862F8A" w14:textId="77777777" w:rsidR="00640E94" w:rsidRPr="00691211" w:rsidRDefault="00640E94">
            <w:pPr>
              <w:pStyle w:val="BodyText"/>
              <w:spacing w:before="0"/>
              <w:rPr>
                <w:rFonts w:ascii="Arial" w:hAnsi="Arial" w:cs="Arial"/>
                <w:szCs w:val="24"/>
              </w:rPr>
            </w:pPr>
          </w:p>
          <w:p w14:paraId="30A1DBBE" w14:textId="77777777" w:rsidR="001F1905" w:rsidRDefault="001F1905">
            <w:pPr>
              <w:pStyle w:val="BodyText"/>
              <w:spacing w:before="0"/>
              <w:rPr>
                <w:rFonts w:ascii="Arial" w:hAnsi="Arial" w:cs="Arial"/>
                <w:szCs w:val="24"/>
              </w:rPr>
            </w:pPr>
          </w:p>
          <w:p w14:paraId="5BDAB173" w14:textId="6282025F" w:rsidR="00640E94" w:rsidRPr="001F1905" w:rsidRDefault="001F1905">
            <w:pPr>
              <w:pStyle w:val="BodyText"/>
              <w:spacing w:before="0"/>
              <w:rPr>
                <w:rFonts w:ascii="Arial" w:hAnsi="Arial" w:cs="Arial"/>
                <w:b/>
                <w:bCs/>
                <w:szCs w:val="24"/>
              </w:rPr>
            </w:pPr>
            <w:r w:rsidRPr="001F1905">
              <w:rPr>
                <w:rFonts w:ascii="Arial" w:hAnsi="Arial" w:cs="Arial"/>
                <w:b/>
                <w:bCs/>
                <w:szCs w:val="24"/>
              </w:rPr>
              <w:t>Alexander McAulay</w:t>
            </w:r>
          </w:p>
        </w:tc>
        <w:tc>
          <w:tcPr>
            <w:tcW w:w="1800" w:type="dxa"/>
            <w:tcBorders>
              <w:top w:val="single" w:sz="18" w:space="0" w:color="auto"/>
              <w:left w:val="single" w:sz="18" w:space="0" w:color="auto"/>
              <w:bottom w:val="single" w:sz="18" w:space="0" w:color="auto"/>
              <w:right w:val="single" w:sz="18" w:space="0" w:color="auto"/>
            </w:tcBorders>
          </w:tcPr>
          <w:p w14:paraId="4F88A800" w14:textId="77777777" w:rsidR="00640E94" w:rsidRDefault="00640E94">
            <w:pPr>
              <w:pStyle w:val="BodyText"/>
              <w:spacing w:before="0"/>
              <w:rPr>
                <w:rFonts w:ascii="Arial" w:hAnsi="Arial" w:cs="Arial"/>
                <w:szCs w:val="24"/>
              </w:rPr>
            </w:pPr>
            <w:r w:rsidRPr="00691211">
              <w:rPr>
                <w:rFonts w:ascii="Arial" w:hAnsi="Arial" w:cs="Arial"/>
                <w:szCs w:val="24"/>
              </w:rPr>
              <w:t>Contact Position</w:t>
            </w:r>
          </w:p>
          <w:p w14:paraId="54524240" w14:textId="77777777" w:rsidR="001F1905" w:rsidRDefault="001F1905">
            <w:pPr>
              <w:pStyle w:val="BodyText"/>
              <w:spacing w:before="0"/>
              <w:rPr>
                <w:rFonts w:ascii="Arial" w:hAnsi="Arial" w:cs="Arial"/>
                <w:szCs w:val="24"/>
              </w:rPr>
            </w:pPr>
          </w:p>
          <w:p w14:paraId="6FD66D54" w14:textId="753DE4DE" w:rsidR="001F1905" w:rsidRPr="001F1905" w:rsidRDefault="001F1905">
            <w:pPr>
              <w:pStyle w:val="BodyText"/>
              <w:spacing w:before="0"/>
              <w:rPr>
                <w:rFonts w:ascii="Arial" w:hAnsi="Arial" w:cs="Arial"/>
                <w:b/>
                <w:bCs/>
                <w:szCs w:val="24"/>
              </w:rPr>
            </w:pPr>
            <w:r w:rsidRPr="001F1905">
              <w:rPr>
                <w:rFonts w:ascii="Arial" w:hAnsi="Arial" w:cs="Arial"/>
                <w:b/>
                <w:bCs/>
                <w:szCs w:val="24"/>
              </w:rPr>
              <w:t>CFO</w:t>
            </w:r>
          </w:p>
        </w:tc>
        <w:tc>
          <w:tcPr>
            <w:tcW w:w="2898" w:type="dxa"/>
            <w:tcBorders>
              <w:top w:val="single" w:sz="18" w:space="0" w:color="auto"/>
              <w:left w:val="single" w:sz="18" w:space="0" w:color="auto"/>
              <w:bottom w:val="single" w:sz="18" w:space="0" w:color="auto"/>
            </w:tcBorders>
          </w:tcPr>
          <w:p w14:paraId="07037E44" w14:textId="77777777" w:rsidR="00640E94" w:rsidRDefault="00640E94">
            <w:pPr>
              <w:pStyle w:val="BodyText"/>
              <w:spacing w:before="0"/>
              <w:rPr>
                <w:rFonts w:ascii="Arial" w:hAnsi="Arial" w:cs="Arial"/>
                <w:szCs w:val="24"/>
              </w:rPr>
            </w:pPr>
            <w:r w:rsidRPr="00691211">
              <w:rPr>
                <w:rFonts w:ascii="Arial" w:hAnsi="Arial" w:cs="Arial"/>
                <w:szCs w:val="24"/>
              </w:rPr>
              <w:t>Contact Telephone No.</w:t>
            </w:r>
          </w:p>
          <w:p w14:paraId="6FFD9882" w14:textId="77777777" w:rsidR="001F1905" w:rsidRDefault="001F1905">
            <w:pPr>
              <w:pStyle w:val="BodyText"/>
              <w:spacing w:before="0"/>
              <w:rPr>
                <w:rFonts w:ascii="Arial" w:hAnsi="Arial" w:cs="Arial"/>
                <w:szCs w:val="24"/>
              </w:rPr>
            </w:pPr>
          </w:p>
          <w:p w14:paraId="580D2E4B" w14:textId="77777777" w:rsidR="001F1905" w:rsidRDefault="001F1905">
            <w:pPr>
              <w:pStyle w:val="BodyText"/>
              <w:spacing w:before="0"/>
              <w:rPr>
                <w:rFonts w:ascii="Arial" w:hAnsi="Arial" w:cs="Arial"/>
                <w:szCs w:val="24"/>
              </w:rPr>
            </w:pPr>
          </w:p>
          <w:p w14:paraId="102D2694" w14:textId="0CB5E8F6" w:rsidR="001F1905" w:rsidRPr="00691211" w:rsidRDefault="001F1905">
            <w:pPr>
              <w:pStyle w:val="BodyText"/>
              <w:spacing w:before="0"/>
              <w:rPr>
                <w:rFonts w:ascii="Arial" w:hAnsi="Arial" w:cs="Arial"/>
                <w:szCs w:val="24"/>
              </w:rPr>
            </w:pPr>
            <w:r w:rsidRPr="001F1905">
              <w:rPr>
                <w:rFonts w:ascii="Arial" w:hAnsi="Arial" w:cs="Arial"/>
                <w:b/>
                <w:bCs/>
                <w:szCs w:val="24"/>
              </w:rPr>
              <w:t>604 365-0425</w:t>
            </w:r>
          </w:p>
        </w:tc>
      </w:tr>
      <w:tr w:rsidR="00640E94" w:rsidRPr="00691211" w14:paraId="021CE15B" w14:textId="77777777">
        <w:trPr>
          <w:cantSplit/>
        </w:trPr>
        <w:tc>
          <w:tcPr>
            <w:tcW w:w="4878" w:type="dxa"/>
            <w:tcBorders>
              <w:top w:val="single" w:sz="18" w:space="0" w:color="auto"/>
              <w:bottom w:val="single" w:sz="18" w:space="0" w:color="auto"/>
              <w:right w:val="single" w:sz="18" w:space="0" w:color="auto"/>
            </w:tcBorders>
          </w:tcPr>
          <w:p w14:paraId="0A46458E" w14:textId="77777777" w:rsidR="00640E94" w:rsidRPr="00691211" w:rsidRDefault="00640E94">
            <w:pPr>
              <w:pStyle w:val="BodyText"/>
              <w:spacing w:before="0"/>
              <w:rPr>
                <w:rFonts w:ascii="Arial" w:hAnsi="Arial" w:cs="Arial"/>
                <w:szCs w:val="24"/>
              </w:rPr>
            </w:pPr>
            <w:r w:rsidRPr="00691211">
              <w:rPr>
                <w:rFonts w:ascii="Arial" w:hAnsi="Arial" w:cs="Arial"/>
                <w:szCs w:val="24"/>
              </w:rPr>
              <w:t>Contact Email Address</w:t>
            </w:r>
          </w:p>
          <w:p w14:paraId="44E71B59" w14:textId="0E3F6F5D" w:rsidR="00640E94" w:rsidRPr="00691211" w:rsidRDefault="001F1905">
            <w:pPr>
              <w:pStyle w:val="BodyText"/>
              <w:spacing w:before="0"/>
              <w:rPr>
                <w:rFonts w:ascii="Arial" w:hAnsi="Arial" w:cs="Arial"/>
                <w:szCs w:val="24"/>
              </w:rPr>
            </w:pPr>
            <w:hyperlink r:id="rId9" w:history="1">
              <w:r w:rsidRPr="008903FA">
                <w:rPr>
                  <w:rStyle w:val="Hyperlink"/>
                  <w:rFonts w:ascii="Arial" w:hAnsi="Arial" w:cs="Arial"/>
                  <w:szCs w:val="24"/>
                </w:rPr>
                <w:t>alex@acmfirm.ca</w:t>
              </w:r>
            </w:hyperlink>
            <w:r>
              <w:rPr>
                <w:rFonts w:ascii="Arial" w:hAnsi="Arial" w:cs="Arial"/>
                <w:szCs w:val="24"/>
              </w:rPr>
              <w:t xml:space="preserve"> </w:t>
            </w:r>
          </w:p>
        </w:tc>
        <w:tc>
          <w:tcPr>
            <w:tcW w:w="4698" w:type="dxa"/>
            <w:gridSpan w:val="2"/>
            <w:tcBorders>
              <w:top w:val="single" w:sz="18" w:space="0" w:color="auto"/>
              <w:left w:val="single" w:sz="18" w:space="0" w:color="auto"/>
              <w:bottom w:val="single" w:sz="18" w:space="0" w:color="auto"/>
            </w:tcBorders>
          </w:tcPr>
          <w:p w14:paraId="7110F919" w14:textId="77777777" w:rsidR="00640E94" w:rsidRPr="00691211" w:rsidRDefault="00640E94">
            <w:pPr>
              <w:pStyle w:val="BodyText"/>
              <w:spacing w:before="0"/>
              <w:rPr>
                <w:rFonts w:ascii="Arial" w:hAnsi="Arial" w:cs="Arial"/>
                <w:szCs w:val="24"/>
              </w:rPr>
            </w:pPr>
            <w:r w:rsidRPr="00691211">
              <w:rPr>
                <w:rFonts w:ascii="Arial" w:hAnsi="Arial" w:cs="Arial"/>
                <w:szCs w:val="24"/>
              </w:rPr>
              <w:t>Web Site Address</w:t>
            </w:r>
          </w:p>
          <w:p w14:paraId="33313722" w14:textId="7B55E8E2" w:rsidR="00640E94" w:rsidRPr="00691211" w:rsidRDefault="001F1905">
            <w:pPr>
              <w:pStyle w:val="BodyText"/>
              <w:spacing w:before="0"/>
              <w:rPr>
                <w:rFonts w:ascii="Arial" w:hAnsi="Arial" w:cs="Arial"/>
                <w:szCs w:val="24"/>
              </w:rPr>
            </w:pPr>
            <w:hyperlink r:id="rId10" w:history="1">
              <w:r w:rsidRPr="008903FA">
                <w:rPr>
                  <w:rStyle w:val="Hyperlink"/>
                  <w:rFonts w:ascii="Arial" w:hAnsi="Arial" w:cs="Arial"/>
                  <w:szCs w:val="24"/>
                </w:rPr>
                <w:t>https://readysetgoldcorp.com/</w:t>
              </w:r>
            </w:hyperlink>
            <w:r>
              <w:rPr>
                <w:rFonts w:ascii="Arial" w:hAnsi="Arial" w:cs="Arial"/>
                <w:szCs w:val="24"/>
              </w:rPr>
              <w:t xml:space="preserve"> </w:t>
            </w:r>
          </w:p>
        </w:tc>
      </w:tr>
    </w:tbl>
    <w:p w14:paraId="28FE16E8" w14:textId="77777777" w:rsidR="00640E94" w:rsidRPr="00691211" w:rsidRDefault="00640E94" w:rsidP="00922A46">
      <w:pPr>
        <w:pStyle w:val="BodyText"/>
        <w:rPr>
          <w:rFonts w:ascii="Arial" w:hAnsi="Arial" w:cs="Arial"/>
          <w:szCs w:val="24"/>
        </w:rPr>
      </w:pPr>
    </w:p>
    <w:sectPr w:rsidR="00640E94" w:rsidRPr="00691211"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D3384" w14:textId="77777777" w:rsidR="00E726E0" w:rsidRDefault="00E726E0">
      <w:r>
        <w:separator/>
      </w:r>
    </w:p>
  </w:endnote>
  <w:endnote w:type="continuationSeparator" w:id="0">
    <w:p w14:paraId="32C23DB7" w14:textId="77777777" w:rsidR="00E726E0" w:rsidRDefault="00E7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E464" w14:textId="77777777" w:rsidR="00640E94" w:rsidRDefault="00640E94">
    <w:pPr>
      <w:pStyle w:val="Footer"/>
      <w:tabs>
        <w:tab w:val="clear" w:pos="4320"/>
        <w:tab w:val="clear" w:pos="8640"/>
        <w:tab w:val="center" w:pos="4680"/>
        <w:tab w:val="right" w:pos="9360"/>
      </w:tabs>
      <w:rPr>
        <w:b/>
      </w:rPr>
    </w:pPr>
  </w:p>
  <w:p w14:paraId="44FCBE0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38FCA41" wp14:editId="4E4F069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2AA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F12C30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084A8"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79A9" w14:textId="77777777" w:rsidR="00640E94" w:rsidRDefault="00640E94">
    <w:pPr>
      <w:pStyle w:val="Footer"/>
      <w:tabs>
        <w:tab w:val="clear" w:pos="4320"/>
        <w:tab w:val="clear" w:pos="8640"/>
        <w:tab w:val="center" w:pos="4680"/>
        <w:tab w:val="right" w:pos="9360"/>
      </w:tabs>
      <w:rPr>
        <w:b/>
      </w:rPr>
    </w:pPr>
  </w:p>
  <w:p w14:paraId="4E5534E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8BBB22E" wp14:editId="63AF6FD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BB7C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5DAE94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A33B8C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61D06" w14:textId="77777777" w:rsidR="00E726E0" w:rsidRDefault="00E726E0">
      <w:r>
        <w:separator/>
      </w:r>
    </w:p>
  </w:footnote>
  <w:footnote w:type="continuationSeparator" w:id="0">
    <w:p w14:paraId="28173EE5" w14:textId="77777777" w:rsidR="00E726E0" w:rsidRDefault="00E7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875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2A923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235F"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816"/>
    <w:rsid w:val="000A1AB1"/>
    <w:rsid w:val="00162F3D"/>
    <w:rsid w:val="001F1905"/>
    <w:rsid w:val="00267E25"/>
    <w:rsid w:val="002C281E"/>
    <w:rsid w:val="002F00EB"/>
    <w:rsid w:val="003669A9"/>
    <w:rsid w:val="00371A64"/>
    <w:rsid w:val="00387FA8"/>
    <w:rsid w:val="003F2BD8"/>
    <w:rsid w:val="004467A5"/>
    <w:rsid w:val="005453C8"/>
    <w:rsid w:val="005F6D8F"/>
    <w:rsid w:val="00620E7F"/>
    <w:rsid w:val="006212AF"/>
    <w:rsid w:val="00633ED3"/>
    <w:rsid w:val="00635E9A"/>
    <w:rsid w:val="00640E94"/>
    <w:rsid w:val="00682CCD"/>
    <w:rsid w:val="00691211"/>
    <w:rsid w:val="006D1A06"/>
    <w:rsid w:val="008B7E92"/>
    <w:rsid w:val="009206DC"/>
    <w:rsid w:val="00922A46"/>
    <w:rsid w:val="00A47914"/>
    <w:rsid w:val="00AD1B38"/>
    <w:rsid w:val="00C27A18"/>
    <w:rsid w:val="00C538F5"/>
    <w:rsid w:val="00C6383E"/>
    <w:rsid w:val="00E36141"/>
    <w:rsid w:val="00E726E0"/>
    <w:rsid w:val="00E83E58"/>
    <w:rsid w:val="00E853E0"/>
    <w:rsid w:val="00F47A96"/>
    <w:rsid w:val="00FB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EDBFA"/>
  <w15:docId w15:val="{7D9DDB5A-5F41-4E2F-83FF-6CD69CE7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1F1905"/>
    <w:rPr>
      <w:color w:val="0000FF" w:themeColor="hyperlink"/>
      <w:u w:val="single"/>
    </w:rPr>
  </w:style>
  <w:style w:type="character" w:styleId="UnresolvedMention">
    <w:name w:val="Unresolved Mention"/>
    <w:basedOn w:val="DefaultParagraphFont"/>
    <w:uiPriority w:val="99"/>
    <w:semiHidden/>
    <w:unhideWhenUsed/>
    <w:rsid w:val="001F1905"/>
    <w:rPr>
      <w:color w:val="605E5C"/>
      <w:shd w:val="clear" w:color="auto" w:fill="E1DFDD"/>
    </w:rPr>
  </w:style>
  <w:style w:type="character" w:styleId="Strong">
    <w:name w:val="Strong"/>
    <w:basedOn w:val="DefaultParagraphFont"/>
    <w:uiPriority w:val="22"/>
    <w:qFormat/>
    <w:rsid w:val="001F1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3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adysetgoldcorp.com/" TargetMode="External"/><Relationship Id="rId4" Type="http://schemas.openxmlformats.org/officeDocument/2006/relationships/settings" Target="settings.xml"/><Relationship Id="rId9" Type="http://schemas.openxmlformats.org/officeDocument/2006/relationships/hyperlink" Target="mailto:alex@acmfirm.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1C65-36D5-438A-9516-0A64E074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Jamey Gilchrist</cp:lastModifiedBy>
  <cp:revision>3</cp:revision>
  <cp:lastPrinted>2004-05-10T18:28:00Z</cp:lastPrinted>
  <dcterms:created xsi:type="dcterms:W3CDTF">2021-02-08T22:19:00Z</dcterms:created>
  <dcterms:modified xsi:type="dcterms:W3CDTF">2021-02-08T22:38:00Z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