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6309c0c1"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5E5" w14:textId="77777777" w:rsidR="00A8034F" w:rsidRPr="0074547A" w:rsidRDefault="008B37D7">
      <w:pPr>
        <w:spacing w:line="288" w:lineRule="auto"/>
        <w:jc w:val="center"/>
        <w:rPr>
          <w:rFonts w:ascii="Arial" w:eastAsia="Arial" w:hAnsi="Arial" w:cs="Arial"/>
          <w:b/>
        </w:rPr>
      </w:pPr>
      <w:r w:rsidRPr="0074547A">
        <w:rPr>
          <w:rFonts w:ascii="Arial" w:eastAsia="Arial" w:hAnsi="Arial" w:cs="Arial"/>
          <w:b/>
        </w:rPr>
        <w:t>FORM 7</w:t>
      </w:r>
      <w:r w:rsidRPr="0074547A">
        <w:rPr>
          <w:rFonts w:ascii="Arial" w:hAnsi="Arial" w:cs="Arial"/>
        </w:rPr>
        <w:t xml:space="preserve">  </w:t>
      </w:r>
      <w:r w:rsidRPr="0074547A">
        <w:rPr>
          <w:rFonts w:ascii="Arial" w:hAnsi="Arial" w:cs="Arial"/>
        </w:rPr>
        <w:br/>
        <w:t xml:space="preserve">  </w:t>
      </w:r>
      <w:r w:rsidRPr="0074547A">
        <w:rPr>
          <w:rFonts w:ascii="Arial" w:hAnsi="Arial" w:cs="Arial"/>
        </w:rPr>
        <w:br/>
      </w:r>
      <w:r w:rsidRPr="0074547A">
        <w:rPr>
          <w:rFonts w:ascii="Arial" w:eastAsia="Arial" w:hAnsi="Arial" w:cs="Arial"/>
          <w:b/>
          <w:color w:val="000000"/>
          <w:u w:val="single" w:color="000000"/>
        </w:rPr>
        <w:t>MONTHLY PROGRESS REPORT</w:t>
      </w:r>
      <w:bookmarkStart w:id="0" w:name="Form_7___Monthly_Progress_Report"/>
      <w:bookmarkEnd w:id="0"/>
    </w:p>
    <w:p w14:paraId="05FCDD47" w14:textId="77777777" w:rsidR="0074547A" w:rsidRDefault="0074547A" w:rsidP="0074547A">
      <w:pPr>
        <w:tabs>
          <w:tab w:val="left" w:pos="0"/>
        </w:tabs>
        <w:spacing w:before="240"/>
        <w:contextualSpacing/>
        <w:rPr>
          <w:rFonts w:ascii="Arial" w:eastAsia="Arial" w:hAnsi="Arial" w:cs="Arial"/>
        </w:rPr>
      </w:pPr>
    </w:p>
    <w:p w14:paraId="550BF1D8" w14:textId="1078D129" w:rsidR="00BF508D" w:rsidRDefault="008B37D7" w:rsidP="0074547A">
      <w:pPr>
        <w:tabs>
          <w:tab w:val="left" w:pos="0"/>
        </w:tabs>
        <w:spacing w:before="240"/>
        <w:contextualSpacing/>
        <w:rPr>
          <w:rFonts w:ascii="Arial" w:eastAsia="Arial" w:hAnsi="Arial" w:cs="Arial"/>
        </w:rPr>
      </w:pPr>
      <w:r w:rsidRPr="0074547A">
        <w:rPr>
          <w:rFonts w:ascii="Arial" w:eastAsia="Arial" w:hAnsi="Arial" w:cs="Arial"/>
        </w:rPr>
        <w:t>Name of Listed Issuer: Acreage Holdings, Inc. (the “Issuer”).</w:t>
      </w:r>
    </w:p>
    <w:p w14:paraId="16324677" w14:textId="77777777" w:rsidR="0074547A" w:rsidRPr="0074547A" w:rsidRDefault="0074547A" w:rsidP="0074547A">
      <w:pPr>
        <w:tabs>
          <w:tab w:val="left" w:pos="0"/>
        </w:tabs>
        <w:spacing w:before="240"/>
        <w:contextualSpacing/>
        <w:rPr>
          <w:rFonts w:ascii="Arial" w:eastAsia="Arial" w:hAnsi="Arial" w:cs="Arial"/>
        </w:rPr>
      </w:pPr>
    </w:p>
    <w:p w14:paraId="53227AAD" w14:textId="77777777" w:rsidR="00BF508D"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Trading Symbol: ACRG.A.U (Fixed Subordinate Voting Shares) and ACRG.B.U</w:t>
      </w:r>
    </w:p>
    <w:p w14:paraId="28C7F4D9" w14:textId="4649DDCF" w:rsidR="00A8034F"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(Floating Subordinate Voting Shares)</w:t>
      </w:r>
    </w:p>
    <w:p w14:paraId="1ACF2F16" w14:textId="194E0D27" w:rsidR="00BF508D" w:rsidRPr="0074547A" w:rsidRDefault="00BF508D" w:rsidP="0074547A">
      <w:pPr>
        <w:tabs>
          <w:tab w:val="left" w:pos="7920"/>
          <w:tab w:val="left" w:pos="9180"/>
        </w:tabs>
        <w:spacing w:before="240"/>
        <w:contextualSpacing/>
        <w:rPr>
          <w:rFonts w:ascii="Arial" w:eastAsia="Arial" w:hAnsi="Arial" w:cs="Arial"/>
        </w:rPr>
      </w:pPr>
    </w:p>
    <w:p w14:paraId="0BBF1234" w14:textId="57C7655D" w:rsidR="00D64A9D"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Number of Outstanding Listed Securities:</w:t>
      </w:r>
    </w:p>
    <w:p w14:paraId="17888D82" w14:textId="77777777" w:rsidR="00576960" w:rsidRPr="00576960" w:rsidRDefault="00576960" w:rsidP="0074547A">
      <w:pPr>
        <w:tabs>
          <w:tab w:val="left" w:pos="7920"/>
          <w:tab w:val="left" w:pos="9180"/>
        </w:tabs>
        <w:spacing w:before="240"/>
        <w:contextualSpacing/>
        <w:rPr>
          <w:rFonts w:ascii="Arial" w:eastAsia="Arial" w:hAnsi="Arial" w:cs="Arial"/>
        </w:rPr>
      </w:pPr>
    </w:p>
    <w:tbl>
      <w:tblPr>
        <w:tblStyle w:val="TableGrid"/>
        <w:tblW w:w="0" w:type="auto"/>
        <w:tblLook w:val="04A0" w:firstRow="1" w:lastRow="0" w:firstColumn="1" w:lastColumn="0" w:noHBand="0" w:noVBand="1"/>
      </w:tblPr>
      <w:tblGrid>
        <w:gridCol w:w="5485"/>
        <w:gridCol w:w="3060"/>
      </w:tblGrid>
      <w:tr w:rsidR="00BF508D" w:rsidRPr="00F42A28" w14:paraId="2FC182D5" w14:textId="77777777" w:rsidTr="00BF508D">
        <w:tc>
          <w:tcPr>
            <w:tcW w:w="5485" w:type="dxa"/>
          </w:tcPr>
          <w:p w14:paraId="3E4A50DA" w14:textId="14B75066" w:rsidR="00BF508D" w:rsidRPr="00F42A28" w:rsidRDefault="00BF508D" w:rsidP="00BF508D">
            <w:pPr>
              <w:tabs>
                <w:tab w:val="left" w:pos="7920"/>
                <w:tab w:val="left" w:pos="9180"/>
              </w:tabs>
              <w:spacing w:before="240" w:line="288" w:lineRule="auto"/>
              <w:jc w:val="center"/>
              <w:rPr>
                <w:rFonts w:ascii="Arial" w:eastAsia="Arial" w:hAnsi="Arial" w:cs="Arial"/>
                <w:b/>
                <w:bCs/>
              </w:rPr>
            </w:pPr>
            <w:r w:rsidRPr="00F42A28">
              <w:rPr>
                <w:rFonts w:ascii="Arial" w:eastAsia="Arial" w:hAnsi="Arial" w:cs="Arial"/>
                <w:b/>
                <w:bCs/>
              </w:rPr>
              <w:t>Share Class</w:t>
            </w:r>
          </w:p>
        </w:tc>
        <w:tc>
          <w:tcPr>
            <w:tcW w:w="3060" w:type="dxa"/>
          </w:tcPr>
          <w:p w14:paraId="440C87C6" w14:textId="22CFE8EB" w:rsidR="00BF508D" w:rsidRPr="00F42A28" w:rsidRDefault="00BF508D" w:rsidP="00BF508D">
            <w:pPr>
              <w:tabs>
                <w:tab w:val="left" w:pos="7920"/>
                <w:tab w:val="left" w:pos="9180"/>
              </w:tabs>
              <w:spacing w:before="240" w:line="288" w:lineRule="auto"/>
              <w:jc w:val="center"/>
              <w:rPr>
                <w:rFonts w:ascii="Arial" w:eastAsia="Arial" w:hAnsi="Arial" w:cs="Arial"/>
                <w:b/>
                <w:bCs/>
              </w:rPr>
            </w:pPr>
            <w:r w:rsidRPr="00F42A28">
              <w:rPr>
                <w:rFonts w:ascii="Arial" w:eastAsia="Arial" w:hAnsi="Arial" w:cs="Arial"/>
                <w:b/>
                <w:bCs/>
              </w:rPr>
              <w:t>Number of Outstanding Shares</w:t>
            </w:r>
          </w:p>
        </w:tc>
      </w:tr>
      <w:tr w:rsidR="00BF508D" w:rsidRPr="00F42A28" w14:paraId="26FBB1BC" w14:textId="77777777" w:rsidTr="00BF508D">
        <w:tc>
          <w:tcPr>
            <w:tcW w:w="5485" w:type="dxa"/>
          </w:tcPr>
          <w:p w14:paraId="2DC4FF4B" w14:textId="47C3E629" w:rsidR="00BF508D" w:rsidRPr="00F42A28" w:rsidRDefault="00BF508D">
            <w:pPr>
              <w:tabs>
                <w:tab w:val="left" w:pos="7920"/>
                <w:tab w:val="left" w:pos="9180"/>
              </w:tabs>
              <w:spacing w:before="240" w:line="288" w:lineRule="auto"/>
              <w:rPr>
                <w:rFonts w:ascii="Arial" w:eastAsia="Arial" w:hAnsi="Arial" w:cs="Arial"/>
              </w:rPr>
            </w:pPr>
            <w:r w:rsidRPr="00F42A28">
              <w:rPr>
                <w:rFonts w:ascii="Arial" w:eastAsia="Arial" w:hAnsi="Arial" w:cs="Arial"/>
              </w:rPr>
              <w:t>Class D Subordinate Voting Shares (“Floating”)</w:t>
            </w:r>
          </w:p>
        </w:tc>
        <w:tc>
          <w:tcPr>
            <w:tcW w:w="3060" w:type="dxa"/>
          </w:tcPr>
          <w:p w14:paraId="7982B8E2" w14:textId="705FBFD4" w:rsidR="00BF508D" w:rsidRPr="00DD4274" w:rsidRDefault="00F04F8C">
            <w:pPr>
              <w:tabs>
                <w:tab w:val="left" w:pos="7920"/>
                <w:tab w:val="left" w:pos="9180"/>
              </w:tabs>
              <w:spacing w:before="240" w:line="288" w:lineRule="auto"/>
              <w:rPr>
                <w:rFonts w:ascii="Arial" w:eastAsia="Arial" w:hAnsi="Arial" w:cs="Arial"/>
              </w:rPr>
            </w:pPr>
            <w:r w:rsidRPr="00DD4274">
              <w:rPr>
                <w:rFonts w:ascii="Arial" w:hAnsi="Arial" w:cs="Arial"/>
              </w:rPr>
              <w:t>32,665,168</w:t>
            </w:r>
          </w:p>
        </w:tc>
      </w:tr>
      <w:tr w:rsidR="00BF508D" w:rsidRPr="00F42A28" w14:paraId="3D2C7289" w14:textId="77777777" w:rsidTr="00BF508D">
        <w:tc>
          <w:tcPr>
            <w:tcW w:w="5485" w:type="dxa"/>
          </w:tcPr>
          <w:p w14:paraId="20DE480C" w14:textId="37F76ADD" w:rsidR="00BF508D" w:rsidRPr="00F42A28" w:rsidRDefault="00BF508D">
            <w:pPr>
              <w:tabs>
                <w:tab w:val="left" w:pos="7920"/>
                <w:tab w:val="left" w:pos="9180"/>
              </w:tabs>
              <w:spacing w:before="240" w:line="288" w:lineRule="auto"/>
              <w:rPr>
                <w:rFonts w:ascii="Arial" w:eastAsia="Arial" w:hAnsi="Arial" w:cs="Arial"/>
              </w:rPr>
            </w:pPr>
            <w:r w:rsidRPr="00F42A28">
              <w:rPr>
                <w:rFonts w:ascii="Arial" w:eastAsia="Arial" w:hAnsi="Arial" w:cs="Arial"/>
              </w:rPr>
              <w:t>Class E Subordinate Voting Shares (“Fixed”)</w:t>
            </w:r>
          </w:p>
        </w:tc>
        <w:tc>
          <w:tcPr>
            <w:tcW w:w="3060" w:type="dxa"/>
          </w:tcPr>
          <w:p w14:paraId="0A7ECA88" w14:textId="12E484C2" w:rsidR="00BF508D" w:rsidRPr="00DD4274" w:rsidRDefault="00F04F8C">
            <w:pPr>
              <w:tabs>
                <w:tab w:val="left" w:pos="7920"/>
                <w:tab w:val="left" w:pos="9180"/>
              </w:tabs>
              <w:spacing w:before="240" w:line="288" w:lineRule="auto"/>
              <w:rPr>
                <w:rFonts w:ascii="Arial" w:eastAsia="Arial" w:hAnsi="Arial" w:cs="Arial"/>
              </w:rPr>
            </w:pPr>
            <w:r w:rsidRPr="00DD4274">
              <w:rPr>
                <w:rFonts w:ascii="Arial" w:hAnsi="Arial" w:cs="Arial"/>
              </w:rPr>
              <w:t>74,4</w:t>
            </w:r>
            <w:r w:rsidR="00DD4274" w:rsidRPr="00DD4274">
              <w:rPr>
                <w:rFonts w:ascii="Arial" w:hAnsi="Arial" w:cs="Arial"/>
              </w:rPr>
              <w:t>61</w:t>
            </w:r>
            <w:r w:rsidRPr="00DD4274">
              <w:rPr>
                <w:rFonts w:ascii="Arial" w:hAnsi="Arial" w:cs="Arial"/>
              </w:rPr>
              <w:t>,</w:t>
            </w:r>
            <w:r w:rsidR="00DD4274" w:rsidRPr="00DD4274">
              <w:rPr>
                <w:rFonts w:ascii="Arial" w:hAnsi="Arial" w:cs="Arial"/>
              </w:rPr>
              <w:t>999</w:t>
            </w:r>
          </w:p>
        </w:tc>
      </w:tr>
      <w:tr w:rsidR="00BF508D" w:rsidRPr="00F42A28" w14:paraId="19E7F255" w14:textId="77777777" w:rsidTr="00BF508D">
        <w:tc>
          <w:tcPr>
            <w:tcW w:w="5485" w:type="dxa"/>
          </w:tcPr>
          <w:p w14:paraId="6D32D546" w14:textId="3A0A828B" w:rsidR="00BF508D" w:rsidRPr="00F42A28" w:rsidRDefault="00BF508D">
            <w:pPr>
              <w:tabs>
                <w:tab w:val="left" w:pos="7920"/>
                <w:tab w:val="left" w:pos="9180"/>
              </w:tabs>
              <w:spacing w:before="240" w:line="288" w:lineRule="auto"/>
              <w:rPr>
                <w:rFonts w:ascii="Arial" w:eastAsia="Arial" w:hAnsi="Arial" w:cs="Arial"/>
              </w:rPr>
            </w:pPr>
            <w:r w:rsidRPr="00F42A28">
              <w:rPr>
                <w:rFonts w:ascii="Arial" w:eastAsia="Arial" w:hAnsi="Arial" w:cs="Arial"/>
              </w:rPr>
              <w:t>Class F Multiple Voting Shares (“Fixed Multiple”)</w:t>
            </w:r>
          </w:p>
        </w:tc>
        <w:tc>
          <w:tcPr>
            <w:tcW w:w="3060" w:type="dxa"/>
          </w:tcPr>
          <w:p w14:paraId="522CC0A9" w14:textId="61D523E2" w:rsidR="00BF508D" w:rsidRPr="00DD4274" w:rsidRDefault="00F04F8C">
            <w:pPr>
              <w:tabs>
                <w:tab w:val="left" w:pos="7920"/>
                <w:tab w:val="left" w:pos="9180"/>
              </w:tabs>
              <w:spacing w:before="240" w:line="288" w:lineRule="auto"/>
              <w:rPr>
                <w:rFonts w:ascii="Arial" w:eastAsia="Arial" w:hAnsi="Arial" w:cs="Arial"/>
              </w:rPr>
            </w:pPr>
            <w:r w:rsidRPr="00DD4274">
              <w:rPr>
                <w:rFonts w:ascii="Arial" w:hAnsi="Arial" w:cs="Arial"/>
              </w:rPr>
              <w:t>117,600</w:t>
            </w:r>
          </w:p>
        </w:tc>
      </w:tr>
    </w:tbl>
    <w:p w14:paraId="64095110" w14:textId="4B1AC664" w:rsidR="00A8034F" w:rsidRPr="0074547A" w:rsidRDefault="008B37D7">
      <w:pPr>
        <w:tabs>
          <w:tab w:val="left" w:pos="7920"/>
          <w:tab w:val="left" w:pos="9180"/>
        </w:tabs>
        <w:spacing w:before="240" w:line="288" w:lineRule="auto"/>
        <w:rPr>
          <w:rFonts w:ascii="Arial" w:eastAsia="Arial" w:hAnsi="Arial" w:cs="Arial"/>
        </w:rPr>
      </w:pPr>
      <w:r w:rsidRPr="0074547A">
        <w:rPr>
          <w:rFonts w:ascii="Arial" w:eastAsia="Arial" w:hAnsi="Arial" w:cs="Arial"/>
        </w:rPr>
        <w:t xml:space="preserve">Date: </w:t>
      </w:r>
      <w:r w:rsidR="00AB57FF">
        <w:rPr>
          <w:rFonts w:ascii="Arial" w:eastAsia="Arial" w:hAnsi="Arial" w:cs="Arial"/>
        </w:rPr>
        <w:t xml:space="preserve">October </w:t>
      </w:r>
      <w:r w:rsidR="00DD4274">
        <w:rPr>
          <w:rFonts w:ascii="Arial" w:eastAsia="Arial" w:hAnsi="Arial" w:cs="Arial"/>
        </w:rPr>
        <w:t>6</w:t>
      </w:r>
      <w:r w:rsidR="00576960">
        <w:rPr>
          <w:rFonts w:ascii="Arial" w:eastAsia="Arial" w:hAnsi="Arial" w:cs="Arial"/>
        </w:rPr>
        <w:t>,</w:t>
      </w:r>
      <w:r w:rsidR="00D64A9D">
        <w:rPr>
          <w:rFonts w:ascii="Arial" w:eastAsia="Arial" w:hAnsi="Arial" w:cs="Arial"/>
        </w:rPr>
        <w:t xml:space="preserve"> </w:t>
      </w:r>
      <w:r w:rsidRPr="0074547A">
        <w:rPr>
          <w:rFonts w:ascii="Arial" w:eastAsia="Arial" w:hAnsi="Arial" w:cs="Arial"/>
        </w:rPr>
        <w:t>202</w:t>
      </w:r>
      <w:r w:rsidR="00A03276">
        <w:rPr>
          <w:rFonts w:ascii="Arial" w:eastAsia="Arial" w:hAnsi="Arial" w:cs="Arial"/>
        </w:rPr>
        <w:t>1</w:t>
      </w:r>
    </w:p>
    <w:p w14:paraId="5477C60D" w14:textId="77777777" w:rsidR="00A8034F" w:rsidRPr="0074547A" w:rsidRDefault="008B37D7">
      <w:pPr>
        <w:tabs>
          <w:tab w:val="left" w:pos="7920"/>
          <w:tab w:val="left" w:pos="9180"/>
        </w:tabs>
        <w:spacing w:before="240" w:line="288" w:lineRule="auto"/>
        <w:jc w:val="both"/>
        <w:rPr>
          <w:rFonts w:ascii="Arial" w:eastAsia="Arial" w:hAnsi="Arial" w:cs="Arial"/>
        </w:rPr>
      </w:pPr>
      <w:r w:rsidRPr="0074547A">
        <w:rPr>
          <w:rFonts w:ascii="Arial" w:eastAsia="Arial" w:hAnsi="Arial" w:cs="Arial"/>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11F5C880" w14:textId="77777777" w:rsidR="00A8034F" w:rsidRPr="0074547A" w:rsidRDefault="008B37D7">
      <w:pPr>
        <w:tabs>
          <w:tab w:val="left" w:pos="7920"/>
          <w:tab w:val="left" w:pos="9180"/>
        </w:tabs>
        <w:spacing w:before="120" w:line="288" w:lineRule="auto"/>
        <w:jc w:val="both"/>
        <w:rPr>
          <w:rFonts w:ascii="Arial" w:eastAsia="Arial" w:hAnsi="Arial" w:cs="Arial"/>
        </w:rPr>
      </w:pPr>
      <w:r w:rsidRPr="0074547A">
        <w:rPr>
          <w:rFonts w:ascii="Arial" w:eastAsia="Arial" w:hAnsi="Arial" w:cs="Arial"/>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D199FEF" w14:textId="77777777" w:rsidR="00A8034F" w:rsidRPr="0074547A" w:rsidRDefault="008B37D7">
      <w:pPr>
        <w:tabs>
          <w:tab w:val="left" w:pos="7920"/>
          <w:tab w:val="left" w:pos="9180"/>
        </w:tabs>
        <w:spacing w:before="240" w:after="240" w:line="288" w:lineRule="auto"/>
        <w:rPr>
          <w:rFonts w:ascii="Arial" w:eastAsia="Arial" w:hAnsi="Arial" w:cs="Arial"/>
          <w:b/>
        </w:rPr>
      </w:pPr>
      <w:r w:rsidRPr="0074547A">
        <w:rPr>
          <w:rFonts w:ascii="Arial" w:eastAsia="Arial" w:hAnsi="Arial" w:cs="Arial"/>
          <w:b/>
        </w:rPr>
        <w:t>General Instructions</w:t>
      </w:r>
    </w:p>
    <w:p w14:paraId="7B194799" w14:textId="77777777" w:rsidR="00A8034F" w:rsidRPr="0074547A" w:rsidRDefault="008B37D7">
      <w:pPr>
        <w:numPr>
          <w:ilvl w:val="0"/>
          <w:numId w:val="1"/>
        </w:numPr>
        <w:tabs>
          <w:tab w:val="left" w:pos="720"/>
          <w:tab w:val="left" w:pos="1440"/>
          <w:tab w:val="left" w:pos="7920"/>
          <w:tab w:val="left" w:pos="9180"/>
        </w:tabs>
        <w:spacing w:line="288" w:lineRule="auto"/>
        <w:ind w:left="720"/>
        <w:jc w:val="both"/>
        <w:rPr>
          <w:rFonts w:ascii="Arial" w:eastAsia="Arial" w:hAnsi="Arial" w:cs="Arial"/>
        </w:rPr>
      </w:pPr>
      <w:r w:rsidRPr="0074547A">
        <w:rPr>
          <w:rFonts w:ascii="Arial" w:eastAsia="Arial" w:hAnsi="Arial" w:cs="Arial"/>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DCA621" w14:textId="77777777" w:rsidR="00A8034F" w:rsidRPr="0074547A" w:rsidRDefault="008B37D7">
      <w:pPr>
        <w:numPr>
          <w:ilvl w:val="0"/>
          <w:numId w:val="1"/>
        </w:numPr>
        <w:tabs>
          <w:tab w:val="left" w:pos="720"/>
          <w:tab w:val="left" w:pos="1440"/>
          <w:tab w:val="left" w:pos="7920"/>
          <w:tab w:val="left" w:pos="9180"/>
        </w:tabs>
        <w:spacing w:before="120" w:line="288" w:lineRule="auto"/>
        <w:ind w:left="720"/>
        <w:rPr>
          <w:rFonts w:ascii="Arial" w:eastAsia="Arial" w:hAnsi="Arial" w:cs="Arial"/>
        </w:rPr>
      </w:pPr>
      <w:r w:rsidRPr="0074547A">
        <w:rPr>
          <w:rFonts w:ascii="Arial" w:eastAsia="Arial" w:hAnsi="Arial" w:cs="Arial"/>
        </w:rPr>
        <w:t xml:space="preserve">The term “Issuer” includes the Issuer and any of its subsidiaries. </w:t>
      </w:r>
    </w:p>
    <w:p w14:paraId="12DE090C" w14:textId="77777777" w:rsidR="00A8034F" w:rsidRPr="0074547A" w:rsidRDefault="008B37D7">
      <w:pPr>
        <w:numPr>
          <w:ilvl w:val="0"/>
          <w:numId w:val="1"/>
        </w:numPr>
        <w:tabs>
          <w:tab w:val="left" w:pos="720"/>
          <w:tab w:val="left" w:pos="1440"/>
          <w:tab w:val="left" w:pos="7920"/>
          <w:tab w:val="left" w:pos="9180"/>
        </w:tabs>
        <w:spacing w:before="240" w:line="288" w:lineRule="auto"/>
        <w:ind w:left="720"/>
        <w:jc w:val="both"/>
        <w:rPr>
          <w:rFonts w:ascii="Arial" w:eastAsia="Arial" w:hAnsi="Arial" w:cs="Arial"/>
        </w:rPr>
      </w:pPr>
      <w:r w:rsidRPr="0074547A">
        <w:rPr>
          <w:rFonts w:ascii="Arial" w:eastAsia="Arial" w:hAnsi="Arial" w:cs="Arial"/>
        </w:rPr>
        <w:t>Terms used and not defined in this form are defined or interpreted in Policy 1 – Interpretation and General Provisions.</w:t>
      </w:r>
    </w:p>
    <w:p w14:paraId="6B0DC8A7" w14:textId="77777777" w:rsidR="00A8034F" w:rsidRPr="0074547A" w:rsidRDefault="008B37D7">
      <w:pPr>
        <w:keepLines/>
        <w:spacing w:before="240" w:after="240" w:line="288" w:lineRule="auto"/>
        <w:rPr>
          <w:rFonts w:ascii="Arial" w:eastAsia="Arial" w:hAnsi="Arial" w:cs="Arial"/>
          <w:b/>
        </w:rPr>
      </w:pPr>
      <w:r w:rsidRPr="0074547A">
        <w:rPr>
          <w:rFonts w:ascii="Arial" w:eastAsia="Arial" w:hAnsi="Arial" w:cs="Arial"/>
          <w:b/>
        </w:rPr>
        <w:t>Report on Business</w:t>
      </w:r>
    </w:p>
    <w:p w14:paraId="0AD7B0D2" w14:textId="77777777" w:rsidR="00A8034F" w:rsidRPr="0074547A" w:rsidRDefault="008B37D7">
      <w:pPr>
        <w:numPr>
          <w:ilvl w:val="0"/>
          <w:numId w:val="2"/>
        </w:numPr>
        <w:tabs>
          <w:tab w:val="left" w:pos="720"/>
        </w:tabs>
        <w:spacing w:line="288" w:lineRule="auto"/>
        <w:ind w:left="720"/>
        <w:jc w:val="both"/>
        <w:rPr>
          <w:rFonts w:ascii="Arial" w:eastAsia="Arial" w:hAnsi="Arial" w:cs="Arial"/>
        </w:rPr>
      </w:pPr>
      <w:r w:rsidRPr="0074547A">
        <w:rPr>
          <w:rFonts w:ascii="Arial" w:eastAsia="Arial" w:hAnsi="Arial" w:cs="Arial"/>
        </w:rPr>
        <w:t>Provide a general overview and discussion of the development of the Issuer’s business and operations over the previous month.  Where the Issuer was inactive disclose this fact.</w:t>
      </w:r>
    </w:p>
    <w:p w14:paraId="0FA72F66" w14:textId="26CE271B" w:rsidR="00A8034F" w:rsidRPr="00D64A9D" w:rsidRDefault="008B37D7">
      <w:pPr>
        <w:spacing w:before="120" w:line="288" w:lineRule="auto"/>
        <w:ind w:left="720"/>
        <w:jc w:val="both"/>
        <w:rPr>
          <w:rFonts w:ascii="Arial" w:eastAsia="Arial" w:hAnsi="Arial" w:cs="Arial"/>
          <w:b/>
          <w:bCs/>
          <w:color w:val="FF0000"/>
        </w:rPr>
      </w:pPr>
      <w:r w:rsidRPr="0074547A">
        <w:rPr>
          <w:rFonts w:ascii="Arial" w:eastAsia="Arial" w:hAnsi="Arial" w:cs="Arial"/>
        </w:rPr>
        <w:lastRenderedPageBreak/>
        <w:t>Acreage Holdings, Inc. (“Acreage” or the “Issuer”) is headquartered in New York City, New York, with a registered office at Suite 2800, Park Place, 666 Burrard Street, Vancouver, British Columbia, and is a vertically integrated, multi-state operator of cannabis licenses and assets in the U.S. Acreage is dedicated to building and scaling operations to create a seamless, consumer-focused branded cannabis experience.</w:t>
      </w:r>
      <w:r w:rsidR="00D64A9D">
        <w:rPr>
          <w:rFonts w:ascii="Arial" w:eastAsia="Arial" w:hAnsi="Arial" w:cs="Arial"/>
        </w:rPr>
        <w:t xml:space="preserve"> </w:t>
      </w:r>
    </w:p>
    <w:p w14:paraId="5C5F807C" w14:textId="77777777" w:rsidR="00D64A9D" w:rsidRDefault="008B37D7">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Provide a general overview and discussion of the activities of management.</w:t>
      </w:r>
      <w:r w:rsidR="00D64A9D">
        <w:rPr>
          <w:rFonts w:ascii="Arial" w:eastAsia="Arial" w:hAnsi="Arial" w:cs="Arial"/>
        </w:rPr>
        <w:t xml:space="preserve"> </w:t>
      </w:r>
    </w:p>
    <w:p w14:paraId="4D8B13C1" w14:textId="0E061E0B" w:rsidR="007F1F75" w:rsidRDefault="001546A1" w:rsidP="00D408CE">
      <w:pPr>
        <w:pStyle w:val="ListParagraph"/>
        <w:numPr>
          <w:ilvl w:val="0"/>
          <w:numId w:val="9"/>
        </w:numPr>
        <w:tabs>
          <w:tab w:val="left" w:pos="720"/>
        </w:tabs>
        <w:spacing w:before="120" w:line="288" w:lineRule="auto"/>
        <w:ind w:left="720" w:hanging="720"/>
        <w:jc w:val="both"/>
        <w:rPr>
          <w:rFonts w:ascii="Arial" w:hAnsi="Arial" w:cs="Arial"/>
          <w:color w:val="000000"/>
        </w:rPr>
      </w:pPr>
      <w:r w:rsidRPr="00AB57FF">
        <w:rPr>
          <w:rFonts w:ascii="Arial" w:hAnsi="Arial" w:cs="Arial"/>
          <w:color w:val="000000"/>
        </w:rPr>
        <w:t xml:space="preserve">On </w:t>
      </w:r>
      <w:r w:rsidR="00AB57FF" w:rsidRPr="00AB57FF">
        <w:rPr>
          <w:rFonts w:ascii="Arial" w:hAnsi="Arial" w:cs="Arial"/>
          <w:color w:val="000000"/>
        </w:rPr>
        <w:t>September</w:t>
      </w:r>
      <w:r w:rsidRPr="00AB57FF">
        <w:rPr>
          <w:rFonts w:ascii="Arial" w:hAnsi="Arial" w:cs="Arial"/>
          <w:color w:val="000000"/>
        </w:rPr>
        <w:t xml:space="preserve"> </w:t>
      </w:r>
      <w:r w:rsidR="00AB57FF" w:rsidRPr="00AB57FF">
        <w:rPr>
          <w:rFonts w:ascii="Arial" w:hAnsi="Arial" w:cs="Arial"/>
          <w:color w:val="000000"/>
        </w:rPr>
        <w:t>7</w:t>
      </w:r>
      <w:r w:rsidRPr="00AB57FF">
        <w:rPr>
          <w:rFonts w:ascii="Arial" w:hAnsi="Arial" w:cs="Arial"/>
          <w:color w:val="000000"/>
        </w:rPr>
        <w:t xml:space="preserve">, 2021, Acreage announced </w:t>
      </w:r>
      <w:r w:rsidR="00AB57FF" w:rsidRPr="00AB57FF">
        <w:rPr>
          <w:rFonts w:ascii="Arial" w:hAnsi="Arial" w:cs="Arial"/>
          <w:color w:val="000000"/>
        </w:rPr>
        <w:t>that Hurricane Ida caused extensive damage to its cultivation center located in Sewell, New Jersey, which was nearing the completion of its construction.</w:t>
      </w:r>
    </w:p>
    <w:p w14:paraId="1BBB568D" w14:textId="77777777" w:rsidR="00AB57FF" w:rsidRPr="00AB57FF" w:rsidRDefault="00AB57FF" w:rsidP="00AB57FF">
      <w:pPr>
        <w:pStyle w:val="ListParagraph"/>
        <w:tabs>
          <w:tab w:val="left" w:pos="720"/>
        </w:tabs>
        <w:spacing w:before="120" w:line="288" w:lineRule="auto"/>
        <w:jc w:val="both"/>
        <w:rPr>
          <w:rFonts w:ascii="Arial" w:hAnsi="Arial" w:cs="Arial"/>
          <w:color w:val="000000"/>
        </w:rPr>
      </w:pPr>
    </w:p>
    <w:p w14:paraId="4584574F" w14:textId="5CF79207" w:rsidR="007F1F75" w:rsidRDefault="00F04F8C" w:rsidP="002205B9">
      <w:pPr>
        <w:pStyle w:val="ListParagraph"/>
        <w:numPr>
          <w:ilvl w:val="0"/>
          <w:numId w:val="9"/>
        </w:numPr>
        <w:tabs>
          <w:tab w:val="left" w:pos="720"/>
        </w:tabs>
        <w:spacing w:before="120" w:line="288" w:lineRule="auto"/>
        <w:ind w:left="720" w:hanging="720"/>
        <w:jc w:val="both"/>
        <w:rPr>
          <w:rFonts w:ascii="Arial" w:hAnsi="Arial" w:cs="Arial"/>
          <w:color w:val="000000"/>
        </w:rPr>
      </w:pPr>
      <w:r w:rsidRPr="00AB57FF">
        <w:rPr>
          <w:rFonts w:ascii="Arial" w:hAnsi="Arial" w:cs="Arial"/>
          <w:color w:val="000000"/>
        </w:rPr>
        <w:t xml:space="preserve">On </w:t>
      </w:r>
      <w:r w:rsidR="00AB57FF" w:rsidRPr="00AB57FF">
        <w:rPr>
          <w:rFonts w:ascii="Arial" w:hAnsi="Arial" w:cs="Arial"/>
          <w:color w:val="000000"/>
        </w:rPr>
        <w:t>September</w:t>
      </w:r>
      <w:r w:rsidRPr="00AB57FF">
        <w:rPr>
          <w:rFonts w:ascii="Arial" w:hAnsi="Arial" w:cs="Arial"/>
          <w:color w:val="000000"/>
        </w:rPr>
        <w:t xml:space="preserve"> </w:t>
      </w:r>
      <w:r w:rsidR="00AB57FF" w:rsidRPr="00AB57FF">
        <w:rPr>
          <w:rFonts w:ascii="Arial" w:hAnsi="Arial" w:cs="Arial"/>
          <w:color w:val="000000"/>
        </w:rPr>
        <w:t>16</w:t>
      </w:r>
      <w:r w:rsidRPr="00AB57FF">
        <w:rPr>
          <w:rFonts w:ascii="Arial" w:hAnsi="Arial" w:cs="Arial"/>
          <w:color w:val="000000"/>
        </w:rPr>
        <w:t xml:space="preserve">, 2021, Acreage </w:t>
      </w:r>
      <w:r w:rsidR="00AB57FF">
        <w:rPr>
          <w:rFonts w:ascii="Arial" w:hAnsi="Arial" w:cs="Arial"/>
          <w:color w:val="000000"/>
        </w:rPr>
        <w:t xml:space="preserve">announced that </w:t>
      </w:r>
      <w:r w:rsidR="00AB57FF" w:rsidRPr="00AB57FF">
        <w:rPr>
          <w:rFonts w:ascii="Arial" w:hAnsi="Arial" w:cs="Arial"/>
          <w:color w:val="000000"/>
        </w:rPr>
        <w:t>it has entered into a definitive asset purchase and services agreement (“The Agreement”) with Chalice Brands Ltd. (the “Buyer”) (CSE:CHAL) (OTCQB:CHALF), pursuant to which the Buyer will purchase the assets and assume the operations of Acreage’s four Oregon retail dispensaries branded as Cannabliss &amp; Co. This transaction will complete the sale of Acreage’s operations in Oregon and is a further expression of Acreage’s commitment to focus on its core states.</w:t>
      </w:r>
    </w:p>
    <w:p w14:paraId="3385E51E" w14:textId="77777777" w:rsidR="00730312" w:rsidRPr="00730312" w:rsidRDefault="00730312" w:rsidP="00730312">
      <w:pPr>
        <w:pStyle w:val="ListParagraph"/>
        <w:rPr>
          <w:rFonts w:ascii="Arial" w:hAnsi="Arial" w:cs="Arial"/>
          <w:color w:val="000000"/>
        </w:rPr>
      </w:pPr>
    </w:p>
    <w:p w14:paraId="4FD71329" w14:textId="26CDC5A9" w:rsidR="00555613" w:rsidRPr="00A03276" w:rsidRDefault="008B37D7" w:rsidP="003116AD">
      <w:pPr>
        <w:pStyle w:val="ListParagraph"/>
        <w:numPr>
          <w:ilvl w:val="0"/>
          <w:numId w:val="2"/>
        </w:numPr>
        <w:tabs>
          <w:tab w:val="left" w:pos="720"/>
        </w:tabs>
        <w:spacing w:before="120" w:line="288" w:lineRule="auto"/>
        <w:jc w:val="both"/>
        <w:rPr>
          <w:rFonts w:ascii="Arial" w:hAnsi="Arial" w:cs="Arial"/>
          <w:color w:val="000000"/>
          <w:kern w:val="0"/>
        </w:rPr>
      </w:pPr>
      <w:r w:rsidRPr="00A03276">
        <w:rPr>
          <w:rFonts w:ascii="Arial" w:eastAsia="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F249C11" w14:textId="77777777" w:rsidR="00A03276" w:rsidRPr="00A03276" w:rsidRDefault="00A03276" w:rsidP="00A03276">
      <w:pPr>
        <w:pStyle w:val="ListParagraph"/>
        <w:tabs>
          <w:tab w:val="left" w:pos="720"/>
        </w:tabs>
        <w:spacing w:before="120" w:line="288" w:lineRule="auto"/>
        <w:jc w:val="both"/>
        <w:rPr>
          <w:rFonts w:ascii="Arial" w:hAnsi="Arial" w:cs="Arial"/>
          <w:color w:val="000000"/>
          <w:kern w:val="0"/>
        </w:rPr>
      </w:pPr>
    </w:p>
    <w:p w14:paraId="28476B4D" w14:textId="38B593C1" w:rsidR="00A147BC" w:rsidRPr="0074547A" w:rsidRDefault="0055592A" w:rsidP="00A147BC">
      <w:pPr>
        <w:pStyle w:val="ListParagraph"/>
        <w:rPr>
          <w:rFonts w:ascii="Arial" w:hAnsi="Arial" w:cs="Arial"/>
          <w:color w:val="000000"/>
          <w:kern w:val="0"/>
        </w:rPr>
      </w:pPr>
      <w:r>
        <w:rPr>
          <w:rFonts w:ascii="Arial" w:hAnsi="Arial" w:cs="Arial"/>
          <w:color w:val="000000"/>
          <w:kern w:val="0"/>
        </w:rPr>
        <w:t>None material.</w:t>
      </w:r>
    </w:p>
    <w:p w14:paraId="4C41EA56" w14:textId="0208F664"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any products or services that were discontinued. For resource companies, provide details of any drilling, exploration or production programs that have been amended or abandoned.</w:t>
      </w:r>
      <w:r w:rsidR="00D64A9D">
        <w:rPr>
          <w:rFonts w:ascii="Arial" w:eastAsia="Arial" w:hAnsi="Arial" w:cs="Arial"/>
        </w:rPr>
        <w:t xml:space="preserve"> </w:t>
      </w:r>
    </w:p>
    <w:p w14:paraId="19655D69" w14:textId="77777777" w:rsidR="00250AEB" w:rsidRPr="0074547A" w:rsidRDefault="00250AEB" w:rsidP="00250AEB">
      <w:pPr>
        <w:pStyle w:val="ListParagraph"/>
        <w:rPr>
          <w:rFonts w:ascii="Arial" w:eastAsia="Arial" w:hAnsi="Arial" w:cs="Arial"/>
        </w:rPr>
      </w:pPr>
    </w:p>
    <w:p w14:paraId="712451DC" w14:textId="169C6715" w:rsidR="00250AEB" w:rsidRPr="0055592A" w:rsidRDefault="0055592A" w:rsidP="0055592A">
      <w:pPr>
        <w:pStyle w:val="ListParagraph"/>
        <w:rPr>
          <w:rFonts w:ascii="Arial" w:hAnsi="Arial" w:cs="Arial"/>
          <w:color w:val="000000"/>
          <w:kern w:val="0"/>
        </w:rPr>
      </w:pPr>
      <w:r>
        <w:rPr>
          <w:rFonts w:ascii="Arial" w:hAnsi="Arial" w:cs="Arial"/>
          <w:color w:val="000000"/>
          <w:kern w:val="0"/>
        </w:rPr>
        <w:t>None material</w:t>
      </w:r>
      <w:r w:rsidR="006D623E" w:rsidRPr="006D623E">
        <w:rPr>
          <w:rFonts w:ascii="Arial" w:eastAsia="Arial" w:hAnsi="Arial" w:cs="Arial"/>
        </w:rPr>
        <w:t>.</w:t>
      </w:r>
    </w:p>
    <w:p w14:paraId="46AB4525" w14:textId="77777777" w:rsidR="00A03276" w:rsidRPr="00A03276" w:rsidRDefault="008B37D7" w:rsidP="007C6ECE">
      <w:pPr>
        <w:numPr>
          <w:ilvl w:val="0"/>
          <w:numId w:val="2"/>
        </w:numPr>
        <w:tabs>
          <w:tab w:val="left" w:pos="720"/>
        </w:tabs>
        <w:spacing w:before="120" w:line="288" w:lineRule="auto"/>
        <w:ind w:left="720"/>
        <w:jc w:val="both"/>
        <w:rPr>
          <w:rFonts w:ascii="Arial" w:eastAsia="Arial" w:hAnsi="Arial" w:cs="Arial"/>
        </w:rPr>
      </w:pPr>
      <w:r w:rsidRPr="00A03276">
        <w:rPr>
          <w:rFonts w:ascii="Arial" w:eastAsia="Arial" w:hAnsi="Arial" w:cs="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64A9D" w:rsidRPr="00A03276">
        <w:rPr>
          <w:rFonts w:ascii="Arial" w:eastAsia="Arial" w:hAnsi="Arial" w:cs="Arial"/>
        </w:rPr>
        <w:t xml:space="preserve"> </w:t>
      </w:r>
    </w:p>
    <w:p w14:paraId="1E75D1D7" w14:textId="5295B279" w:rsidR="00A8034F" w:rsidRPr="00A03276" w:rsidRDefault="0055592A" w:rsidP="00A03276">
      <w:pPr>
        <w:tabs>
          <w:tab w:val="left" w:pos="720"/>
        </w:tabs>
        <w:spacing w:before="120" w:line="288" w:lineRule="auto"/>
        <w:ind w:left="720"/>
        <w:jc w:val="both"/>
        <w:rPr>
          <w:rFonts w:ascii="Arial" w:eastAsia="Arial" w:hAnsi="Arial" w:cs="Arial"/>
        </w:rPr>
      </w:pPr>
      <w:r>
        <w:rPr>
          <w:rFonts w:ascii="Arial" w:hAnsi="Arial" w:cs="Arial"/>
          <w:color w:val="000000"/>
          <w:kern w:val="0"/>
        </w:rPr>
        <w:t>None material.</w:t>
      </w:r>
    </w:p>
    <w:p w14:paraId="28FFDBCE" w14:textId="53ECB71B"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the expiry or termination of any contracts or agreements between the Issuer, the Issuer’s affiliates or third parties or cancellation of any financing arrangements that have been previously announced.</w:t>
      </w:r>
      <w:r w:rsidR="00D64A9D" w:rsidRPr="00D64A9D">
        <w:rPr>
          <w:rFonts w:ascii="Arial" w:eastAsia="Arial" w:hAnsi="Arial" w:cs="Arial"/>
        </w:rPr>
        <w:t xml:space="preserve"> </w:t>
      </w:r>
    </w:p>
    <w:p w14:paraId="7AA0383D" w14:textId="6B35EB1A"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6F9A6428" w14:textId="42990B3D"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D64A9D">
        <w:rPr>
          <w:rFonts w:ascii="Arial" w:eastAsia="Arial" w:hAnsi="Arial" w:cs="Arial"/>
        </w:rPr>
        <w:t xml:space="preserve"> </w:t>
      </w:r>
    </w:p>
    <w:p w14:paraId="1101573C" w14:textId="2531A459" w:rsidR="00A8034F" w:rsidRPr="0074547A" w:rsidRDefault="0055592A" w:rsidP="00DF166E">
      <w:pPr>
        <w:spacing w:before="120" w:line="288" w:lineRule="auto"/>
        <w:ind w:left="720"/>
        <w:jc w:val="both"/>
        <w:rPr>
          <w:rFonts w:ascii="Arial" w:eastAsia="Arial" w:hAnsi="Arial" w:cs="Arial"/>
        </w:rPr>
      </w:pPr>
      <w:r>
        <w:rPr>
          <w:rFonts w:ascii="Arial" w:eastAsia="Arial" w:hAnsi="Arial" w:cs="Arial"/>
        </w:rPr>
        <w:t>Except as described above, none.</w:t>
      </w:r>
    </w:p>
    <w:p w14:paraId="7B7C4048" w14:textId="77777777" w:rsidR="00A8034F" w:rsidRPr="0074547A" w:rsidRDefault="008B37D7">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lastRenderedPageBreak/>
        <w:t>Describe the acquisition of new customers or loss of customers.</w:t>
      </w:r>
    </w:p>
    <w:p w14:paraId="68BAFFCB" w14:textId="78497BF0" w:rsidR="00A8034F" w:rsidRPr="0074547A" w:rsidRDefault="008B37D7">
      <w:pPr>
        <w:spacing w:before="120" w:line="288" w:lineRule="auto"/>
        <w:ind w:left="720"/>
        <w:jc w:val="both"/>
        <w:rPr>
          <w:rFonts w:ascii="Arial" w:eastAsia="Arial" w:hAnsi="Arial" w:cs="Arial"/>
        </w:rPr>
      </w:pPr>
      <w:r w:rsidRPr="0074547A">
        <w:rPr>
          <w:rFonts w:ascii="Arial" w:eastAsia="Arial" w:hAnsi="Arial" w:cs="Arial"/>
        </w:rPr>
        <w:t>N/A</w:t>
      </w:r>
      <w:r w:rsidR="00D64A9D">
        <w:rPr>
          <w:rFonts w:ascii="Arial" w:eastAsia="Arial" w:hAnsi="Arial" w:cs="Arial"/>
        </w:rPr>
        <w:t xml:space="preserve"> </w:t>
      </w:r>
    </w:p>
    <w:p w14:paraId="68F3EF7A" w14:textId="337285B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any new developments or effects on intangible products such as brand names, circulation lists, copyrights, franchises, licenses, patents, software, subscription lists and trade-marks.</w:t>
      </w:r>
    </w:p>
    <w:p w14:paraId="71370843" w14:textId="726229A3"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6744F696" w14:textId="767F449F"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Report on any employee hirings, terminations or lay-offs with details of anticipated length of lay-offs.</w:t>
      </w:r>
      <w:r w:rsidR="00555613" w:rsidRPr="0074547A">
        <w:rPr>
          <w:rFonts w:ascii="Arial" w:eastAsia="Arial" w:hAnsi="Arial" w:cs="Arial"/>
        </w:rPr>
        <w:t xml:space="preserve"> </w:t>
      </w:r>
    </w:p>
    <w:p w14:paraId="3DF814D9" w14:textId="73732BB8" w:rsidR="00587C1C" w:rsidRPr="00996536" w:rsidRDefault="00587C1C" w:rsidP="00587C1C">
      <w:pPr>
        <w:numPr>
          <w:ilvl w:val="1"/>
          <w:numId w:val="2"/>
        </w:numPr>
        <w:tabs>
          <w:tab w:val="left" w:pos="720"/>
        </w:tabs>
        <w:spacing w:before="120" w:line="288" w:lineRule="auto"/>
        <w:ind w:left="720" w:hanging="720"/>
        <w:jc w:val="both"/>
        <w:rPr>
          <w:rFonts w:ascii="Arial" w:eastAsia="Arial" w:hAnsi="Arial" w:cs="Arial"/>
        </w:rPr>
      </w:pPr>
      <w:r w:rsidRPr="00996536">
        <w:rPr>
          <w:rFonts w:ascii="Arial" w:eastAsia="Arial" w:hAnsi="Arial" w:cs="Arial"/>
        </w:rPr>
        <w:t xml:space="preserve">The Issuer had approximately </w:t>
      </w:r>
      <w:r w:rsidR="00996536" w:rsidRPr="00996536">
        <w:rPr>
          <w:rFonts w:ascii="Arial" w:eastAsia="Arial" w:hAnsi="Arial" w:cs="Arial"/>
        </w:rPr>
        <w:t>29</w:t>
      </w:r>
      <w:r w:rsidRPr="00996536">
        <w:rPr>
          <w:rFonts w:ascii="Arial" w:eastAsia="Arial" w:hAnsi="Arial" w:cs="Arial"/>
        </w:rPr>
        <w:t xml:space="preserve"> new hires, 0 furloughs or return from furloughs, and </w:t>
      </w:r>
      <w:r w:rsidR="00996536" w:rsidRPr="00996536">
        <w:rPr>
          <w:rFonts w:ascii="Arial" w:eastAsia="Arial" w:hAnsi="Arial" w:cs="Arial"/>
        </w:rPr>
        <w:t>28</w:t>
      </w:r>
      <w:r w:rsidR="00C33BDC" w:rsidRPr="00996536">
        <w:rPr>
          <w:rFonts w:ascii="Arial" w:eastAsia="Arial" w:hAnsi="Arial" w:cs="Arial"/>
        </w:rPr>
        <w:t xml:space="preserve"> te</w:t>
      </w:r>
      <w:r w:rsidRPr="00996536">
        <w:rPr>
          <w:rFonts w:ascii="Arial" w:eastAsia="Arial" w:hAnsi="Arial" w:cs="Arial"/>
        </w:rPr>
        <w:t xml:space="preserve">rminations. </w:t>
      </w:r>
    </w:p>
    <w:p w14:paraId="0BF0A7A2" w14:textId="28206D66" w:rsidR="00D64A9D" w:rsidRPr="00D64A9D" w:rsidRDefault="008B37D7" w:rsidP="00D64A9D">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Report on any labour disputes and resolutions of those disputes if applicable.</w:t>
      </w:r>
      <w:r w:rsidR="00D64A9D">
        <w:rPr>
          <w:rFonts w:ascii="Arial" w:eastAsia="Arial" w:hAnsi="Arial" w:cs="Arial"/>
        </w:rPr>
        <w:t xml:space="preserve"> </w:t>
      </w:r>
    </w:p>
    <w:p w14:paraId="44F2E528" w14:textId="63851E45"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354DFD4F" w14:textId="22C4B3A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64A9D" w:rsidRPr="00D64A9D">
        <w:rPr>
          <w:rFonts w:ascii="Arial" w:eastAsia="Arial" w:hAnsi="Arial" w:cs="Arial"/>
        </w:rPr>
        <w:t xml:space="preserve"> </w:t>
      </w:r>
    </w:p>
    <w:p w14:paraId="0BFB8802" w14:textId="6A06DF30" w:rsidR="00A8034F" w:rsidRPr="0074547A" w:rsidRDefault="00E54B83">
      <w:pPr>
        <w:spacing w:before="120" w:line="288" w:lineRule="auto"/>
        <w:ind w:left="720"/>
        <w:jc w:val="both"/>
        <w:rPr>
          <w:rFonts w:ascii="Arial" w:eastAsia="Arial" w:hAnsi="Arial" w:cs="Arial"/>
        </w:rPr>
      </w:pPr>
      <w:r w:rsidRPr="0074547A">
        <w:rPr>
          <w:rFonts w:ascii="Arial" w:eastAsia="Arial" w:hAnsi="Arial" w:cs="Arial"/>
        </w:rPr>
        <w:t>N/A</w:t>
      </w:r>
    </w:p>
    <w:p w14:paraId="4B9D7311" w14:textId="28FF34CC"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Provide details of any indebtedness incurred or repaid by the Issuer together with the terms of such indebtedness.</w:t>
      </w:r>
    </w:p>
    <w:p w14:paraId="725431CF" w14:textId="00F3C20E" w:rsidR="0074547A" w:rsidRDefault="00996536">
      <w:pPr>
        <w:spacing w:before="120" w:line="288" w:lineRule="auto"/>
        <w:ind w:left="720"/>
        <w:jc w:val="both"/>
        <w:rPr>
          <w:rFonts w:ascii="Arial" w:eastAsia="Arial" w:hAnsi="Arial" w:cs="Arial"/>
        </w:rPr>
      </w:pPr>
      <w:r>
        <w:rPr>
          <w:rFonts w:ascii="Arial" w:hAnsi="Arial" w:cs="Arial"/>
          <w:color w:val="000000"/>
          <w:kern w:val="0"/>
        </w:rPr>
        <w:t>None material.</w:t>
      </w:r>
    </w:p>
    <w:p w14:paraId="1550D3D1" w14:textId="77777777" w:rsidR="0074547A" w:rsidRDefault="0074547A">
      <w:pPr>
        <w:rPr>
          <w:rFonts w:ascii="Arial" w:eastAsia="Arial" w:hAnsi="Arial" w:cs="Arial"/>
        </w:rPr>
      </w:pPr>
      <w:r>
        <w:rPr>
          <w:rFonts w:ascii="Arial" w:eastAsia="Arial" w:hAnsi="Arial" w:cs="Arial"/>
        </w:rPr>
        <w:br w:type="page"/>
      </w:r>
    </w:p>
    <w:p w14:paraId="2FC8C9CA" w14:textId="77777777" w:rsidR="00A8034F" w:rsidRPr="0074547A" w:rsidRDefault="00A8034F" w:rsidP="0074547A">
      <w:pPr>
        <w:spacing w:before="120" w:line="288" w:lineRule="auto"/>
        <w:jc w:val="both"/>
        <w:rPr>
          <w:rFonts w:ascii="Arial" w:eastAsia="Arial" w:hAnsi="Arial" w:cs="Arial"/>
        </w:rPr>
      </w:pPr>
    </w:p>
    <w:p w14:paraId="7EE5853A" w14:textId="17F8AA77" w:rsidR="00B20DF4" w:rsidRPr="00D21B58" w:rsidRDefault="008B37D7" w:rsidP="00B20DF4">
      <w:pPr>
        <w:numPr>
          <w:ilvl w:val="0"/>
          <w:numId w:val="2"/>
        </w:numPr>
        <w:tabs>
          <w:tab w:val="left" w:pos="720"/>
        </w:tabs>
        <w:spacing w:before="120" w:after="260"/>
        <w:ind w:left="720"/>
        <w:rPr>
          <w:rFonts w:ascii="Arial" w:eastAsia="Arial" w:hAnsi="Arial" w:cs="Arial"/>
        </w:rPr>
      </w:pPr>
      <w:bookmarkStart w:id="1" w:name="_Hlk54947530"/>
      <w:r w:rsidRPr="0074547A">
        <w:rPr>
          <w:rFonts w:ascii="Arial" w:eastAsia="Arial" w:hAnsi="Arial" w:cs="Arial"/>
        </w:rPr>
        <w:t>Provide details of any securities issued and options or warrants granted.</w:t>
      </w:r>
      <w:r w:rsidR="00F141B5" w:rsidRPr="00F141B5">
        <w:rPr>
          <w:rFonts w:ascii="Arial" w:eastAsia="Arial" w:hAnsi="Arial" w:cs="Arial"/>
        </w:rPr>
        <w:t xml:space="preserve"> </w:t>
      </w:r>
      <w:bookmarkEnd w:id="1"/>
    </w:p>
    <w:p w14:paraId="1D91533D" w14:textId="6CBE3B45" w:rsidR="007F1F75" w:rsidRPr="007F1F75" w:rsidRDefault="007F1F75" w:rsidP="007F1F75">
      <w:pPr>
        <w:pStyle w:val="ListParagraph"/>
        <w:numPr>
          <w:ilvl w:val="0"/>
          <w:numId w:val="2"/>
        </w:numPr>
        <w:contextualSpacing w:val="0"/>
        <w:rPr>
          <w:rFonts w:ascii="Arial" w:hAnsi="Arial" w:cs="Arial"/>
        </w:rPr>
      </w:pPr>
      <w:r w:rsidRPr="007F1F75">
        <w:rPr>
          <w:rFonts w:ascii="Arial" w:hAnsi="Arial" w:cs="Arial"/>
        </w:rPr>
        <w:t xml:space="preserve">Share </w:t>
      </w:r>
      <w:r w:rsidR="00E6099F">
        <w:rPr>
          <w:rFonts w:ascii="Arial" w:hAnsi="Arial" w:cs="Arial"/>
        </w:rPr>
        <w:t>I</w:t>
      </w:r>
      <w:r w:rsidRPr="007F1F75">
        <w:rPr>
          <w:rFonts w:ascii="Arial" w:hAnsi="Arial" w:cs="Arial"/>
        </w:rPr>
        <w:t>ssuances:</w:t>
      </w:r>
    </w:p>
    <w:p w14:paraId="6B32FFC2" w14:textId="77777777" w:rsidR="007F1F75" w:rsidRPr="007F1F75" w:rsidRDefault="007F1F75" w:rsidP="007F1F75">
      <w:pPr>
        <w:pStyle w:val="ListParagraph"/>
        <w:jc w:val="center"/>
        <w:rPr>
          <w:rFonts w:ascii="Arial" w:eastAsiaTheme="minorHAnsi" w:hAnsi="Arial" w:cs="Arial"/>
        </w:rPr>
      </w:pPr>
    </w:p>
    <w:tbl>
      <w:tblPr>
        <w:tblW w:w="0" w:type="auto"/>
        <w:tblInd w:w="720" w:type="dxa"/>
        <w:tblCellMar>
          <w:left w:w="0" w:type="dxa"/>
          <w:right w:w="0" w:type="dxa"/>
        </w:tblCellMar>
        <w:tblLook w:val="04A0" w:firstRow="1" w:lastRow="0" w:firstColumn="1" w:lastColumn="0" w:noHBand="0" w:noVBand="1"/>
      </w:tblPr>
      <w:tblGrid>
        <w:gridCol w:w="2903"/>
        <w:gridCol w:w="2868"/>
        <w:gridCol w:w="2849"/>
      </w:tblGrid>
      <w:tr w:rsidR="007F1F75" w:rsidRPr="00996536" w14:paraId="68FCCF32" w14:textId="77777777" w:rsidTr="007F1F75">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AA2F3" w14:textId="77777777" w:rsidR="007F1F75" w:rsidRPr="00996536" w:rsidRDefault="007F1F75">
            <w:pPr>
              <w:pStyle w:val="ListParagraph"/>
              <w:ind w:left="0"/>
              <w:jc w:val="center"/>
              <w:rPr>
                <w:rFonts w:ascii="Arial" w:hAnsi="Arial" w:cs="Arial"/>
                <w:b/>
                <w:bCs/>
              </w:rPr>
            </w:pPr>
            <w:r w:rsidRPr="00996536">
              <w:rPr>
                <w:rFonts w:ascii="Arial" w:hAnsi="Arial" w:cs="Arial"/>
                <w:b/>
                <w:bCs/>
              </w:rPr>
              <w:t>RSU Issuance Breakdown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A064A" w14:textId="77777777" w:rsidR="007F1F75" w:rsidRPr="00996536" w:rsidRDefault="007F1F75">
            <w:pPr>
              <w:pStyle w:val="ListParagraph"/>
              <w:ind w:left="0"/>
              <w:jc w:val="center"/>
              <w:rPr>
                <w:rFonts w:ascii="Arial" w:hAnsi="Arial" w:cs="Arial"/>
                <w:b/>
                <w:bCs/>
              </w:rPr>
            </w:pPr>
            <w:r w:rsidRPr="00996536">
              <w:rPr>
                <w:rFonts w:ascii="Arial" w:hAnsi="Arial" w:cs="Arial"/>
                <w:b/>
                <w:bCs/>
              </w:rPr>
              <w:t>Floating (Class D)</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01FB1" w14:textId="77777777" w:rsidR="007F1F75" w:rsidRPr="00996536" w:rsidRDefault="007F1F75">
            <w:pPr>
              <w:pStyle w:val="ListParagraph"/>
              <w:ind w:left="0"/>
              <w:jc w:val="center"/>
              <w:rPr>
                <w:rFonts w:ascii="Arial" w:hAnsi="Arial" w:cs="Arial"/>
                <w:b/>
                <w:bCs/>
              </w:rPr>
            </w:pPr>
            <w:r w:rsidRPr="00996536">
              <w:rPr>
                <w:rFonts w:ascii="Arial" w:hAnsi="Arial" w:cs="Arial"/>
                <w:b/>
                <w:bCs/>
              </w:rPr>
              <w:t>Fixed (Class E)</w:t>
            </w:r>
          </w:p>
        </w:tc>
      </w:tr>
      <w:tr w:rsidR="007F1F75" w:rsidRPr="00996536" w14:paraId="0F73F857" w14:textId="77777777" w:rsidTr="007F1F75">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5A1C8" w14:textId="77777777" w:rsidR="007F1F75" w:rsidRPr="00996536" w:rsidRDefault="007F1F75">
            <w:pPr>
              <w:pStyle w:val="ListParagraph"/>
              <w:ind w:left="0"/>
              <w:jc w:val="center"/>
              <w:rPr>
                <w:rFonts w:ascii="Arial" w:hAnsi="Arial" w:cs="Arial"/>
                <w:i/>
                <w:iCs/>
              </w:rPr>
            </w:pPr>
            <w:r w:rsidRPr="00996536">
              <w:rPr>
                <w:rFonts w:ascii="Arial" w:hAnsi="Arial" w:cs="Arial"/>
                <w:i/>
                <w:iCs/>
              </w:rPr>
              <w:t>New Issuances as a result of vesting in the period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3C4FB7" w14:textId="09E0F788" w:rsidR="007F1F75" w:rsidRPr="00996536" w:rsidRDefault="00996536">
            <w:pPr>
              <w:pStyle w:val="ListParagraph"/>
              <w:ind w:left="0"/>
              <w:jc w:val="center"/>
              <w:rPr>
                <w:rFonts w:ascii="Arial" w:hAnsi="Arial" w:cs="Arial"/>
              </w:rPr>
            </w:pPr>
            <w:r w:rsidRPr="00996536">
              <w:rPr>
                <w:rFonts w:ascii="Arial" w:hAnsi="Arial" w:cs="Arial"/>
              </w:rPr>
              <w: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CB2C6B" w14:textId="38395923" w:rsidR="007F1F75" w:rsidRPr="00996536" w:rsidRDefault="00996536">
            <w:pPr>
              <w:pStyle w:val="ListParagraph"/>
              <w:ind w:left="0"/>
              <w:jc w:val="center"/>
              <w:rPr>
                <w:rFonts w:ascii="Arial" w:hAnsi="Arial" w:cs="Arial"/>
              </w:rPr>
            </w:pPr>
            <w:r w:rsidRPr="00996536">
              <w:rPr>
                <w:rFonts w:ascii="Arial" w:hAnsi="Arial" w:cs="Arial"/>
              </w:rPr>
              <w:t>27,174</w:t>
            </w:r>
          </w:p>
        </w:tc>
      </w:tr>
    </w:tbl>
    <w:p w14:paraId="6F0AD1A2" w14:textId="77777777" w:rsidR="007F1F75" w:rsidRPr="00996536" w:rsidRDefault="007F1F75" w:rsidP="007F1F75">
      <w:pPr>
        <w:pStyle w:val="ListParagraph"/>
        <w:rPr>
          <w:rFonts w:ascii="Arial" w:eastAsiaTheme="minorHAnsi" w:hAnsi="Arial" w:cs="Arial"/>
          <w:sz w:val="22"/>
          <w:szCs w:val="22"/>
        </w:rPr>
      </w:pPr>
    </w:p>
    <w:p w14:paraId="0D191E41" w14:textId="77777777" w:rsidR="007F1F75" w:rsidRPr="007F1F75" w:rsidRDefault="007F1F75" w:rsidP="007F1F75">
      <w:pPr>
        <w:pStyle w:val="ListParagraph"/>
        <w:rPr>
          <w:rFonts w:ascii="Arial" w:hAnsi="Arial" w:cs="Arial"/>
        </w:rPr>
      </w:pPr>
      <w:r w:rsidRPr="00996536">
        <w:rPr>
          <w:rFonts w:ascii="Arial" w:hAnsi="Arial" w:cs="Arial"/>
        </w:rPr>
        <w:t>There were no conversions of any NCI units (HSCP LLC Common units or USCo2 Class B non-voting shares) in the month.</w:t>
      </w:r>
    </w:p>
    <w:p w14:paraId="2F65E7F6" w14:textId="77777777" w:rsidR="00D21B58" w:rsidRPr="00D21B58" w:rsidRDefault="00D21B58" w:rsidP="00D21B58">
      <w:pPr>
        <w:pStyle w:val="ListParagraph"/>
        <w:keepNext/>
        <w:keepLines/>
        <w:tabs>
          <w:tab w:val="left" w:pos="0"/>
        </w:tabs>
        <w:spacing w:before="120" w:line="288" w:lineRule="auto"/>
        <w:rPr>
          <w:rFonts w:ascii="Arial" w:eastAsia="Arial" w:hAnsi="Arial" w:cs="Arial"/>
        </w:rPr>
      </w:pPr>
    </w:p>
    <w:p w14:paraId="383B65F3" w14:textId="0C06B9C6" w:rsidR="00A8034F" w:rsidRDefault="008B37D7" w:rsidP="0074547A">
      <w:pPr>
        <w:pStyle w:val="ListParagraph"/>
        <w:keepNext/>
        <w:keepLines/>
        <w:numPr>
          <w:ilvl w:val="0"/>
          <w:numId w:val="2"/>
        </w:numPr>
        <w:tabs>
          <w:tab w:val="left" w:pos="0"/>
        </w:tabs>
        <w:spacing w:before="120" w:line="288" w:lineRule="auto"/>
        <w:rPr>
          <w:rFonts w:ascii="Arial" w:eastAsia="Arial" w:hAnsi="Arial" w:cs="Arial"/>
        </w:rPr>
      </w:pPr>
      <w:r w:rsidRPr="0074547A">
        <w:rPr>
          <w:rFonts w:ascii="Arial" w:eastAsia="Arial" w:hAnsi="Arial" w:cs="Arial"/>
        </w:rPr>
        <w:t>Provide details of any loans to or by Related Persons.</w:t>
      </w:r>
    </w:p>
    <w:p w14:paraId="7911856B" w14:textId="30384552" w:rsidR="00996536" w:rsidRDefault="00996536" w:rsidP="00996536">
      <w:pPr>
        <w:pStyle w:val="ListParagraph"/>
        <w:keepNext/>
        <w:keepLines/>
        <w:tabs>
          <w:tab w:val="left" w:pos="0"/>
        </w:tabs>
        <w:spacing w:before="120" w:line="288" w:lineRule="auto"/>
        <w:rPr>
          <w:rFonts w:ascii="Arial" w:eastAsia="Arial" w:hAnsi="Arial" w:cs="Arial"/>
        </w:rPr>
      </w:pPr>
    </w:p>
    <w:p w14:paraId="79C8208B" w14:textId="7B512BD2" w:rsidR="00996536" w:rsidRPr="0074547A" w:rsidRDefault="00996536" w:rsidP="00996536">
      <w:pPr>
        <w:pStyle w:val="ListParagraph"/>
        <w:keepNext/>
        <w:keepLines/>
        <w:tabs>
          <w:tab w:val="left" w:pos="0"/>
        </w:tabs>
        <w:spacing w:before="120" w:line="288" w:lineRule="auto"/>
        <w:rPr>
          <w:rFonts w:ascii="Arial" w:eastAsia="Arial" w:hAnsi="Arial" w:cs="Arial"/>
        </w:rPr>
      </w:pPr>
      <w:r>
        <w:rPr>
          <w:rFonts w:ascii="Arial" w:eastAsia="Arial" w:hAnsi="Arial" w:cs="Arial"/>
        </w:rPr>
        <w:t>None, except as previously disclosed.</w:t>
      </w:r>
    </w:p>
    <w:p w14:paraId="241A95EA" w14:textId="77777777" w:rsidR="00A8034F" w:rsidRPr="0074547A" w:rsidRDefault="008B37D7" w:rsidP="0074547A">
      <w:pPr>
        <w:keepNext/>
        <w:keepLines/>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Provide details of any changes in directors, officers or committee members.</w:t>
      </w:r>
    </w:p>
    <w:p w14:paraId="2AF5EC27" w14:textId="17B10C54" w:rsidR="00A8034F" w:rsidRPr="0074547A" w:rsidRDefault="00780225">
      <w:pPr>
        <w:keepNext/>
        <w:keepLines/>
        <w:spacing w:before="120" w:line="288" w:lineRule="auto"/>
        <w:ind w:left="720"/>
        <w:jc w:val="both"/>
        <w:rPr>
          <w:rFonts w:ascii="Arial" w:eastAsia="Arial" w:hAnsi="Arial" w:cs="Arial"/>
        </w:rPr>
      </w:pPr>
      <w:r>
        <w:rPr>
          <w:rFonts w:ascii="Arial" w:eastAsia="Arial" w:hAnsi="Arial" w:cs="Arial"/>
        </w:rPr>
        <w:t>N/A</w:t>
      </w:r>
    </w:p>
    <w:p w14:paraId="37716C36" w14:textId="72801836" w:rsidR="00A8034F" w:rsidRPr="0074547A" w:rsidRDefault="008B37D7" w:rsidP="0074547A">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Discuss any trends which are likely to impact the Issuer including trends in the Issuer’s market(s) or political/regulatory trends.</w:t>
      </w:r>
    </w:p>
    <w:p w14:paraId="15511781" w14:textId="50B42969" w:rsidR="00A8034F" w:rsidRPr="0074547A" w:rsidRDefault="008B37D7">
      <w:pPr>
        <w:keepNext/>
        <w:spacing w:before="120" w:line="288" w:lineRule="auto"/>
        <w:ind w:left="720"/>
        <w:rPr>
          <w:rFonts w:ascii="Arial" w:eastAsia="Arial" w:hAnsi="Arial" w:cs="Arial"/>
        </w:rPr>
      </w:pPr>
      <w:r w:rsidRPr="0074547A">
        <w:rPr>
          <w:rFonts w:ascii="Arial" w:eastAsia="Arial" w:hAnsi="Arial" w:cs="Arial"/>
        </w:rPr>
        <w:t xml:space="preserve">Trends and risks which may impact the Issuer are detailed in </w:t>
      </w:r>
      <w:r w:rsidRPr="0074547A">
        <w:rPr>
          <w:rFonts w:ascii="Arial" w:eastAsia="Arial" w:hAnsi="Arial" w:cs="Arial"/>
          <w:i/>
        </w:rPr>
        <w:t>Risk Factors</w:t>
      </w:r>
      <w:r w:rsidRPr="0074547A">
        <w:rPr>
          <w:rFonts w:ascii="Arial" w:eastAsia="Arial" w:hAnsi="Arial" w:cs="Arial"/>
        </w:rPr>
        <w:t xml:space="preserve"> - in the Issuer’s Annual Report on Form 10-K dated </w:t>
      </w:r>
      <w:r w:rsidR="00196534">
        <w:rPr>
          <w:rFonts w:ascii="Arial" w:eastAsia="Arial" w:hAnsi="Arial" w:cs="Arial"/>
        </w:rPr>
        <w:t>March 26, 2021.</w:t>
      </w:r>
    </w:p>
    <w:p w14:paraId="5A7BACFC" w14:textId="55A81471" w:rsidR="00FC3621" w:rsidRPr="0074547A" w:rsidRDefault="00FC3621" w:rsidP="00FC3621">
      <w:pPr>
        <w:rPr>
          <w:rFonts w:ascii="Arial" w:eastAsia="Arial" w:hAnsi="Arial" w:cs="Arial"/>
        </w:rPr>
      </w:pPr>
    </w:p>
    <w:p w14:paraId="2C25052C" w14:textId="234445D3" w:rsidR="00FC3621" w:rsidRPr="0074547A" w:rsidRDefault="00FC3621" w:rsidP="00FC3621">
      <w:pPr>
        <w:rPr>
          <w:rFonts w:ascii="Arial" w:eastAsia="Arial" w:hAnsi="Arial" w:cs="Arial"/>
        </w:rPr>
      </w:pPr>
    </w:p>
    <w:p w14:paraId="0D376528" w14:textId="2130572C" w:rsidR="00FC3621" w:rsidRPr="0074547A" w:rsidRDefault="00FC3621" w:rsidP="00FC3621">
      <w:pPr>
        <w:rPr>
          <w:rFonts w:ascii="Arial" w:eastAsia="Arial" w:hAnsi="Arial" w:cs="Arial"/>
        </w:rPr>
      </w:pPr>
    </w:p>
    <w:p w14:paraId="568CE9D5" w14:textId="76F368B7" w:rsidR="00FC3621" w:rsidRPr="0074547A" w:rsidRDefault="00FC3621" w:rsidP="00FC3621">
      <w:pPr>
        <w:rPr>
          <w:rFonts w:ascii="Arial" w:eastAsia="Arial" w:hAnsi="Arial" w:cs="Arial"/>
        </w:rPr>
      </w:pPr>
    </w:p>
    <w:p w14:paraId="73053A99" w14:textId="2AA6052E" w:rsidR="00FC3621" w:rsidRPr="0074547A" w:rsidRDefault="00FC3621" w:rsidP="00FC3621">
      <w:pPr>
        <w:rPr>
          <w:rFonts w:ascii="Arial" w:eastAsia="Arial" w:hAnsi="Arial" w:cs="Arial"/>
        </w:rPr>
      </w:pPr>
    </w:p>
    <w:p w14:paraId="3E218A75" w14:textId="27C96EB1" w:rsidR="00FC3621" w:rsidRPr="0074547A" w:rsidRDefault="00FC3621" w:rsidP="00FC3621">
      <w:pPr>
        <w:rPr>
          <w:rFonts w:ascii="Arial" w:eastAsia="Arial" w:hAnsi="Arial" w:cs="Arial"/>
        </w:rPr>
      </w:pPr>
    </w:p>
    <w:p w14:paraId="75A83B03" w14:textId="51ECE391" w:rsidR="00FC3621" w:rsidRPr="0074547A" w:rsidRDefault="00FC3621" w:rsidP="00FC3621">
      <w:pPr>
        <w:rPr>
          <w:rFonts w:ascii="Arial" w:eastAsia="Arial" w:hAnsi="Arial" w:cs="Arial"/>
        </w:rPr>
      </w:pPr>
    </w:p>
    <w:p w14:paraId="07E306B9" w14:textId="2B85A0E7" w:rsidR="00FC3621" w:rsidRPr="0074547A" w:rsidRDefault="00FC3621" w:rsidP="00FC3621">
      <w:pPr>
        <w:rPr>
          <w:rFonts w:ascii="Arial" w:eastAsia="Arial" w:hAnsi="Arial" w:cs="Arial"/>
        </w:rPr>
      </w:pPr>
    </w:p>
    <w:p w14:paraId="407A9283" w14:textId="39538834" w:rsidR="00FC3621" w:rsidRPr="0074547A" w:rsidRDefault="00FC3621" w:rsidP="00FC3621">
      <w:pPr>
        <w:rPr>
          <w:rFonts w:ascii="Arial" w:eastAsia="Arial" w:hAnsi="Arial" w:cs="Arial"/>
        </w:rPr>
      </w:pPr>
    </w:p>
    <w:p w14:paraId="3E1E58FB" w14:textId="2D48632F" w:rsidR="00FC3621" w:rsidRPr="0074547A" w:rsidRDefault="00FC3621" w:rsidP="00FC3621">
      <w:pPr>
        <w:rPr>
          <w:rFonts w:ascii="Arial" w:eastAsia="Arial" w:hAnsi="Arial" w:cs="Arial"/>
        </w:rPr>
      </w:pPr>
    </w:p>
    <w:p w14:paraId="62FF7911" w14:textId="77777777" w:rsidR="00A8034F" w:rsidRPr="0074547A" w:rsidRDefault="008B37D7">
      <w:pPr>
        <w:keepNext/>
        <w:pageBreakBefore/>
        <w:spacing w:before="120" w:line="288" w:lineRule="auto"/>
        <w:rPr>
          <w:rFonts w:ascii="Arial" w:eastAsia="Arial" w:hAnsi="Arial" w:cs="Arial"/>
          <w:b/>
        </w:rPr>
      </w:pPr>
      <w:r w:rsidRPr="0074547A">
        <w:rPr>
          <w:rFonts w:ascii="Arial" w:eastAsia="Arial" w:hAnsi="Arial" w:cs="Arial"/>
          <w:b/>
        </w:rPr>
        <w:lastRenderedPageBreak/>
        <w:t>Certificate Of Compliance</w:t>
      </w:r>
    </w:p>
    <w:p w14:paraId="7DD46CC5" w14:textId="77777777" w:rsidR="00A8034F" w:rsidRPr="0074547A" w:rsidRDefault="008B37D7">
      <w:pPr>
        <w:keepNext/>
        <w:spacing w:before="240" w:line="288" w:lineRule="auto"/>
        <w:rPr>
          <w:rFonts w:ascii="Arial" w:eastAsia="Arial" w:hAnsi="Arial" w:cs="Arial"/>
        </w:rPr>
      </w:pPr>
      <w:r w:rsidRPr="0074547A">
        <w:rPr>
          <w:rFonts w:ascii="Arial" w:eastAsia="Arial" w:hAnsi="Arial" w:cs="Arial"/>
        </w:rPr>
        <w:t>The undersigned hereby certifies that:</w:t>
      </w:r>
    </w:p>
    <w:p w14:paraId="595DBB79" w14:textId="77777777" w:rsidR="00A8034F" w:rsidRPr="0074547A" w:rsidRDefault="008B37D7">
      <w:pPr>
        <w:keepNext/>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is a director and/or senior officer of the Issuer and has been duly authorized by a resolution of the board of directors of the Issuer to sign this Certificate of Compliance.</w:t>
      </w:r>
    </w:p>
    <w:p w14:paraId="7BEDFF2C"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As of the date hereof there is no material information concerning the Issuer which has not been publicly disclosed.</w:t>
      </w:r>
    </w:p>
    <w:p w14:paraId="7463429A"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1EFF0575" w14:textId="77777777" w:rsidR="00A8034F" w:rsidRPr="0074547A" w:rsidRDefault="008B37D7">
      <w:pPr>
        <w:numPr>
          <w:ilvl w:val="0"/>
          <w:numId w:val="5"/>
        </w:numPr>
        <w:tabs>
          <w:tab w:val="left" w:pos="720"/>
        </w:tabs>
        <w:spacing w:before="240" w:line="288" w:lineRule="auto"/>
        <w:ind w:left="720"/>
        <w:rPr>
          <w:rFonts w:ascii="Arial" w:eastAsia="Arial" w:hAnsi="Arial" w:cs="Arial"/>
        </w:rPr>
      </w:pPr>
      <w:r w:rsidRPr="0074547A">
        <w:rPr>
          <w:rFonts w:ascii="Arial" w:eastAsia="Arial" w:hAnsi="Arial" w:cs="Arial"/>
        </w:rPr>
        <w:t>All of the information in this Form 7 Monthly Progress Report is true.</w:t>
      </w:r>
    </w:p>
    <w:p w14:paraId="3881288E" w14:textId="4C3280F7" w:rsidR="00A8034F" w:rsidRPr="0074547A" w:rsidRDefault="008B37D7">
      <w:pPr>
        <w:tabs>
          <w:tab w:val="left" w:pos="4680"/>
          <w:tab w:val="left" w:pos="7200"/>
        </w:tabs>
        <w:spacing w:before="480" w:line="288" w:lineRule="auto"/>
        <w:jc w:val="both"/>
        <w:rPr>
          <w:rFonts w:ascii="Arial" w:eastAsia="Arial" w:hAnsi="Arial" w:cs="Arial"/>
        </w:rPr>
      </w:pPr>
      <w:r w:rsidRPr="0074547A">
        <w:rPr>
          <w:rFonts w:ascii="Arial" w:eastAsia="Arial" w:hAnsi="Arial" w:cs="Arial"/>
        </w:rPr>
        <w:t xml:space="preserve">Dated </w:t>
      </w:r>
      <w:r w:rsidR="00AB57FF">
        <w:rPr>
          <w:rFonts w:ascii="Arial" w:eastAsia="Arial" w:hAnsi="Arial" w:cs="Arial"/>
        </w:rPr>
        <w:t>October</w:t>
      </w:r>
      <w:r w:rsidR="00E87CF6" w:rsidRPr="0074547A">
        <w:rPr>
          <w:rFonts w:ascii="Arial" w:eastAsia="Arial" w:hAnsi="Arial" w:cs="Arial"/>
        </w:rPr>
        <w:t xml:space="preserve"> </w:t>
      </w:r>
      <w:r w:rsidR="00996536">
        <w:rPr>
          <w:rFonts w:ascii="Arial" w:eastAsia="Arial" w:hAnsi="Arial" w:cs="Arial"/>
        </w:rPr>
        <w:t>6</w:t>
      </w:r>
      <w:r w:rsidRPr="0074547A">
        <w:rPr>
          <w:rFonts w:ascii="Arial" w:eastAsia="Arial" w:hAnsi="Arial" w:cs="Arial"/>
        </w:rPr>
        <w:t>, 202</w:t>
      </w:r>
      <w:r w:rsidR="00780225">
        <w:rPr>
          <w:rFonts w:ascii="Arial" w:eastAsia="Arial" w:hAnsi="Arial" w:cs="Arial"/>
        </w:rPr>
        <w:t>1</w:t>
      </w:r>
    </w:p>
    <w:p w14:paraId="4DFD9B43" w14:textId="77777777" w:rsidR="00A8034F" w:rsidRPr="0074547A" w:rsidRDefault="008B37D7">
      <w:pPr>
        <w:tabs>
          <w:tab w:val="left" w:pos="9180"/>
        </w:tabs>
        <w:spacing w:before="240" w:after="380"/>
        <w:ind w:left="5760" w:hanging="5760"/>
        <w:rPr>
          <w:rFonts w:ascii="Arial" w:eastAsia="Arial" w:hAnsi="Arial" w:cs="Arial"/>
        </w:rPr>
      </w:pPr>
      <w:r w:rsidRPr="0074547A">
        <w:rPr>
          <w:rFonts w:ascii="Arial" w:eastAsia="Arial" w:hAnsi="Arial" w:cs="Arial"/>
        </w:rPr>
        <w:tab/>
      </w:r>
    </w:p>
    <w:tbl>
      <w:tblPr>
        <w:tblW w:w="9360" w:type="dxa"/>
        <w:jc w:val="center"/>
        <w:tblLayout w:type="fixed"/>
        <w:tblCellMar>
          <w:left w:w="10" w:type="dxa"/>
          <w:right w:w="10" w:type="dxa"/>
        </w:tblCellMar>
        <w:tblLook w:val="04A0" w:firstRow="1" w:lastRow="0" w:firstColumn="1" w:lastColumn="0" w:noHBand="0" w:noVBand="1"/>
      </w:tblPr>
      <w:tblGrid>
        <w:gridCol w:w="5360"/>
        <w:gridCol w:w="4000"/>
      </w:tblGrid>
      <w:tr w:rsidR="00A8034F" w:rsidRPr="0074547A" w14:paraId="59FE7C68" w14:textId="77777777">
        <w:trPr>
          <w:trHeight w:hRule="exact" w:val="340"/>
          <w:jc w:val="center"/>
        </w:trPr>
        <w:tc>
          <w:tcPr>
            <w:tcW w:w="5360" w:type="dxa"/>
            <w:tcMar>
              <w:left w:w="0" w:type="dxa"/>
              <w:right w:w="60" w:type="dxa"/>
            </w:tcMar>
            <w:vAlign w:val="bottom"/>
          </w:tcPr>
          <w:p w14:paraId="153A44B7"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776ADF1E" w14:textId="0EEFFD89" w:rsidR="00A8034F" w:rsidRPr="0074547A" w:rsidRDefault="00196534">
            <w:pPr>
              <w:keepNext/>
              <w:keepLines/>
              <w:spacing w:before="40" w:after="40"/>
              <w:rPr>
                <w:rFonts w:ascii="Arial" w:eastAsia="Arial" w:hAnsi="Arial" w:cs="Arial"/>
              </w:rPr>
            </w:pPr>
            <w:r>
              <w:rPr>
                <w:rFonts w:ascii="Arial" w:eastAsia="Arial" w:hAnsi="Arial" w:cs="Arial"/>
                <w:color w:val="000000"/>
              </w:rPr>
              <w:t>Steve Goertz</w:t>
            </w:r>
          </w:p>
        </w:tc>
      </w:tr>
      <w:tr w:rsidR="00A8034F" w:rsidRPr="0074547A" w14:paraId="54D6B096" w14:textId="77777777">
        <w:trPr>
          <w:trHeight w:hRule="exact" w:val="340"/>
          <w:jc w:val="center"/>
        </w:trPr>
        <w:tc>
          <w:tcPr>
            <w:tcW w:w="5360" w:type="dxa"/>
            <w:tcMar>
              <w:left w:w="0" w:type="dxa"/>
              <w:right w:w="60" w:type="dxa"/>
            </w:tcMar>
            <w:vAlign w:val="bottom"/>
          </w:tcPr>
          <w:p w14:paraId="12F77B06"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3B375578"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Name of Director or Senior Officer</w:t>
            </w:r>
          </w:p>
        </w:tc>
      </w:tr>
      <w:tr w:rsidR="00A8034F" w:rsidRPr="0074547A" w14:paraId="4D2213F4" w14:textId="77777777">
        <w:trPr>
          <w:trHeight w:hRule="exact" w:val="340"/>
          <w:jc w:val="center"/>
        </w:trPr>
        <w:tc>
          <w:tcPr>
            <w:tcW w:w="5360" w:type="dxa"/>
            <w:tcMar>
              <w:left w:w="0" w:type="dxa"/>
              <w:right w:w="60" w:type="dxa"/>
            </w:tcMar>
            <w:vAlign w:val="bottom"/>
          </w:tcPr>
          <w:p w14:paraId="4B415C15"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2576798E" w14:textId="77777777" w:rsidR="00A8034F" w:rsidRPr="0074547A" w:rsidRDefault="00A8034F">
            <w:pPr>
              <w:keepNext/>
              <w:keepLines/>
              <w:spacing w:before="40" w:after="40"/>
              <w:rPr>
                <w:rFonts w:ascii="Arial" w:hAnsi="Arial" w:cs="Arial"/>
              </w:rPr>
            </w:pPr>
          </w:p>
        </w:tc>
      </w:tr>
      <w:tr w:rsidR="00A8034F" w:rsidRPr="0074547A" w14:paraId="245D7D0A" w14:textId="77777777">
        <w:trPr>
          <w:trHeight w:hRule="exact" w:val="340"/>
          <w:jc w:val="center"/>
        </w:trPr>
        <w:tc>
          <w:tcPr>
            <w:tcW w:w="5360" w:type="dxa"/>
            <w:tcMar>
              <w:left w:w="0" w:type="dxa"/>
              <w:right w:w="60" w:type="dxa"/>
            </w:tcMar>
            <w:vAlign w:val="bottom"/>
          </w:tcPr>
          <w:p w14:paraId="2F64498A"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3565FB11" w14:textId="79884C0E" w:rsidR="00A8034F" w:rsidRPr="0074547A" w:rsidRDefault="008B5B64">
            <w:pPr>
              <w:keepNext/>
              <w:keepLines/>
              <w:spacing w:before="40" w:after="40"/>
              <w:rPr>
                <w:rFonts w:ascii="Arial" w:eastAsia="Arial" w:hAnsi="Arial" w:cs="Arial"/>
              </w:rPr>
            </w:pPr>
            <w:r w:rsidRPr="0074547A">
              <w:rPr>
                <w:rFonts w:ascii="Arial" w:eastAsia="Arial" w:hAnsi="Arial" w:cs="Arial"/>
              </w:rPr>
              <w:t>/s/</w:t>
            </w:r>
            <w:r w:rsidR="002051FA">
              <w:rPr>
                <w:rFonts w:ascii="Arial" w:eastAsia="Arial" w:hAnsi="Arial" w:cs="Arial"/>
              </w:rPr>
              <w:t>Steve Goertz</w:t>
            </w:r>
            <w:r w:rsidRPr="0074547A">
              <w:rPr>
                <w:rFonts w:ascii="Arial" w:eastAsia="Arial" w:hAnsi="Arial" w:cs="Arial"/>
              </w:rPr>
              <w:t xml:space="preserve"> </w:t>
            </w:r>
          </w:p>
        </w:tc>
      </w:tr>
      <w:tr w:rsidR="00A8034F" w:rsidRPr="0074547A" w14:paraId="0B5403CC" w14:textId="77777777">
        <w:trPr>
          <w:trHeight w:hRule="exact" w:val="340"/>
          <w:jc w:val="center"/>
        </w:trPr>
        <w:tc>
          <w:tcPr>
            <w:tcW w:w="5360" w:type="dxa"/>
            <w:tcMar>
              <w:left w:w="0" w:type="dxa"/>
              <w:right w:w="60" w:type="dxa"/>
            </w:tcMar>
            <w:vAlign w:val="bottom"/>
          </w:tcPr>
          <w:p w14:paraId="3192B583"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644A2400"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Signature</w:t>
            </w:r>
          </w:p>
        </w:tc>
      </w:tr>
      <w:tr w:rsidR="00A8034F" w:rsidRPr="0074547A" w14:paraId="032DA437" w14:textId="77777777">
        <w:trPr>
          <w:trHeight w:hRule="exact" w:val="300"/>
          <w:jc w:val="center"/>
        </w:trPr>
        <w:tc>
          <w:tcPr>
            <w:tcW w:w="5360" w:type="dxa"/>
            <w:tcMar>
              <w:left w:w="0" w:type="dxa"/>
              <w:right w:w="60" w:type="dxa"/>
            </w:tcMar>
            <w:vAlign w:val="bottom"/>
          </w:tcPr>
          <w:p w14:paraId="31225CE3"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0E5237A6" w14:textId="77777777" w:rsidR="00A8034F" w:rsidRPr="0074547A" w:rsidRDefault="00A8034F">
            <w:pPr>
              <w:keepNext/>
              <w:keepLines/>
              <w:spacing w:before="40" w:after="40"/>
              <w:rPr>
                <w:rFonts w:ascii="Arial" w:hAnsi="Arial" w:cs="Arial"/>
              </w:rPr>
            </w:pPr>
          </w:p>
        </w:tc>
      </w:tr>
      <w:tr w:rsidR="00A8034F" w:rsidRPr="0074547A" w14:paraId="3BB6F67E" w14:textId="77777777">
        <w:trPr>
          <w:trHeight w:hRule="exact" w:val="300"/>
          <w:jc w:val="center"/>
        </w:trPr>
        <w:tc>
          <w:tcPr>
            <w:tcW w:w="5360" w:type="dxa"/>
            <w:tcMar>
              <w:left w:w="0" w:type="dxa"/>
              <w:right w:w="60" w:type="dxa"/>
            </w:tcMar>
            <w:vAlign w:val="bottom"/>
          </w:tcPr>
          <w:p w14:paraId="09017B58"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18E59CA4"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Chief Financial Officer</w:t>
            </w:r>
          </w:p>
        </w:tc>
      </w:tr>
      <w:tr w:rsidR="00A8034F" w:rsidRPr="0074547A" w14:paraId="4044077F" w14:textId="77777777">
        <w:trPr>
          <w:trHeight w:hRule="exact" w:val="300"/>
          <w:jc w:val="center"/>
        </w:trPr>
        <w:tc>
          <w:tcPr>
            <w:tcW w:w="5360" w:type="dxa"/>
            <w:tcMar>
              <w:left w:w="0" w:type="dxa"/>
              <w:right w:w="60" w:type="dxa"/>
            </w:tcMar>
            <w:vAlign w:val="bottom"/>
          </w:tcPr>
          <w:p w14:paraId="751B0FD5" w14:textId="77777777" w:rsidR="00A8034F" w:rsidRPr="0074547A" w:rsidRDefault="00A8034F">
            <w:pPr>
              <w:keepLines/>
              <w:spacing w:before="40" w:after="40"/>
              <w:rPr>
                <w:rFonts w:ascii="Arial" w:hAnsi="Arial" w:cs="Arial"/>
              </w:rPr>
            </w:pPr>
          </w:p>
        </w:tc>
        <w:tc>
          <w:tcPr>
            <w:tcW w:w="4000" w:type="dxa"/>
            <w:tcMar>
              <w:left w:w="60" w:type="dxa"/>
              <w:right w:w="40" w:type="dxa"/>
            </w:tcMar>
            <w:vAlign w:val="bottom"/>
          </w:tcPr>
          <w:p w14:paraId="2A3B4EA0" w14:textId="77777777" w:rsidR="00A8034F" w:rsidRPr="0074547A" w:rsidRDefault="008B37D7">
            <w:pPr>
              <w:keepLines/>
              <w:spacing w:before="40" w:after="40"/>
              <w:rPr>
                <w:rFonts w:ascii="Arial" w:eastAsia="Arial" w:hAnsi="Arial" w:cs="Arial"/>
              </w:rPr>
            </w:pPr>
            <w:r w:rsidRPr="0074547A">
              <w:rPr>
                <w:rFonts w:ascii="Arial" w:eastAsia="Arial" w:hAnsi="Arial" w:cs="Arial"/>
                <w:color w:val="000000"/>
              </w:rPr>
              <w:t>Official Capacity</w:t>
            </w:r>
          </w:p>
        </w:tc>
      </w:tr>
    </w:tbl>
    <w:p w14:paraId="0CE075E5" w14:textId="77777777" w:rsidR="00A8034F" w:rsidRPr="0074547A" w:rsidRDefault="00A8034F">
      <w:pPr>
        <w:tabs>
          <w:tab w:val="left" w:pos="9180"/>
        </w:tabs>
        <w:spacing w:before="60" w:after="140"/>
        <w:ind w:left="5760"/>
        <w:rPr>
          <w:rFonts w:ascii="Arial" w:eastAsia="Arial" w:hAnsi="Arial" w:cs="Arial"/>
        </w:rPr>
      </w:pPr>
    </w:p>
    <w:tbl>
      <w:tblPr>
        <w:tblW w:w="9580" w:type="dxa"/>
        <w:tblInd w:w="60" w:type="dxa"/>
        <w:tblLayout w:type="fixed"/>
        <w:tblCellMar>
          <w:left w:w="10" w:type="dxa"/>
          <w:right w:w="10" w:type="dxa"/>
        </w:tblCellMar>
        <w:tblLook w:val="04A0" w:firstRow="1" w:lastRow="0" w:firstColumn="1" w:lastColumn="0" w:noHBand="0" w:noVBand="1"/>
      </w:tblPr>
      <w:tblGrid>
        <w:gridCol w:w="4880"/>
        <w:gridCol w:w="1800"/>
        <w:gridCol w:w="2900"/>
      </w:tblGrid>
      <w:tr w:rsidR="00A8034F" w:rsidRPr="0074547A" w14:paraId="0513B610" w14:textId="77777777" w:rsidTr="00AF698C">
        <w:trPr>
          <w:trHeight w:hRule="exact" w:val="148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1A17951B" w14:textId="77777777" w:rsidR="00A8034F" w:rsidRPr="0074547A" w:rsidRDefault="008B37D7">
            <w:pPr>
              <w:keepNext/>
              <w:keepLines/>
              <w:spacing w:before="40"/>
              <w:rPr>
                <w:rFonts w:ascii="Arial" w:eastAsia="Arial" w:hAnsi="Arial" w:cs="Arial"/>
                <w:b/>
                <w:i/>
              </w:rPr>
            </w:pPr>
            <w:r w:rsidRPr="0074547A">
              <w:rPr>
                <w:rFonts w:ascii="Arial" w:eastAsia="Arial" w:hAnsi="Arial" w:cs="Arial"/>
                <w:b/>
                <w:i/>
              </w:rPr>
              <w:lastRenderedPageBreak/>
              <w:t>Issuer Details</w:t>
            </w:r>
          </w:p>
          <w:p w14:paraId="15BFE828" w14:textId="77777777" w:rsidR="00A8034F" w:rsidRPr="0074547A" w:rsidRDefault="008B37D7">
            <w:pPr>
              <w:keepNext/>
              <w:keepLines/>
              <w:rPr>
                <w:rFonts w:ascii="Arial" w:eastAsia="Arial" w:hAnsi="Arial" w:cs="Arial"/>
              </w:rPr>
            </w:pPr>
            <w:r w:rsidRPr="0074547A">
              <w:rPr>
                <w:rFonts w:ascii="Arial" w:eastAsia="Arial" w:hAnsi="Arial" w:cs="Arial"/>
              </w:rPr>
              <w:t>Name of Issuer</w:t>
            </w:r>
          </w:p>
          <w:p w14:paraId="7E39F49C" w14:textId="77777777" w:rsidR="00A8034F" w:rsidRPr="0074547A" w:rsidRDefault="008B37D7">
            <w:pPr>
              <w:keepNext/>
              <w:keepLines/>
              <w:spacing w:before="240" w:after="40"/>
              <w:rPr>
                <w:rFonts w:ascii="Arial" w:eastAsia="Arial" w:hAnsi="Arial" w:cs="Arial"/>
              </w:rPr>
            </w:pPr>
            <w:r w:rsidRPr="0074547A">
              <w:rPr>
                <w:rFonts w:ascii="Arial" w:eastAsia="Arial" w:hAnsi="Arial" w:cs="Arial"/>
              </w:rPr>
              <w:t>Acreage Holdings, Inc.</w:t>
            </w: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1069F9B7" w14:textId="77777777" w:rsidR="00A8034F" w:rsidRPr="0074547A" w:rsidRDefault="008B37D7">
            <w:pPr>
              <w:keepNext/>
              <w:keepLines/>
              <w:spacing w:before="40"/>
              <w:rPr>
                <w:rFonts w:ascii="Arial" w:eastAsia="Arial" w:hAnsi="Arial" w:cs="Arial"/>
              </w:rPr>
            </w:pPr>
            <w:r w:rsidRPr="0074547A">
              <w:rPr>
                <w:rFonts w:ascii="Arial" w:eastAsia="Arial" w:hAnsi="Arial" w:cs="Arial"/>
              </w:rPr>
              <w:t>For Month End</w:t>
            </w:r>
          </w:p>
          <w:p w14:paraId="4C9D8A77" w14:textId="7842649C" w:rsidR="00A8034F" w:rsidRPr="0074547A" w:rsidRDefault="00AB57FF">
            <w:pPr>
              <w:keepNext/>
              <w:keepLines/>
              <w:rPr>
                <w:rFonts w:ascii="Arial" w:eastAsia="Arial" w:hAnsi="Arial" w:cs="Arial"/>
              </w:rPr>
            </w:pPr>
            <w:r>
              <w:rPr>
                <w:rFonts w:ascii="Arial" w:eastAsia="Arial" w:hAnsi="Arial" w:cs="Arial"/>
              </w:rPr>
              <w:t>September</w:t>
            </w:r>
            <w:r w:rsidR="00E87CF6" w:rsidRPr="0074547A">
              <w:rPr>
                <w:rFonts w:ascii="Arial" w:eastAsia="Arial" w:hAnsi="Arial" w:cs="Arial"/>
              </w:rPr>
              <w:t xml:space="preserve"> </w:t>
            </w:r>
            <w:r w:rsidR="008B37D7" w:rsidRPr="0074547A">
              <w:rPr>
                <w:rFonts w:ascii="Arial" w:eastAsia="Arial" w:hAnsi="Arial" w:cs="Arial"/>
              </w:rPr>
              <w:t>202</w:t>
            </w:r>
            <w:r w:rsidR="00196534">
              <w:rPr>
                <w:rFonts w:ascii="Arial" w:eastAsia="Arial" w:hAnsi="Arial" w:cs="Arial"/>
              </w:rPr>
              <w:t>1</w:t>
            </w:r>
          </w:p>
          <w:p w14:paraId="52D5DEC8" w14:textId="77777777" w:rsidR="00A8034F" w:rsidRPr="0074547A" w:rsidRDefault="00A8034F">
            <w:pPr>
              <w:keepNext/>
              <w:keepLines/>
              <w:spacing w:after="40"/>
              <w:rPr>
                <w:rFonts w:ascii="Arial" w:hAnsi="Arial" w:cs="Arial"/>
              </w:rPr>
            </w:pP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1D0798B" w14:textId="77777777" w:rsidR="00A8034F" w:rsidRPr="0074547A" w:rsidRDefault="008B37D7">
            <w:pPr>
              <w:keepNext/>
              <w:keepLines/>
              <w:spacing w:before="40"/>
              <w:rPr>
                <w:rFonts w:ascii="Arial" w:eastAsia="Arial" w:hAnsi="Arial" w:cs="Arial"/>
              </w:rPr>
            </w:pPr>
            <w:r w:rsidRPr="0074547A">
              <w:rPr>
                <w:rFonts w:ascii="Arial" w:eastAsia="Arial" w:hAnsi="Arial" w:cs="Arial"/>
              </w:rPr>
              <w:t>Date of Report</w:t>
            </w:r>
          </w:p>
          <w:p w14:paraId="65D3AFFF" w14:textId="2A325C44" w:rsidR="00A8034F" w:rsidRPr="0074547A" w:rsidRDefault="008B37D7">
            <w:pPr>
              <w:keepNext/>
              <w:keepLines/>
              <w:spacing w:after="40"/>
              <w:rPr>
                <w:rFonts w:ascii="Arial" w:eastAsia="Arial" w:hAnsi="Arial" w:cs="Arial"/>
              </w:rPr>
            </w:pPr>
            <w:r w:rsidRPr="0074547A">
              <w:rPr>
                <w:rFonts w:ascii="Arial" w:eastAsia="Arial" w:hAnsi="Arial" w:cs="Arial"/>
              </w:rPr>
              <w:t>YY/MM/D</w:t>
            </w:r>
            <w:r w:rsidR="00250AEB" w:rsidRPr="0074547A">
              <w:rPr>
                <w:rFonts w:ascii="Arial" w:eastAsia="Arial" w:hAnsi="Arial" w:cs="Arial"/>
              </w:rPr>
              <w:t>D</w:t>
            </w:r>
            <w:r w:rsidRPr="0074547A">
              <w:rPr>
                <w:rFonts w:ascii="Arial" w:hAnsi="Arial" w:cs="Arial"/>
              </w:rPr>
              <w:t xml:space="preserve">  </w:t>
            </w:r>
            <w:r w:rsidRPr="0074547A">
              <w:rPr>
                <w:rFonts w:ascii="Arial" w:hAnsi="Arial" w:cs="Arial"/>
              </w:rPr>
              <w:br/>
            </w:r>
            <w:r w:rsidRPr="0074547A">
              <w:rPr>
                <w:rFonts w:ascii="Arial" w:eastAsia="Arial" w:hAnsi="Arial" w:cs="Arial"/>
              </w:rPr>
              <w:t>2</w:t>
            </w:r>
            <w:r w:rsidR="00196534">
              <w:rPr>
                <w:rFonts w:ascii="Arial" w:eastAsia="Arial" w:hAnsi="Arial" w:cs="Arial"/>
              </w:rPr>
              <w:t>1</w:t>
            </w:r>
            <w:r w:rsidRPr="0074547A">
              <w:rPr>
                <w:rFonts w:ascii="Arial" w:eastAsia="Arial" w:hAnsi="Arial" w:cs="Arial"/>
              </w:rPr>
              <w:t>/</w:t>
            </w:r>
            <w:r w:rsidR="00AB57FF">
              <w:rPr>
                <w:rFonts w:ascii="Arial" w:eastAsia="Arial" w:hAnsi="Arial" w:cs="Arial"/>
              </w:rPr>
              <w:t>10</w:t>
            </w:r>
            <w:r w:rsidR="0074547A">
              <w:rPr>
                <w:rFonts w:ascii="Arial" w:eastAsia="Arial" w:hAnsi="Arial" w:cs="Arial"/>
              </w:rPr>
              <w:t>/</w:t>
            </w:r>
            <w:r w:rsidR="00196534">
              <w:rPr>
                <w:rFonts w:ascii="Arial" w:eastAsia="Arial" w:hAnsi="Arial" w:cs="Arial"/>
              </w:rPr>
              <w:t>0</w:t>
            </w:r>
            <w:r w:rsidR="00996536">
              <w:rPr>
                <w:rFonts w:ascii="Arial" w:eastAsia="Arial" w:hAnsi="Arial" w:cs="Arial"/>
              </w:rPr>
              <w:t>6</w:t>
            </w:r>
          </w:p>
        </w:tc>
      </w:tr>
      <w:tr w:rsidR="00415788" w:rsidRPr="0074547A" w14:paraId="3694C436" w14:textId="77777777" w:rsidTr="00662C32">
        <w:trPr>
          <w:trHeight w:hRule="exact" w:val="895"/>
        </w:trPr>
        <w:tc>
          <w:tcPr>
            <w:tcW w:w="9580" w:type="dxa"/>
            <w:gridSpan w:val="3"/>
            <w:tcBorders>
              <w:left w:val="single" w:sz="8" w:space="0" w:color="00000A"/>
              <w:right w:val="single" w:sz="8" w:space="0" w:color="00000A"/>
            </w:tcBorders>
            <w:tcMar>
              <w:left w:w="60" w:type="dxa"/>
              <w:right w:w="40" w:type="dxa"/>
            </w:tcMar>
          </w:tcPr>
          <w:p w14:paraId="603C30EB"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Address</w:t>
            </w:r>
          </w:p>
          <w:p w14:paraId="002D8E8D" w14:textId="0D28D329" w:rsidR="00A8034F" w:rsidRPr="0074547A" w:rsidRDefault="003B3E0E">
            <w:pPr>
              <w:keepNext/>
              <w:keepLines/>
              <w:spacing w:after="40"/>
              <w:rPr>
                <w:rFonts w:ascii="Arial" w:eastAsia="Arial" w:hAnsi="Arial" w:cs="Arial"/>
              </w:rPr>
            </w:pPr>
            <w:r w:rsidRPr="0074547A">
              <w:rPr>
                <w:rFonts w:ascii="Arial" w:eastAsia="Arial" w:hAnsi="Arial" w:cs="Arial"/>
              </w:rPr>
              <w:t>450 Lexington Avenue, #3308</w:t>
            </w:r>
          </w:p>
        </w:tc>
      </w:tr>
      <w:tr w:rsidR="00A8034F" w:rsidRPr="0074547A" w14:paraId="5A394B8E" w14:textId="77777777">
        <w:trPr>
          <w:trHeight w:hRule="exact" w:val="80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04380C82" w14:textId="77777777" w:rsidR="00A8034F" w:rsidRPr="0074547A" w:rsidRDefault="008B37D7">
            <w:pPr>
              <w:keepNext/>
              <w:keepLines/>
              <w:spacing w:before="40"/>
              <w:rPr>
                <w:rFonts w:ascii="Arial" w:eastAsia="Arial" w:hAnsi="Arial" w:cs="Arial"/>
              </w:rPr>
            </w:pPr>
            <w:r w:rsidRPr="0074547A">
              <w:rPr>
                <w:rFonts w:ascii="Arial" w:eastAsia="Arial" w:hAnsi="Arial" w:cs="Arial"/>
              </w:rPr>
              <w:t>City/Province/Postal Code</w:t>
            </w:r>
          </w:p>
          <w:p w14:paraId="7544963D" w14:textId="0A70B9EF" w:rsidR="00A8034F" w:rsidRPr="0074547A" w:rsidRDefault="008B37D7">
            <w:pPr>
              <w:keepNext/>
              <w:keepLines/>
              <w:rPr>
                <w:rFonts w:ascii="Arial" w:eastAsia="Arial" w:hAnsi="Arial" w:cs="Arial"/>
              </w:rPr>
            </w:pPr>
            <w:r w:rsidRPr="0074547A">
              <w:rPr>
                <w:rFonts w:ascii="Arial" w:eastAsia="Arial" w:hAnsi="Arial" w:cs="Arial"/>
              </w:rPr>
              <w:t>New York, New York 10</w:t>
            </w:r>
            <w:r w:rsidR="003B3E0E" w:rsidRPr="0074547A">
              <w:rPr>
                <w:rFonts w:ascii="Arial" w:eastAsia="Arial" w:hAnsi="Arial" w:cs="Arial"/>
              </w:rPr>
              <w:t>163</w:t>
            </w:r>
          </w:p>
          <w:p w14:paraId="63449925"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59B40B5D"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Fax No.</w:t>
            </w:r>
          </w:p>
          <w:p w14:paraId="6B24D057" w14:textId="77777777" w:rsidR="00A8034F" w:rsidRPr="0074547A" w:rsidRDefault="008B37D7">
            <w:pPr>
              <w:keepNext/>
              <w:keepLines/>
              <w:spacing w:after="40"/>
              <w:rPr>
                <w:rFonts w:ascii="Arial" w:eastAsia="Arial" w:hAnsi="Arial" w:cs="Arial"/>
              </w:rPr>
            </w:pPr>
            <w:r w:rsidRPr="0074547A">
              <w:rPr>
                <w:rFonts w:ascii="Arial" w:eastAsia="Arial" w:hAnsi="Arial" w:cs="Arial"/>
              </w:rPr>
              <w:t>(212)</w:t>
            </w:r>
            <w:r w:rsidRPr="0074547A">
              <w:rPr>
                <w:rFonts w:ascii="Arial" w:hAnsi="Arial" w:cs="Arial"/>
              </w:rPr>
              <w:t xml:space="preserve"> </w:t>
            </w:r>
            <w:r w:rsidRPr="0074547A">
              <w:rPr>
                <w:rFonts w:ascii="Arial" w:eastAsia="Arial" w:hAnsi="Arial" w:cs="Arial"/>
              </w:rPr>
              <w:t>428-6770</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E598679"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Telephone No.</w:t>
            </w:r>
          </w:p>
          <w:p w14:paraId="4B88CD50"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A8034F" w:rsidRPr="0074547A" w14:paraId="613ED6D0" w14:textId="77777777" w:rsidTr="00662C32">
        <w:trPr>
          <w:trHeight w:hRule="exact" w:val="1093"/>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63146A17"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Name</w:t>
            </w:r>
          </w:p>
          <w:p w14:paraId="2136D697" w14:textId="0911A0E7" w:rsidR="00A8034F" w:rsidRPr="0074547A" w:rsidRDefault="00196534">
            <w:pPr>
              <w:keepNext/>
              <w:keepLines/>
              <w:rPr>
                <w:rFonts w:ascii="Arial" w:eastAsia="Arial" w:hAnsi="Arial" w:cs="Arial"/>
              </w:rPr>
            </w:pPr>
            <w:r>
              <w:rPr>
                <w:rFonts w:ascii="Arial" w:eastAsia="Arial" w:hAnsi="Arial" w:cs="Arial"/>
              </w:rPr>
              <w:t>Steve Goertz</w:t>
            </w:r>
          </w:p>
          <w:p w14:paraId="4FD3175A"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7033AFE2"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Contact Position</w:t>
            </w:r>
            <w:r w:rsidRPr="0074547A">
              <w:rPr>
                <w:rFonts w:ascii="Arial" w:eastAsia="Arial" w:hAnsi="Arial" w:cs="Arial"/>
                <w:color w:val="000000"/>
              </w:rPr>
              <w:br/>
              <w:t>CFO</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09EF694A"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Telephone No.</w:t>
            </w:r>
          </w:p>
          <w:p w14:paraId="40A6FCD9"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415788" w:rsidRPr="0074547A" w14:paraId="540123FA" w14:textId="77777777" w:rsidTr="00662C32">
        <w:trPr>
          <w:trHeight w:hRule="exact" w:val="832"/>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42C3DC6D" w14:textId="52FB32F9" w:rsidR="00A8034F" w:rsidRPr="0074547A" w:rsidRDefault="008B37D7">
            <w:pPr>
              <w:keepLines/>
              <w:spacing w:before="40" w:after="40"/>
              <w:rPr>
                <w:rFonts w:ascii="Arial" w:eastAsia="Arial" w:hAnsi="Arial" w:cs="Arial"/>
              </w:rPr>
            </w:pPr>
            <w:r w:rsidRPr="0074547A">
              <w:rPr>
                <w:rFonts w:ascii="Arial" w:eastAsia="Arial" w:hAnsi="Arial" w:cs="Arial"/>
                <w:color w:val="000000"/>
              </w:rPr>
              <w:t>Contact Email Address</w:t>
            </w:r>
            <w:r w:rsidRPr="0074547A">
              <w:rPr>
                <w:rFonts w:ascii="Arial" w:eastAsia="Arial" w:hAnsi="Arial" w:cs="Arial"/>
                <w:color w:val="000000"/>
              </w:rPr>
              <w:br/>
            </w:r>
            <w:r w:rsidR="00196534">
              <w:rPr>
                <w:rFonts w:ascii="Arial" w:eastAsia="Arial" w:hAnsi="Arial" w:cs="Arial"/>
                <w:color w:val="000000"/>
              </w:rPr>
              <w:t>s.goertz@acreageholdings.com</w:t>
            </w:r>
          </w:p>
        </w:tc>
        <w:tc>
          <w:tcPr>
            <w:tcW w:w="4700" w:type="dxa"/>
            <w:gridSpan w:val="2"/>
            <w:tcBorders>
              <w:left w:val="single" w:sz="16" w:space="0" w:color="auto"/>
              <w:bottom w:val="single" w:sz="16" w:space="0" w:color="auto"/>
              <w:right w:val="single" w:sz="8" w:space="0" w:color="00000A"/>
            </w:tcBorders>
            <w:tcMar>
              <w:left w:w="60" w:type="dxa"/>
              <w:right w:w="40" w:type="dxa"/>
            </w:tcMar>
          </w:tcPr>
          <w:p w14:paraId="6EEC2CE4" w14:textId="77777777" w:rsidR="00A8034F" w:rsidRPr="0074547A" w:rsidRDefault="008B37D7">
            <w:pPr>
              <w:keepLines/>
              <w:spacing w:before="40"/>
              <w:rPr>
                <w:rFonts w:ascii="Arial" w:eastAsia="Arial" w:hAnsi="Arial" w:cs="Arial"/>
              </w:rPr>
            </w:pPr>
            <w:r w:rsidRPr="0074547A">
              <w:rPr>
                <w:rFonts w:ascii="Arial" w:eastAsia="Arial" w:hAnsi="Arial" w:cs="Arial"/>
              </w:rPr>
              <w:t>Web Site Address</w:t>
            </w:r>
          </w:p>
          <w:p w14:paraId="75832B39" w14:textId="77777777" w:rsidR="00A8034F" w:rsidRPr="0074547A" w:rsidRDefault="008B37D7">
            <w:pPr>
              <w:keepLines/>
              <w:spacing w:after="40"/>
              <w:rPr>
                <w:rFonts w:ascii="Arial" w:eastAsia="Arial" w:hAnsi="Arial" w:cs="Arial"/>
              </w:rPr>
            </w:pPr>
            <w:r w:rsidRPr="0074547A">
              <w:rPr>
                <w:rFonts w:ascii="Arial" w:eastAsia="Arial" w:hAnsi="Arial" w:cs="Arial"/>
              </w:rPr>
              <w:t>https://www.acreageholdings.com/about/</w:t>
            </w:r>
          </w:p>
        </w:tc>
      </w:tr>
    </w:tbl>
    <w:p w14:paraId="4ACE13DF" w14:textId="77777777" w:rsidR="008B37D7" w:rsidRPr="0074547A" w:rsidRDefault="008B37D7">
      <w:pPr>
        <w:rPr>
          <w:rFonts w:ascii="Arial" w:hAnsi="Arial" w:cs="Arial"/>
        </w:rPr>
      </w:pPr>
    </w:p>
    <w:sectPr w:rsidR="008B37D7" w:rsidRPr="0074547A">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160" w:footer="44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D844" w14:textId="77777777" w:rsidR="00295650" w:rsidRDefault="00295650">
      <w:r>
        <w:separator/>
      </w:r>
    </w:p>
  </w:endnote>
  <w:endnote w:type="continuationSeparator" w:id="0">
    <w:p w14:paraId="50EE5D95" w14:textId="77777777" w:rsidR="00295650" w:rsidRDefault="0029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B366"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45E65FFC" w14:textId="77777777">
      <w:trPr>
        <w:trHeight w:hRule="exact" w:val="80"/>
        <w:jc w:val="center"/>
      </w:trPr>
      <w:tc>
        <w:tcPr>
          <w:tcW w:w="3120" w:type="dxa"/>
          <w:tcBorders>
            <w:top w:val="single" w:sz="8" w:space="0" w:color="auto"/>
          </w:tcBorders>
          <w:tcMar>
            <w:left w:w="60" w:type="dxa"/>
            <w:right w:w="0" w:type="dxa"/>
          </w:tcMar>
          <w:vAlign w:val="bottom"/>
        </w:tcPr>
        <w:p w14:paraId="68732219" w14:textId="77777777" w:rsidR="00587C1C" w:rsidRDefault="00587C1C">
          <w:pPr>
            <w:keepLines/>
          </w:pPr>
        </w:p>
      </w:tc>
      <w:tc>
        <w:tcPr>
          <w:tcW w:w="3120" w:type="dxa"/>
          <w:tcBorders>
            <w:top w:val="single" w:sz="8" w:space="0" w:color="auto"/>
          </w:tcBorders>
          <w:tcMar>
            <w:left w:w="60" w:type="dxa"/>
            <w:right w:w="0" w:type="dxa"/>
          </w:tcMar>
          <w:vAlign w:val="bottom"/>
        </w:tcPr>
        <w:p w14:paraId="23F01551" w14:textId="77777777" w:rsidR="00587C1C" w:rsidRDefault="00587C1C">
          <w:pPr>
            <w:keepLines/>
          </w:pPr>
        </w:p>
      </w:tc>
      <w:tc>
        <w:tcPr>
          <w:tcW w:w="3120" w:type="dxa"/>
          <w:tcBorders>
            <w:top w:val="single" w:sz="8" w:space="0" w:color="auto"/>
          </w:tcBorders>
          <w:tcMar>
            <w:left w:w="60" w:type="dxa"/>
            <w:right w:w="0" w:type="dxa"/>
          </w:tcMar>
          <w:vAlign w:val="bottom"/>
        </w:tcPr>
        <w:p w14:paraId="4C6E7E0C" w14:textId="77777777" w:rsidR="00587C1C" w:rsidRDefault="00587C1C">
          <w:pPr>
            <w:keepLines/>
          </w:pPr>
        </w:p>
      </w:tc>
    </w:tr>
  </w:tbl>
  <w:p w14:paraId="31FD2748"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57D8BBBD" w14:textId="2AA583C0" w:rsidR="00587C1C" w:rsidRDefault="00587C1C">
    <w:pPr>
      <w:tabs>
        <w:tab w:val="center" w:pos="4860"/>
        <w:tab w:val="right" w:pos="9360"/>
      </w:tabs>
      <w:spacing w:line="288" w:lineRule="auto"/>
      <w:jc w:val="center"/>
      <w:rPr>
        <w:rFonts w:ascii="Arial" w:eastAsia="Arial" w:hAnsi="Arial" w:cs="Arial"/>
        <w:sz w:val="16"/>
      </w:rPr>
    </w:pPr>
  </w:p>
  <w:p w14:paraId="30A71F8C"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FA79"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25D4015" w14:textId="77777777">
      <w:trPr>
        <w:trHeight w:hRule="exact" w:val="80"/>
        <w:jc w:val="center"/>
      </w:trPr>
      <w:tc>
        <w:tcPr>
          <w:tcW w:w="3120" w:type="dxa"/>
          <w:tcBorders>
            <w:top w:val="single" w:sz="8" w:space="0" w:color="auto"/>
          </w:tcBorders>
          <w:tcMar>
            <w:left w:w="60" w:type="dxa"/>
            <w:right w:w="0" w:type="dxa"/>
          </w:tcMar>
          <w:vAlign w:val="bottom"/>
        </w:tcPr>
        <w:p w14:paraId="3385B00D" w14:textId="77777777" w:rsidR="00587C1C" w:rsidRDefault="00587C1C">
          <w:pPr>
            <w:keepLines/>
          </w:pPr>
        </w:p>
      </w:tc>
      <w:tc>
        <w:tcPr>
          <w:tcW w:w="3120" w:type="dxa"/>
          <w:tcBorders>
            <w:top w:val="single" w:sz="8" w:space="0" w:color="auto"/>
          </w:tcBorders>
          <w:tcMar>
            <w:left w:w="60" w:type="dxa"/>
            <w:right w:w="0" w:type="dxa"/>
          </w:tcMar>
          <w:vAlign w:val="bottom"/>
        </w:tcPr>
        <w:p w14:paraId="2ABFB020" w14:textId="77777777" w:rsidR="00587C1C" w:rsidRDefault="00587C1C">
          <w:pPr>
            <w:keepLines/>
          </w:pPr>
        </w:p>
      </w:tc>
      <w:tc>
        <w:tcPr>
          <w:tcW w:w="3120" w:type="dxa"/>
          <w:tcBorders>
            <w:top w:val="single" w:sz="8" w:space="0" w:color="auto"/>
          </w:tcBorders>
          <w:tcMar>
            <w:left w:w="60" w:type="dxa"/>
            <w:right w:w="0" w:type="dxa"/>
          </w:tcMar>
          <w:vAlign w:val="bottom"/>
        </w:tcPr>
        <w:p w14:paraId="16D48775" w14:textId="77777777" w:rsidR="00587C1C" w:rsidRDefault="00587C1C">
          <w:pPr>
            <w:keepLines/>
          </w:pPr>
        </w:p>
      </w:tc>
    </w:tr>
  </w:tbl>
  <w:p w14:paraId="7E7068C0"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6EDA3AB"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D40"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BC54C2F" w14:textId="77777777">
      <w:trPr>
        <w:trHeight w:hRule="exact" w:val="80"/>
        <w:jc w:val="center"/>
      </w:trPr>
      <w:tc>
        <w:tcPr>
          <w:tcW w:w="3120" w:type="dxa"/>
          <w:tcBorders>
            <w:top w:val="single" w:sz="8" w:space="0" w:color="auto"/>
          </w:tcBorders>
          <w:tcMar>
            <w:left w:w="60" w:type="dxa"/>
            <w:right w:w="0" w:type="dxa"/>
          </w:tcMar>
          <w:vAlign w:val="bottom"/>
        </w:tcPr>
        <w:p w14:paraId="1E085E19" w14:textId="77777777" w:rsidR="00587C1C" w:rsidRDefault="00587C1C">
          <w:pPr>
            <w:keepLines/>
          </w:pPr>
        </w:p>
      </w:tc>
      <w:tc>
        <w:tcPr>
          <w:tcW w:w="3120" w:type="dxa"/>
          <w:tcBorders>
            <w:top w:val="single" w:sz="8" w:space="0" w:color="auto"/>
          </w:tcBorders>
          <w:tcMar>
            <w:left w:w="60" w:type="dxa"/>
            <w:right w:w="0" w:type="dxa"/>
          </w:tcMar>
          <w:vAlign w:val="bottom"/>
        </w:tcPr>
        <w:p w14:paraId="420EA37F" w14:textId="77777777" w:rsidR="00587C1C" w:rsidRDefault="00587C1C">
          <w:pPr>
            <w:keepLines/>
          </w:pPr>
        </w:p>
      </w:tc>
      <w:tc>
        <w:tcPr>
          <w:tcW w:w="3120" w:type="dxa"/>
          <w:tcBorders>
            <w:top w:val="single" w:sz="8" w:space="0" w:color="auto"/>
          </w:tcBorders>
          <w:tcMar>
            <w:left w:w="60" w:type="dxa"/>
            <w:right w:w="0" w:type="dxa"/>
          </w:tcMar>
          <w:vAlign w:val="bottom"/>
        </w:tcPr>
        <w:p w14:paraId="46A324BD" w14:textId="77777777" w:rsidR="00587C1C" w:rsidRDefault="00587C1C">
          <w:pPr>
            <w:keepLines/>
          </w:pPr>
        </w:p>
      </w:tc>
    </w:tr>
  </w:tbl>
  <w:p w14:paraId="5B08ABFF"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7721D7A"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AAB5" w14:textId="77777777" w:rsidR="00295650" w:rsidRDefault="00295650">
      <w:r>
        <w:separator/>
      </w:r>
    </w:p>
  </w:footnote>
  <w:footnote w:type="continuationSeparator" w:id="0">
    <w:p w14:paraId="0329E14E" w14:textId="77777777" w:rsidR="00295650" w:rsidRDefault="0029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EBE5" w14:textId="77777777" w:rsidR="00587C1C" w:rsidRDefault="00587C1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5D85" w14:textId="77777777" w:rsidR="00587C1C" w:rsidRDefault="00587C1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FE48" w14:textId="77777777" w:rsidR="00587C1C" w:rsidRDefault="00587C1C">
    <w:pPr>
      <w:tabs>
        <w:tab w:val="center" w:pos="4320"/>
        <w:tab w:val="right" w:pos="7820"/>
      </w:tabs>
      <w:spacing w:line="288" w:lineRule="aut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3E5"/>
    <w:multiLevelType w:val="hybridMultilevel"/>
    <w:tmpl w:val="7116D7B2"/>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73AC"/>
    <w:multiLevelType w:val="hybridMultilevel"/>
    <w:tmpl w:val="B770B57A"/>
    <w:lvl w:ilvl="0" w:tplc="A370832C">
      <w:start w:val="1"/>
      <w:numFmt w:val="decimal"/>
      <w:lvlText w:val="%1."/>
      <w:lvlJc w:val="left"/>
      <w:pPr>
        <w:ind w:firstLine="0"/>
      </w:pPr>
    </w:lvl>
    <w:lvl w:ilvl="1" w:tplc="8FAAD65C">
      <w:numFmt w:val="decimal"/>
      <w:lvlText w:val=""/>
      <w:lvlJc w:val="left"/>
    </w:lvl>
    <w:lvl w:ilvl="2" w:tplc="294C8C50">
      <w:numFmt w:val="decimal"/>
      <w:lvlText w:val=""/>
      <w:lvlJc w:val="left"/>
    </w:lvl>
    <w:lvl w:ilvl="3" w:tplc="3B62ADB4">
      <w:numFmt w:val="decimal"/>
      <w:lvlText w:val=""/>
      <w:lvlJc w:val="left"/>
    </w:lvl>
    <w:lvl w:ilvl="4" w:tplc="83688DC6">
      <w:numFmt w:val="decimal"/>
      <w:lvlText w:val=""/>
      <w:lvlJc w:val="left"/>
    </w:lvl>
    <w:lvl w:ilvl="5" w:tplc="8964640C">
      <w:numFmt w:val="decimal"/>
      <w:lvlText w:val=""/>
      <w:lvlJc w:val="left"/>
    </w:lvl>
    <w:lvl w:ilvl="6" w:tplc="C0AC2CA4">
      <w:numFmt w:val="decimal"/>
      <w:lvlText w:val=""/>
      <w:lvlJc w:val="left"/>
    </w:lvl>
    <w:lvl w:ilvl="7" w:tplc="F0B26E62">
      <w:numFmt w:val="decimal"/>
      <w:lvlText w:val=""/>
      <w:lvlJc w:val="left"/>
    </w:lvl>
    <w:lvl w:ilvl="8" w:tplc="4302169A">
      <w:numFmt w:val="decimal"/>
      <w:lvlText w:val=""/>
      <w:lvlJc w:val="left"/>
    </w:lvl>
  </w:abstractNum>
  <w:abstractNum w:abstractNumId="2" w15:restartNumberingAfterBreak="0">
    <w:nsid w:val="2A251653"/>
    <w:multiLevelType w:val="hybridMultilevel"/>
    <w:tmpl w:val="32543CF0"/>
    <w:lvl w:ilvl="0" w:tplc="3B94EADC">
      <w:start w:val="1"/>
      <w:numFmt w:val="decimal"/>
      <w:lvlText w:val="%1."/>
      <w:lvlJc w:val="left"/>
      <w:pPr>
        <w:ind w:hanging="720"/>
      </w:pPr>
    </w:lvl>
    <w:lvl w:ilvl="1" w:tplc="7CF41D96">
      <w:numFmt w:val="decimal"/>
      <w:lvlText w:val=""/>
      <w:lvlJc w:val="left"/>
    </w:lvl>
    <w:lvl w:ilvl="2" w:tplc="773CDD72">
      <w:numFmt w:val="decimal"/>
      <w:lvlText w:val=""/>
      <w:lvlJc w:val="left"/>
    </w:lvl>
    <w:lvl w:ilvl="3" w:tplc="D966B27A">
      <w:numFmt w:val="decimal"/>
      <w:lvlText w:val=""/>
      <w:lvlJc w:val="left"/>
    </w:lvl>
    <w:lvl w:ilvl="4" w:tplc="765AFD9E">
      <w:numFmt w:val="decimal"/>
      <w:lvlText w:val=""/>
      <w:lvlJc w:val="left"/>
    </w:lvl>
    <w:lvl w:ilvl="5" w:tplc="34F4D10C">
      <w:numFmt w:val="decimal"/>
      <w:lvlText w:val=""/>
      <w:lvlJc w:val="left"/>
    </w:lvl>
    <w:lvl w:ilvl="6" w:tplc="37E24344">
      <w:numFmt w:val="decimal"/>
      <w:lvlText w:val=""/>
      <w:lvlJc w:val="left"/>
    </w:lvl>
    <w:lvl w:ilvl="7" w:tplc="D7E4C81E">
      <w:numFmt w:val="decimal"/>
      <w:lvlText w:val=""/>
      <w:lvlJc w:val="left"/>
    </w:lvl>
    <w:lvl w:ilvl="8" w:tplc="CA5CADFA">
      <w:numFmt w:val="decimal"/>
      <w:lvlText w:val=""/>
      <w:lvlJc w:val="left"/>
    </w:lvl>
  </w:abstractNum>
  <w:abstractNum w:abstractNumId="3" w15:restartNumberingAfterBreak="0">
    <w:nsid w:val="324652FC"/>
    <w:multiLevelType w:val="hybridMultilevel"/>
    <w:tmpl w:val="B894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260A3B"/>
    <w:multiLevelType w:val="hybridMultilevel"/>
    <w:tmpl w:val="5106D8E0"/>
    <w:lvl w:ilvl="0" w:tplc="97425A8E">
      <w:start w:val="1"/>
      <w:numFmt w:val="decimal"/>
      <w:lvlText w:val="%1."/>
      <w:lvlJc w:val="left"/>
      <w:pPr>
        <w:ind w:hanging="720"/>
      </w:pPr>
    </w:lvl>
    <w:lvl w:ilvl="1" w:tplc="932EDBAE">
      <w:numFmt w:val="decimal"/>
      <w:lvlText w:val=""/>
      <w:lvlJc w:val="left"/>
    </w:lvl>
    <w:lvl w:ilvl="2" w:tplc="44EEBE64">
      <w:numFmt w:val="decimal"/>
      <w:lvlText w:val=""/>
      <w:lvlJc w:val="left"/>
    </w:lvl>
    <w:lvl w:ilvl="3" w:tplc="9AF8BEEA">
      <w:numFmt w:val="decimal"/>
      <w:lvlText w:val=""/>
      <w:lvlJc w:val="left"/>
    </w:lvl>
    <w:lvl w:ilvl="4" w:tplc="8B7EE440">
      <w:numFmt w:val="decimal"/>
      <w:lvlText w:val=""/>
      <w:lvlJc w:val="left"/>
    </w:lvl>
    <w:lvl w:ilvl="5" w:tplc="FB745380">
      <w:numFmt w:val="decimal"/>
      <w:lvlText w:val=""/>
      <w:lvlJc w:val="left"/>
    </w:lvl>
    <w:lvl w:ilvl="6" w:tplc="BFB410DA">
      <w:numFmt w:val="decimal"/>
      <w:lvlText w:val=""/>
      <w:lvlJc w:val="left"/>
    </w:lvl>
    <w:lvl w:ilvl="7" w:tplc="DFE61F38">
      <w:numFmt w:val="decimal"/>
      <w:lvlText w:val=""/>
      <w:lvlJc w:val="left"/>
    </w:lvl>
    <w:lvl w:ilvl="8" w:tplc="1BDC3A40">
      <w:numFmt w:val="decimal"/>
      <w:lvlText w:val=""/>
      <w:lvlJc w:val="left"/>
    </w:lvl>
  </w:abstractNum>
  <w:abstractNum w:abstractNumId="5" w15:restartNumberingAfterBreak="0">
    <w:nsid w:val="5D9323F4"/>
    <w:multiLevelType w:val="hybridMultilevel"/>
    <w:tmpl w:val="96BE6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E60892"/>
    <w:multiLevelType w:val="hybridMultilevel"/>
    <w:tmpl w:val="FD4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26A26"/>
    <w:multiLevelType w:val="hybridMultilevel"/>
    <w:tmpl w:val="FE000D10"/>
    <w:lvl w:ilvl="0" w:tplc="9E860FDE">
      <w:start w:val="1"/>
      <w:numFmt w:val="lowerLetter"/>
      <w:lvlText w:val="(%1)"/>
      <w:lvlJc w:val="left"/>
      <w:pPr>
        <w:ind w:hanging="720"/>
      </w:pPr>
    </w:lvl>
    <w:lvl w:ilvl="1" w:tplc="F8F0D6D2">
      <w:numFmt w:val="decimal"/>
      <w:lvlText w:val=""/>
      <w:lvlJc w:val="left"/>
    </w:lvl>
    <w:lvl w:ilvl="2" w:tplc="DCAC64F4">
      <w:numFmt w:val="decimal"/>
      <w:lvlText w:val=""/>
      <w:lvlJc w:val="left"/>
    </w:lvl>
    <w:lvl w:ilvl="3" w:tplc="7F4ACE7A">
      <w:numFmt w:val="decimal"/>
      <w:lvlText w:val=""/>
      <w:lvlJc w:val="left"/>
    </w:lvl>
    <w:lvl w:ilvl="4" w:tplc="C1EC1942">
      <w:numFmt w:val="decimal"/>
      <w:lvlText w:val=""/>
      <w:lvlJc w:val="left"/>
    </w:lvl>
    <w:lvl w:ilvl="5" w:tplc="78FCEB8A">
      <w:numFmt w:val="decimal"/>
      <w:lvlText w:val=""/>
      <w:lvlJc w:val="left"/>
    </w:lvl>
    <w:lvl w:ilvl="6" w:tplc="C3BA3CDA">
      <w:numFmt w:val="decimal"/>
      <w:lvlText w:val=""/>
      <w:lvlJc w:val="left"/>
    </w:lvl>
    <w:lvl w:ilvl="7" w:tplc="02CC8602">
      <w:numFmt w:val="decimal"/>
      <w:lvlText w:val=""/>
      <w:lvlJc w:val="left"/>
    </w:lvl>
    <w:lvl w:ilvl="8" w:tplc="85F45A08">
      <w:numFmt w:val="decimal"/>
      <w:lvlText w:val=""/>
      <w:lvlJc w:val="left"/>
    </w:lvl>
  </w:abstractNum>
  <w:abstractNum w:abstractNumId="8" w15:restartNumberingAfterBreak="0">
    <w:nsid w:val="782159B5"/>
    <w:multiLevelType w:val="hybridMultilevel"/>
    <w:tmpl w:val="456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9B7712"/>
    <w:multiLevelType w:val="hybridMultilevel"/>
    <w:tmpl w:val="A0B836EC"/>
    <w:lvl w:ilvl="0" w:tplc="63788F44">
      <w:start w:val="1"/>
      <w:numFmt w:val="bullet"/>
      <w:lvlText w:val="• "/>
      <w:lvlJc w:val="left"/>
      <w:pPr>
        <w:ind w:hanging="720"/>
      </w:pPr>
    </w:lvl>
    <w:lvl w:ilvl="1" w:tplc="8E245EAC">
      <w:numFmt w:val="decimal"/>
      <w:lvlText w:val=""/>
      <w:lvlJc w:val="left"/>
    </w:lvl>
    <w:lvl w:ilvl="2" w:tplc="4A9EFE62">
      <w:numFmt w:val="decimal"/>
      <w:lvlText w:val=""/>
      <w:lvlJc w:val="left"/>
    </w:lvl>
    <w:lvl w:ilvl="3" w:tplc="9B9082DC">
      <w:numFmt w:val="decimal"/>
      <w:lvlText w:val=""/>
      <w:lvlJc w:val="left"/>
    </w:lvl>
    <w:lvl w:ilvl="4" w:tplc="CCE2A9CE">
      <w:numFmt w:val="decimal"/>
      <w:lvlText w:val=""/>
      <w:lvlJc w:val="left"/>
    </w:lvl>
    <w:lvl w:ilvl="5" w:tplc="BF304C06">
      <w:numFmt w:val="decimal"/>
      <w:lvlText w:val=""/>
      <w:lvlJc w:val="left"/>
    </w:lvl>
    <w:lvl w:ilvl="6" w:tplc="F9AE0AAA">
      <w:numFmt w:val="decimal"/>
      <w:lvlText w:val=""/>
      <w:lvlJc w:val="left"/>
    </w:lvl>
    <w:lvl w:ilvl="7" w:tplc="88968A1C">
      <w:numFmt w:val="decimal"/>
      <w:lvlText w:val=""/>
      <w:lvlJc w:val="left"/>
    </w:lvl>
    <w:lvl w:ilvl="8" w:tplc="E7401334">
      <w:numFmt w:val="decimal"/>
      <w:lvlText w:val=""/>
      <w:lvlJc w:val="left"/>
    </w:lvl>
  </w:abstractNum>
  <w:num w:numId="1">
    <w:abstractNumId w:val="7"/>
  </w:num>
  <w:num w:numId="2">
    <w:abstractNumId w:val="4"/>
  </w:num>
  <w:num w:numId="3">
    <w:abstractNumId w:val="9"/>
  </w:num>
  <w:num w:numId="4">
    <w:abstractNumId w:val="1"/>
  </w:num>
  <w:num w:numId="5">
    <w:abstractNumId w:val="2"/>
  </w:num>
  <w:num w:numId="6">
    <w:abstractNumId w:val="8"/>
  </w:num>
  <w:num w:numId="7">
    <w:abstractNumId w:val="6"/>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4F"/>
    <w:rsid w:val="000073BC"/>
    <w:rsid w:val="00012570"/>
    <w:rsid w:val="00026D0C"/>
    <w:rsid w:val="00031C4D"/>
    <w:rsid w:val="0003434C"/>
    <w:rsid w:val="00076A24"/>
    <w:rsid w:val="00086ECB"/>
    <w:rsid w:val="00095438"/>
    <w:rsid w:val="000B106C"/>
    <w:rsid w:val="00104E30"/>
    <w:rsid w:val="001503D4"/>
    <w:rsid w:val="001546A1"/>
    <w:rsid w:val="00166F6F"/>
    <w:rsid w:val="001678C5"/>
    <w:rsid w:val="0017403D"/>
    <w:rsid w:val="001823FF"/>
    <w:rsid w:val="00195D4A"/>
    <w:rsid w:val="00196534"/>
    <w:rsid w:val="001E4CA6"/>
    <w:rsid w:val="002051FA"/>
    <w:rsid w:val="0022036E"/>
    <w:rsid w:val="00224D25"/>
    <w:rsid w:val="00250AEB"/>
    <w:rsid w:val="00283BEA"/>
    <w:rsid w:val="00283DD4"/>
    <w:rsid w:val="00285127"/>
    <w:rsid w:val="00295650"/>
    <w:rsid w:val="002F67BD"/>
    <w:rsid w:val="002F6BC3"/>
    <w:rsid w:val="00373799"/>
    <w:rsid w:val="003B3E0E"/>
    <w:rsid w:val="003B5187"/>
    <w:rsid w:val="003F52DA"/>
    <w:rsid w:val="00415788"/>
    <w:rsid w:val="00456248"/>
    <w:rsid w:val="00477E97"/>
    <w:rsid w:val="00492B61"/>
    <w:rsid w:val="00523050"/>
    <w:rsid w:val="00531EE2"/>
    <w:rsid w:val="00555613"/>
    <w:rsid w:val="0055592A"/>
    <w:rsid w:val="00576960"/>
    <w:rsid w:val="0058038F"/>
    <w:rsid w:val="00581654"/>
    <w:rsid w:val="00587C1C"/>
    <w:rsid w:val="005B310D"/>
    <w:rsid w:val="005D3E74"/>
    <w:rsid w:val="00662C32"/>
    <w:rsid w:val="00666274"/>
    <w:rsid w:val="006A1473"/>
    <w:rsid w:val="006C0E0D"/>
    <w:rsid w:val="006D623E"/>
    <w:rsid w:val="006E2B58"/>
    <w:rsid w:val="00730312"/>
    <w:rsid w:val="0073138A"/>
    <w:rsid w:val="007313D1"/>
    <w:rsid w:val="00732029"/>
    <w:rsid w:val="0074547A"/>
    <w:rsid w:val="007716F9"/>
    <w:rsid w:val="00780225"/>
    <w:rsid w:val="007A6FD5"/>
    <w:rsid w:val="007F1F75"/>
    <w:rsid w:val="008B37D7"/>
    <w:rsid w:val="008B5B64"/>
    <w:rsid w:val="008F7045"/>
    <w:rsid w:val="0094406A"/>
    <w:rsid w:val="009678C1"/>
    <w:rsid w:val="009856A4"/>
    <w:rsid w:val="00996536"/>
    <w:rsid w:val="009E7695"/>
    <w:rsid w:val="009F237B"/>
    <w:rsid w:val="00A03276"/>
    <w:rsid w:val="00A147BC"/>
    <w:rsid w:val="00A756F5"/>
    <w:rsid w:val="00A77E10"/>
    <w:rsid w:val="00A8034F"/>
    <w:rsid w:val="00AB57FF"/>
    <w:rsid w:val="00AF698C"/>
    <w:rsid w:val="00B20DF4"/>
    <w:rsid w:val="00B57815"/>
    <w:rsid w:val="00B677DD"/>
    <w:rsid w:val="00BA3237"/>
    <w:rsid w:val="00BE74CD"/>
    <w:rsid w:val="00BF508D"/>
    <w:rsid w:val="00BF7F2B"/>
    <w:rsid w:val="00C14241"/>
    <w:rsid w:val="00C33BDC"/>
    <w:rsid w:val="00C377C6"/>
    <w:rsid w:val="00C43B67"/>
    <w:rsid w:val="00C7253D"/>
    <w:rsid w:val="00CB04FD"/>
    <w:rsid w:val="00CE2965"/>
    <w:rsid w:val="00D1062D"/>
    <w:rsid w:val="00D21B58"/>
    <w:rsid w:val="00D226D9"/>
    <w:rsid w:val="00D64A9D"/>
    <w:rsid w:val="00D65C8F"/>
    <w:rsid w:val="00DB1396"/>
    <w:rsid w:val="00DD4274"/>
    <w:rsid w:val="00DF166E"/>
    <w:rsid w:val="00E34A76"/>
    <w:rsid w:val="00E54B83"/>
    <w:rsid w:val="00E6099F"/>
    <w:rsid w:val="00E87CF6"/>
    <w:rsid w:val="00EB736A"/>
    <w:rsid w:val="00F04F8C"/>
    <w:rsid w:val="00F141B5"/>
    <w:rsid w:val="00F37C94"/>
    <w:rsid w:val="00F42A28"/>
    <w:rsid w:val="00FB2937"/>
    <w:rsid w:val="00FB3484"/>
    <w:rsid w:val="00FC3621"/>
    <w:rsid w:val="00FD472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7E20"/>
  <w15:docId w15:val="{99EC3CD2-1C70-46DA-B6E1-19E0FEF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8C"/>
    <w:rPr>
      <w:rFonts w:ascii="Segoe UI" w:hAnsi="Segoe UI" w:cs="Segoe UI"/>
      <w:sz w:val="18"/>
      <w:szCs w:val="18"/>
    </w:rPr>
  </w:style>
  <w:style w:type="paragraph" w:styleId="ListParagraph">
    <w:name w:val="List Paragraph"/>
    <w:basedOn w:val="Normal"/>
    <w:uiPriority w:val="34"/>
    <w:qFormat/>
    <w:rsid w:val="00195D4A"/>
    <w:pPr>
      <w:ind w:left="720"/>
      <w:contextualSpacing/>
    </w:pPr>
  </w:style>
  <w:style w:type="character" w:styleId="Emphasis">
    <w:name w:val="Emphasis"/>
    <w:basedOn w:val="DefaultParagraphFont"/>
    <w:uiPriority w:val="20"/>
    <w:qFormat/>
    <w:rsid w:val="00A147BC"/>
    <w:rPr>
      <w:i/>
      <w:iCs/>
    </w:rPr>
  </w:style>
  <w:style w:type="character" w:customStyle="1" w:styleId="apple-converted-space">
    <w:name w:val="apple-converted-space"/>
    <w:basedOn w:val="DefaultParagraphFont"/>
    <w:rsid w:val="00A147BC"/>
  </w:style>
  <w:style w:type="table" w:styleId="TableGrid">
    <w:name w:val="Table Grid"/>
    <w:basedOn w:val="TableNormal"/>
    <w:uiPriority w:val="39"/>
    <w:rsid w:val="00BF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3781">
      <w:bodyDiv w:val="1"/>
      <w:marLeft w:val="0"/>
      <w:marRight w:val="0"/>
      <w:marTop w:val="0"/>
      <w:marBottom w:val="0"/>
      <w:divBdr>
        <w:top w:val="none" w:sz="0" w:space="0" w:color="auto"/>
        <w:left w:val="none" w:sz="0" w:space="0" w:color="auto"/>
        <w:bottom w:val="none" w:sz="0" w:space="0" w:color="auto"/>
        <w:right w:val="none" w:sz="0" w:space="0" w:color="auto"/>
      </w:divBdr>
    </w:div>
    <w:div w:id="876311108">
      <w:bodyDiv w:val="1"/>
      <w:marLeft w:val="0"/>
      <w:marRight w:val="0"/>
      <w:marTop w:val="0"/>
      <w:marBottom w:val="0"/>
      <w:divBdr>
        <w:top w:val="none" w:sz="0" w:space="0" w:color="auto"/>
        <w:left w:val="none" w:sz="0" w:space="0" w:color="auto"/>
        <w:bottom w:val="none" w:sz="0" w:space="0" w:color="auto"/>
        <w:right w:val="none" w:sz="0" w:space="0" w:color="auto"/>
      </w:divBdr>
    </w:div>
    <w:div w:id="952135505">
      <w:bodyDiv w:val="1"/>
      <w:marLeft w:val="0"/>
      <w:marRight w:val="0"/>
      <w:marTop w:val="0"/>
      <w:marBottom w:val="0"/>
      <w:divBdr>
        <w:top w:val="none" w:sz="0" w:space="0" w:color="auto"/>
        <w:left w:val="none" w:sz="0" w:space="0" w:color="auto"/>
        <w:bottom w:val="none" w:sz="0" w:space="0" w:color="auto"/>
        <w:right w:val="none" w:sz="0" w:space="0" w:color="auto"/>
      </w:divBdr>
    </w:div>
    <w:div w:id="1274635449">
      <w:bodyDiv w:val="1"/>
      <w:marLeft w:val="0"/>
      <w:marRight w:val="0"/>
      <w:marTop w:val="0"/>
      <w:marBottom w:val="0"/>
      <w:divBdr>
        <w:top w:val="none" w:sz="0" w:space="0" w:color="auto"/>
        <w:left w:val="none" w:sz="0" w:space="0" w:color="auto"/>
        <w:bottom w:val="none" w:sz="0" w:space="0" w:color="auto"/>
        <w:right w:val="none" w:sz="0" w:space="0" w:color="auto"/>
      </w:divBdr>
    </w:div>
    <w:div w:id="1499347584">
      <w:bodyDiv w:val="1"/>
      <w:marLeft w:val="0"/>
      <w:marRight w:val="0"/>
      <w:marTop w:val="0"/>
      <w:marBottom w:val="0"/>
      <w:divBdr>
        <w:top w:val="none" w:sz="0" w:space="0" w:color="auto"/>
        <w:left w:val="none" w:sz="0" w:space="0" w:color="auto"/>
        <w:bottom w:val="none" w:sz="0" w:space="0" w:color="auto"/>
        <w:right w:val="none" w:sz="0" w:space="0" w:color="auto"/>
      </w:divBdr>
    </w:div>
    <w:div w:id="1715038693">
      <w:bodyDiv w:val="1"/>
      <w:marLeft w:val="0"/>
      <w:marRight w:val="0"/>
      <w:marTop w:val="0"/>
      <w:marBottom w:val="0"/>
      <w:divBdr>
        <w:top w:val="none" w:sz="0" w:space="0" w:color="auto"/>
        <w:left w:val="none" w:sz="0" w:space="0" w:color="auto"/>
        <w:bottom w:val="none" w:sz="0" w:space="0" w:color="auto"/>
        <w:right w:val="none" w:sz="0" w:space="0" w:color="auto"/>
      </w:divBdr>
    </w:div>
    <w:div w:id="1729913210">
      <w:bodyDiv w:val="1"/>
      <w:marLeft w:val="0"/>
      <w:marRight w:val="0"/>
      <w:marTop w:val="0"/>
      <w:marBottom w:val="0"/>
      <w:divBdr>
        <w:top w:val="none" w:sz="0" w:space="0" w:color="auto"/>
        <w:left w:val="none" w:sz="0" w:space="0" w:color="auto"/>
        <w:bottom w:val="none" w:sz="0" w:space="0" w:color="auto"/>
        <w:right w:val="none" w:sz="0" w:space="0" w:color="auto"/>
      </w:divBdr>
    </w:div>
    <w:div w:id="1781101097">
      <w:bodyDiv w:val="1"/>
      <w:marLeft w:val="0"/>
      <w:marRight w:val="0"/>
      <w:marTop w:val="0"/>
      <w:marBottom w:val="0"/>
      <w:divBdr>
        <w:top w:val="none" w:sz="0" w:space="0" w:color="auto"/>
        <w:left w:val="none" w:sz="0" w:space="0" w:color="auto"/>
        <w:bottom w:val="none" w:sz="0" w:space="0" w:color="auto"/>
        <w:right w:val="none" w:sz="0" w:space="0" w:color="auto"/>
      </w:divBdr>
    </w:div>
    <w:div w:id="1807970380">
      <w:bodyDiv w:val="1"/>
      <w:marLeft w:val="0"/>
      <w:marRight w:val="0"/>
      <w:marTop w:val="0"/>
      <w:marBottom w:val="0"/>
      <w:divBdr>
        <w:top w:val="none" w:sz="0" w:space="0" w:color="auto"/>
        <w:left w:val="none" w:sz="0" w:space="0" w:color="auto"/>
        <w:bottom w:val="none" w:sz="0" w:space="0" w:color="auto"/>
        <w:right w:val="none" w:sz="0" w:space="0" w:color="auto"/>
      </w:divBdr>
    </w:div>
    <w:div w:id="1897086004">
      <w:bodyDiv w:val="1"/>
      <w:marLeft w:val="0"/>
      <w:marRight w:val="0"/>
      <w:marTop w:val="0"/>
      <w:marBottom w:val="0"/>
      <w:divBdr>
        <w:top w:val="none" w:sz="0" w:space="0" w:color="auto"/>
        <w:left w:val="none" w:sz="0" w:space="0" w:color="auto"/>
        <w:bottom w:val="none" w:sz="0" w:space="0" w:color="auto"/>
        <w:right w:val="none" w:sz="0" w:space="0" w:color="auto"/>
      </w:divBdr>
    </w:div>
    <w:div w:id="205835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Evan Preponis</cp:lastModifiedBy>
  <cp:revision>3</cp:revision>
  <cp:lastPrinted>2020-06-30T19:38:00Z</cp:lastPrinted>
  <dcterms:created xsi:type="dcterms:W3CDTF">2021-10-06T18:18:00Z</dcterms:created>
  <dcterms:modified xsi:type="dcterms:W3CDTF">2021-10-06T18:26:00Z</dcterms:modified>
</cp:coreProperties>
</file>