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BB6EBCB"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C0568F">
        <w:rPr>
          <w:b/>
          <w:color w:val="000000"/>
          <w:sz w:val="20"/>
          <w:u w:val="single"/>
        </w:rPr>
        <w:t>nDatalyze</w:t>
      </w:r>
      <w:r w:rsidR="009D7B87" w:rsidRPr="009D7B87">
        <w:rPr>
          <w:b/>
          <w:color w:val="000000"/>
          <w:sz w:val="20"/>
          <w:u w:val="single"/>
        </w:rPr>
        <w:t xml:space="preserve">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6B08BA11"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00C0568F">
        <w:rPr>
          <w:b/>
          <w:color w:val="000000"/>
          <w:sz w:val="20"/>
          <w:u w:val="single"/>
        </w:rPr>
        <w:t>NDAT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7E2B72C6"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C0568F">
        <w:rPr>
          <w:b/>
          <w:color w:val="000000"/>
          <w:sz w:val="20"/>
          <w:u w:val="single"/>
        </w:rPr>
        <w:t>October 31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3EE7ABFC"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w:t>
      </w:r>
      <w:r w:rsidR="003C0B45">
        <w:rPr>
          <w:b/>
          <w:bCs/>
          <w:sz w:val="20"/>
        </w:rPr>
        <w:t xml:space="preserve">continues to </w:t>
      </w:r>
      <w:r w:rsidR="00521053">
        <w:rPr>
          <w:b/>
          <w:bCs/>
          <w:sz w:val="20"/>
        </w:rPr>
        <w:t xml:space="preserve">collect </w:t>
      </w:r>
      <w:r w:rsidR="003C0B45">
        <w:rPr>
          <w:b/>
          <w:bCs/>
          <w:sz w:val="20"/>
        </w:rPr>
        <w:t>data</w:t>
      </w:r>
      <w:r w:rsidR="00521053">
        <w:rPr>
          <w:b/>
          <w:bCs/>
          <w:sz w:val="20"/>
        </w:rPr>
        <w:t xml:space="preserve"> </w:t>
      </w:r>
      <w:r w:rsidR="00E6785D">
        <w:rPr>
          <w:b/>
          <w:bCs/>
          <w:sz w:val="20"/>
        </w:rPr>
        <w:t>for</w:t>
      </w:r>
      <w:r w:rsidR="00521053">
        <w:rPr>
          <w:b/>
          <w:bCs/>
          <w:sz w:val="20"/>
        </w:rPr>
        <w:t xml:space="preserve"> its </w:t>
      </w:r>
      <w:r w:rsidR="00E6785D">
        <w:rPr>
          <w:b/>
          <w:bCs/>
          <w:sz w:val="20"/>
        </w:rPr>
        <w:t>Reference Database</w:t>
      </w:r>
      <w:r w:rsidR="00521053">
        <w:rPr>
          <w:b/>
          <w:bCs/>
          <w:sz w:val="20"/>
        </w:rPr>
        <w:t>.</w:t>
      </w:r>
      <w:r w:rsidR="008F7369">
        <w:rPr>
          <w:b/>
          <w:bCs/>
          <w:sz w:val="20"/>
        </w:rPr>
        <w:t xml:space="preserve"> </w:t>
      </w:r>
      <w:r w:rsidR="00BA68DE">
        <w:rPr>
          <w:b/>
          <w:bCs/>
          <w:sz w:val="20"/>
        </w:rPr>
        <w:t xml:space="preserve">The Issuer has </w:t>
      </w:r>
      <w:r w:rsidR="00B50A28">
        <w:rPr>
          <w:b/>
          <w:bCs/>
          <w:sz w:val="20"/>
        </w:rPr>
        <w:t xml:space="preserve">transposed doctor-scored </w:t>
      </w:r>
      <w:r w:rsidR="00AC3092">
        <w:rPr>
          <w:b/>
          <w:bCs/>
          <w:sz w:val="20"/>
        </w:rPr>
        <w:t xml:space="preserve">digital opinions </w:t>
      </w:r>
      <w:r w:rsidR="00B50A28">
        <w:rPr>
          <w:b/>
          <w:bCs/>
          <w:sz w:val="20"/>
        </w:rPr>
        <w:t xml:space="preserve">from EXCEL to SQL statements </w:t>
      </w:r>
      <w:r w:rsidR="00AC3092">
        <w:rPr>
          <w:b/>
          <w:bCs/>
          <w:sz w:val="20"/>
        </w:rPr>
        <w:t>that</w:t>
      </w:r>
      <w:r w:rsidR="00BA68DE">
        <w:rPr>
          <w:b/>
          <w:bCs/>
          <w:sz w:val="20"/>
        </w:rPr>
        <w:t xml:space="preserve"> may be used in the formation of mental</w:t>
      </w:r>
      <w:r w:rsidR="00AC3092">
        <w:rPr>
          <w:b/>
          <w:bCs/>
          <w:sz w:val="20"/>
        </w:rPr>
        <w:t xml:space="preserve"> condition</w:t>
      </w:r>
      <w:r w:rsidR="00BA68DE">
        <w:rPr>
          <w:b/>
          <w:bCs/>
          <w:sz w:val="20"/>
        </w:rPr>
        <w:t xml:space="preserve"> </w:t>
      </w:r>
      <w:r w:rsidR="00AC3092">
        <w:rPr>
          <w:b/>
          <w:bCs/>
          <w:sz w:val="20"/>
        </w:rPr>
        <w:t xml:space="preserve">prediction </w:t>
      </w:r>
      <w:r w:rsidR="00BA68DE">
        <w:rPr>
          <w:b/>
          <w:bCs/>
          <w:sz w:val="20"/>
        </w:rPr>
        <w:t>algorithms.</w:t>
      </w:r>
      <w:r w:rsidR="009C1697">
        <w:rPr>
          <w:b/>
          <w:bCs/>
          <w:sz w:val="20"/>
        </w:rPr>
        <w:t xml:space="preserve"> The Issuer changed its name from Medxtractor Corp. to nDatalyze Corp. and its trading symbol from MXT to NDAT.</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19FE6369" w:rsidR="000F1CC1" w:rsidRPr="009C19DC" w:rsidRDefault="00062F82" w:rsidP="000F1CC1">
      <w:pPr>
        <w:pStyle w:val="List"/>
        <w:tabs>
          <w:tab w:val="left" w:pos="720"/>
        </w:tabs>
        <w:spacing w:before="0"/>
        <w:ind w:left="720" w:firstLine="0"/>
        <w:jc w:val="both"/>
        <w:rPr>
          <w:b/>
          <w:bCs/>
        </w:rPr>
      </w:pPr>
      <w:r>
        <w:rPr>
          <w:b/>
          <w:bCs/>
          <w:sz w:val="20"/>
        </w:rPr>
        <w:t xml:space="preserve">Beyond the previously-announced </w:t>
      </w:r>
      <w:r w:rsidR="00B6193E">
        <w:rPr>
          <w:b/>
          <w:bCs/>
          <w:sz w:val="20"/>
        </w:rPr>
        <w:t>data centric developments</w:t>
      </w:r>
      <w:r>
        <w:rPr>
          <w:b/>
          <w:bCs/>
          <w:sz w:val="20"/>
        </w:rPr>
        <w:t>,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5D48AB70" w14:textId="43FFAE85" w:rsidR="00CD0654" w:rsidRPr="009C19DC" w:rsidRDefault="00CD0654" w:rsidP="00CD0654">
      <w:pPr>
        <w:pStyle w:val="List"/>
        <w:tabs>
          <w:tab w:val="left" w:pos="720"/>
        </w:tabs>
        <w:spacing w:before="0"/>
        <w:ind w:left="720" w:firstLine="0"/>
        <w:jc w:val="both"/>
        <w:rPr>
          <w:b/>
          <w:bCs/>
        </w:rPr>
      </w:pPr>
      <w:r>
        <w:rPr>
          <w:b/>
          <w:bCs/>
          <w:sz w:val="20"/>
        </w:rPr>
        <w:t xml:space="preserve">The Issuer has </w:t>
      </w:r>
      <w:r w:rsidR="009C1697">
        <w:rPr>
          <w:b/>
          <w:bCs/>
          <w:sz w:val="20"/>
        </w:rPr>
        <w:t>entered into an agency agreement with a Chinese manufacturer of large-scale CO2-based extractors. This agreement is non-exclusive and does not require any specific capital expensitures by the Issuer. The Issuer will be paid a commission on any related sales.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B7406A1"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9C1697">
        <w:rPr>
          <w:b/>
          <w:sz w:val="20"/>
        </w:rPr>
        <w:t>essential oil extractors and has started seeking licencees for its Reference Database.</w:t>
      </w:r>
    </w:p>
    <w:p w14:paraId="1AFAD160" w14:textId="77777777" w:rsidR="00E6785D" w:rsidRDefault="00E6785D" w:rsidP="00000886">
      <w:pPr>
        <w:pStyle w:val="List"/>
        <w:spacing w:before="0"/>
        <w:ind w:left="720" w:firstLine="0"/>
        <w:rPr>
          <w:b/>
          <w:sz w:val="20"/>
        </w:rPr>
      </w:pPr>
    </w:p>
    <w:p w14:paraId="48DABBE1" w14:textId="09DDC8A1" w:rsidR="00640E94" w:rsidRDefault="00640E94" w:rsidP="009D7B87">
      <w:pPr>
        <w:pStyle w:val="List"/>
        <w:numPr>
          <w:ilvl w:val="0"/>
          <w:numId w:val="28"/>
        </w:numPr>
        <w:spacing w:before="0"/>
        <w:jc w:val="both"/>
        <w:rPr>
          <w:sz w:val="20"/>
        </w:rPr>
      </w:pPr>
      <w:r w:rsidRPr="009D7B87">
        <w:rPr>
          <w:sz w:val="20"/>
        </w:rPr>
        <w:t>Describe any new developments or effects on intangible products such as brand names, circulation lists, copyrights, franchises, licenses, patents, software, subscription lists and trade-marks.</w:t>
      </w:r>
    </w:p>
    <w:p w14:paraId="1C6675D3" w14:textId="519D53CA" w:rsidR="009D7B87" w:rsidRDefault="009D7B87" w:rsidP="009D7B87">
      <w:pPr>
        <w:pStyle w:val="List"/>
        <w:spacing w:before="0"/>
        <w:ind w:left="720" w:firstLine="0"/>
        <w:jc w:val="both"/>
        <w:rPr>
          <w:sz w:val="20"/>
        </w:rPr>
      </w:pPr>
    </w:p>
    <w:p w14:paraId="1BA447B9" w14:textId="73A0F2FF" w:rsidR="009D7B87" w:rsidRDefault="00CD0654" w:rsidP="009D7B87">
      <w:pPr>
        <w:pStyle w:val="List"/>
        <w:spacing w:before="0"/>
        <w:ind w:left="720" w:firstLine="0"/>
        <w:jc w:val="both"/>
        <w:rPr>
          <w:b/>
          <w:sz w:val="20"/>
        </w:rPr>
      </w:pPr>
      <w:r>
        <w:rPr>
          <w:b/>
          <w:bCs/>
          <w:sz w:val="20"/>
        </w:rPr>
        <w:lastRenderedPageBreak/>
        <w:t>none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468F6780" w:rsidR="00640E94" w:rsidRDefault="009931AF" w:rsidP="009D7B87">
      <w:pPr>
        <w:pStyle w:val="List"/>
        <w:numPr>
          <w:ilvl w:val="0"/>
          <w:numId w:val="28"/>
        </w:numPr>
        <w:spacing w:before="0"/>
        <w:jc w:val="both"/>
        <w:rPr>
          <w:sz w:val="20"/>
        </w:rPr>
      </w:pPr>
      <w:r>
        <w:rPr>
          <w:sz w:val="20"/>
        </w:rPr>
        <w:t xml:space="preserve">Discuss any trends that </w:t>
      </w:r>
      <w:r w:rsidR="00640E94" w:rsidRPr="009D7B87">
        <w:rPr>
          <w:sz w:val="20"/>
        </w:rPr>
        <w:t>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7D3D9770"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697">
        <w:rPr>
          <w:b/>
          <w:bCs/>
          <w:sz w:val="20"/>
        </w:rPr>
        <w:t xml:space="preserve">Google Adwords has limited the use of cannabis-related keywords and the Issuer believes this has resulted in a decline in website traffic and sales activity. The Issuer also feels that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 xml:space="preserve">The mHealth market continues to grow and this is expected to contribute to the </w:t>
      </w:r>
      <w:r w:rsidR="00B6193E">
        <w:rPr>
          <w:b/>
          <w:bCs/>
          <w:sz w:val="20"/>
        </w:rPr>
        <w:t>digital developments</w:t>
      </w:r>
      <w:r w:rsidR="00062F82">
        <w:rPr>
          <w:b/>
          <w:bCs/>
          <w:sz w:val="20"/>
        </w:rPr>
        <w:t xml:space="preserve"> </w:t>
      </w:r>
      <w:r w:rsidR="00CD0654">
        <w:rPr>
          <w:b/>
          <w:bCs/>
          <w:sz w:val="20"/>
        </w:rPr>
        <w:t xml:space="preserve">if </w:t>
      </w:r>
      <w:r w:rsidR="00062F82">
        <w:rPr>
          <w:b/>
          <w:bCs/>
          <w:sz w:val="20"/>
        </w:rPr>
        <w:t>the application</w:t>
      </w:r>
      <w:r w:rsidR="00B6193E">
        <w:rPr>
          <w:b/>
          <w:bCs/>
          <w:sz w:val="20"/>
        </w:rPr>
        <w:t>s are</w:t>
      </w:r>
      <w:r w:rsidR="00062F82">
        <w:rPr>
          <w:b/>
          <w:bCs/>
          <w:sz w:val="20"/>
        </w:rPr>
        <w:t xml:space="preserve"> released. There is no guarantee the application</w:t>
      </w:r>
      <w:r w:rsidR="00B6193E">
        <w:rPr>
          <w:b/>
          <w:bCs/>
          <w:sz w:val="20"/>
        </w:rPr>
        <w:t>s</w:t>
      </w:r>
      <w:r w:rsidR="00062F82">
        <w:rPr>
          <w:b/>
          <w:bCs/>
          <w:sz w:val="20"/>
        </w:rPr>
        <w:t xml:space="preserve">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00ACCC01"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CD0654">
        <w:rPr>
          <w:b/>
          <w:bCs/>
          <w:sz w:val="20"/>
          <w:u w:val="single"/>
        </w:rPr>
        <w:t>October</w:t>
      </w:r>
      <w:r w:rsidR="004D5178">
        <w:rPr>
          <w:b/>
          <w:bCs/>
          <w:sz w:val="20"/>
          <w:u w:val="single"/>
        </w:rPr>
        <w:t xml:space="preserve"> </w:t>
      </w:r>
      <w:r w:rsidR="00C0568F">
        <w:rPr>
          <w:b/>
          <w:bCs/>
          <w:sz w:val="20"/>
          <w:u w:val="single"/>
        </w:rPr>
        <w:t>31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E871AF3" w:rsidR="009D7B87" w:rsidRPr="00ED1B0A" w:rsidRDefault="009C1697" w:rsidP="00554103">
            <w:pPr>
              <w:pStyle w:val="BodyText"/>
              <w:snapToGrid w:val="0"/>
              <w:spacing w:before="0"/>
              <w:rPr>
                <w:i/>
                <w:sz w:val="20"/>
              </w:rPr>
            </w:pPr>
            <w:r>
              <w:rPr>
                <w:sz w:val="20"/>
              </w:rPr>
              <w:t>nDatalyze</w:t>
            </w:r>
            <w:r w:rsidR="009D7B87"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00C583A7" w:rsidR="009D7B87" w:rsidRPr="00ED1B0A" w:rsidRDefault="00C0568F" w:rsidP="00554103">
            <w:pPr>
              <w:pStyle w:val="BodyText"/>
              <w:snapToGrid w:val="0"/>
              <w:spacing w:before="0"/>
              <w:rPr>
                <w:sz w:val="20"/>
              </w:rPr>
            </w:pPr>
            <w:r>
              <w:rPr>
                <w:sz w:val="20"/>
                <w:lang w:eastAsia="zh-CN"/>
              </w:rPr>
              <w:t>Octo</w:t>
            </w:r>
            <w:r w:rsidR="00B6193E">
              <w:rPr>
                <w:sz w:val="20"/>
                <w:lang w:eastAsia="zh-CN"/>
              </w:rPr>
              <w:t>ber</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5F332C47"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CD0654">
              <w:rPr>
                <w:sz w:val="20"/>
                <w:lang w:eastAsia="zh-CN"/>
              </w:rPr>
              <w:t>10</w:t>
            </w:r>
            <w:r w:rsidR="00150A19">
              <w:rPr>
                <w:sz w:val="20"/>
                <w:lang w:eastAsia="zh-CN"/>
              </w:rPr>
              <w:t>/</w:t>
            </w:r>
            <w:r w:rsidR="00C0568F">
              <w:rPr>
                <w:sz w:val="20"/>
                <w:lang w:eastAsia="zh-CN"/>
              </w:rPr>
              <w:t>31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03EDC5F8" w:rsidR="009D7B87" w:rsidRPr="009C19DC" w:rsidRDefault="00C0568F" w:rsidP="00554103">
            <w:pPr>
              <w:pStyle w:val="BodyText"/>
              <w:snapToGrid w:val="0"/>
              <w:spacing w:before="0"/>
              <w:rPr>
                <w:sz w:val="20"/>
              </w:rPr>
            </w:pPr>
            <w:r>
              <w:rPr>
                <w:sz w:val="20"/>
              </w:rPr>
              <w:t>jimd@ndatalyze</w:t>
            </w:r>
            <w:r w:rsidR="009C19DC" w:rsidRPr="009C19DC">
              <w:rPr>
                <w:sz w:val="20"/>
              </w:rPr>
              <w:t>.com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227E82FE" w:rsidR="009D7B87" w:rsidRPr="00ED1B0A" w:rsidRDefault="00C0568F" w:rsidP="00554103">
            <w:pPr>
              <w:pStyle w:val="BodyText"/>
              <w:spacing w:before="0"/>
              <w:rPr>
                <w:sz w:val="20"/>
              </w:rPr>
            </w:pPr>
            <w:r>
              <w:t>www.ndatalyze.com</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bookmarkStart w:id="5" w:name="_GoBack"/>
      <w:bookmarkEnd w:id="5"/>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B50A28" w:rsidRDefault="00B50A28">
      <w:r>
        <w:separator/>
      </w:r>
    </w:p>
  </w:endnote>
  <w:endnote w:type="continuationSeparator" w:id="0">
    <w:p w14:paraId="1F9E2D9D" w14:textId="77777777" w:rsidR="00B50A28" w:rsidRDefault="00B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B50A28" w:rsidRDefault="00B50A28">
    <w:pPr>
      <w:pStyle w:val="Footer"/>
      <w:tabs>
        <w:tab w:val="clear" w:pos="4320"/>
        <w:tab w:val="clear" w:pos="8640"/>
        <w:tab w:val="center" w:pos="4680"/>
        <w:tab w:val="right" w:pos="9360"/>
      </w:tabs>
      <w:rPr>
        <w:b/>
      </w:rPr>
    </w:pPr>
  </w:p>
  <w:p w14:paraId="2A7C2C28" w14:textId="77777777" w:rsidR="00B50A28" w:rsidRDefault="00B50A2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B50A28" w:rsidRPr="006D1A06" w:rsidRDefault="00B50A2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B50A28" w:rsidRPr="006D1A06" w:rsidRDefault="00B50A2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C16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B50A28" w:rsidRDefault="00B50A28">
    <w:pPr>
      <w:pStyle w:val="Footer"/>
      <w:tabs>
        <w:tab w:val="clear" w:pos="4320"/>
        <w:tab w:val="clear" w:pos="8640"/>
        <w:tab w:val="center" w:pos="4680"/>
        <w:tab w:val="right" w:pos="9360"/>
      </w:tabs>
      <w:rPr>
        <w:b/>
      </w:rPr>
    </w:pPr>
  </w:p>
  <w:p w14:paraId="41BB7ACB" w14:textId="77777777" w:rsidR="00B50A28" w:rsidRDefault="00B50A2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B50A28" w:rsidRPr="00635E9A" w:rsidRDefault="00B50A2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B50A28" w:rsidRPr="00635E9A" w:rsidRDefault="00B50A2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B50A28" w:rsidRDefault="00B50A28">
      <w:r>
        <w:separator/>
      </w:r>
    </w:p>
  </w:footnote>
  <w:footnote w:type="continuationSeparator" w:id="0">
    <w:p w14:paraId="3CF22D5D" w14:textId="77777777" w:rsidR="00B50A28" w:rsidRDefault="00B50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B50A28" w:rsidRDefault="00B50A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B50A28" w:rsidRDefault="00B50A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B50A28" w:rsidRDefault="00B50A28">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931AF"/>
    <w:rsid w:val="009B6865"/>
    <w:rsid w:val="009C1697"/>
    <w:rsid w:val="009C19DC"/>
    <w:rsid w:val="009D7B87"/>
    <w:rsid w:val="00A07FD7"/>
    <w:rsid w:val="00A354BA"/>
    <w:rsid w:val="00A47914"/>
    <w:rsid w:val="00AC3092"/>
    <w:rsid w:val="00B50A28"/>
    <w:rsid w:val="00B6193E"/>
    <w:rsid w:val="00B92E1F"/>
    <w:rsid w:val="00BA68DE"/>
    <w:rsid w:val="00C0568F"/>
    <w:rsid w:val="00C27A18"/>
    <w:rsid w:val="00C6383E"/>
    <w:rsid w:val="00C95BE8"/>
    <w:rsid w:val="00CD0654"/>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1227</Words>
  <Characters>6994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2021-10-31T13:23:00Z</dcterms:created>
  <dcterms:modified xsi:type="dcterms:W3CDTF">2021-10-31T13:54:00Z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