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AB5CB1">
        <w:rPr>
          <w:rFonts w:ascii="Arial" w:hAnsi="Arial"/>
          <w:color w:val="000000"/>
          <w:u w:val="single"/>
        </w:rPr>
        <w:t>October 31</w:t>
      </w:r>
      <w:r w:rsidR="00C070AC">
        <w:rPr>
          <w:rFonts w:ascii="Arial" w:hAnsi="Arial"/>
          <w:color w:val="000000"/>
          <w:u w:val="single"/>
        </w:rPr>
        <w:t>, 2018</w:t>
      </w:r>
      <w:r w:rsidR="001419D4">
        <w:rPr>
          <w:rFonts w:ascii="Arial" w:hAnsi="Arial"/>
          <w:color w:val="000000"/>
          <w:u w:val="single"/>
        </w:rPr>
        <w:t xml:space="preserve"> and </w:t>
      </w:r>
      <w:r w:rsidR="00AB5CB1">
        <w:rPr>
          <w:rFonts w:ascii="Arial" w:hAnsi="Arial"/>
          <w:color w:val="000000"/>
          <w:u w:val="single"/>
        </w:rPr>
        <w:t>November 6</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AB5CB1">
        <w:rPr>
          <w:rFonts w:ascii="Arial" w:hAnsi="Arial"/>
          <w:color w:val="000000"/>
          <w:u w:val="single"/>
        </w:rPr>
        <w:t>November 6</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97244A">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r w:rsidR="0097244A" w:rsidRPr="0097244A">
        <w:rPr>
          <w:rFonts w:ascii="Arial" w:hAnsi="Arial"/>
          <w:b/>
          <w:i/>
        </w:rPr>
        <w:t xml:space="preserve"> </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97244A" w:rsidRDefault="0097244A" w:rsidP="0097244A">
      <w:pPr>
        <w:pStyle w:val="List"/>
        <w:spacing w:before="120"/>
        <w:ind w:left="1440" w:firstLine="0"/>
        <w:jc w:val="both"/>
        <w:rPr>
          <w:rFonts w:ascii="Arial" w:hAnsi="Arial"/>
          <w:b/>
          <w:i/>
        </w:rPr>
      </w:pPr>
      <w:r w:rsidRPr="0032742A">
        <w:rPr>
          <w:rFonts w:ascii="Arial" w:hAnsi="Arial"/>
          <w:b/>
          <w:i/>
        </w:rPr>
        <w:t xml:space="preserve">The Company has also been developing no-subscription, pay-as-you-go service for employers, launched in early September. This service adds a job promotion shopping cart that is seamlessly integrated with </w:t>
      </w:r>
      <w:proofErr w:type="spellStart"/>
      <w:r w:rsidRPr="0032742A">
        <w:rPr>
          <w:rFonts w:ascii="Arial" w:hAnsi="Arial"/>
          <w:b/>
          <w:i/>
        </w:rPr>
        <w:t>StartMonday’s</w:t>
      </w:r>
      <w:proofErr w:type="spellEnd"/>
      <w:r w:rsidRPr="0032742A">
        <w:rPr>
          <w:rFonts w:ascii="Arial" w:hAnsi="Arial"/>
          <w:b/>
          <w:i/>
        </w:rPr>
        <w:t xml:space="preserve"> applicant tracking system (ATS) and facilitates job posting to a large selection of popular job sites and social media channels.</w:t>
      </w:r>
    </w:p>
    <w:p w:rsidR="0097244A" w:rsidRPr="00D53B95" w:rsidRDefault="0097244A" w:rsidP="00D53B95">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0208" w:rsidRPr="0032742A" w:rsidRDefault="004C0208" w:rsidP="004C0208">
      <w:pPr>
        <w:pStyle w:val="List"/>
        <w:spacing w:before="120"/>
        <w:ind w:left="1440" w:firstLine="0"/>
        <w:jc w:val="both"/>
        <w:rPr>
          <w:rFonts w:ascii="Arial" w:hAnsi="Arial"/>
          <w:b/>
          <w:i/>
        </w:rPr>
      </w:pPr>
      <w:r w:rsidRPr="0032742A">
        <w:rPr>
          <w:rFonts w:ascii="Arial" w:hAnsi="Arial"/>
          <w:b/>
          <w:i/>
        </w:rPr>
        <w:t>No significant new or lost customers in the period.</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32742A">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32742A">
        <w:rPr>
          <w:rFonts w:ascii="Arial" w:hAnsi="Arial"/>
          <w:b/>
          <w:i/>
        </w:rPr>
        <w:t>company</w:t>
      </w:r>
      <w:proofErr w:type="gramEnd"/>
      <w:r w:rsidRPr="0032742A">
        <w:rPr>
          <w:rFonts w:ascii="Arial" w:hAnsi="Arial"/>
          <w:b/>
          <w:i/>
        </w:rPr>
        <w:t xml:space="preserve"> and plans</w:t>
      </w:r>
      <w:r w:rsidR="00FF307E" w:rsidRPr="0032742A">
        <w:rPr>
          <w:rFonts w:ascii="Arial" w:hAnsi="Arial"/>
          <w:b/>
          <w:i/>
        </w:rPr>
        <w:t xml:space="preserve"> to</w:t>
      </w:r>
      <w:r w:rsidRPr="0032742A">
        <w:rPr>
          <w:rFonts w:ascii="Arial" w:hAnsi="Arial"/>
          <w:b/>
          <w:i/>
        </w:rPr>
        <w:t xml:space="preserve"> reach an agreement within the next </w:t>
      </w:r>
      <w:r w:rsidR="009427EA" w:rsidRPr="0032742A">
        <w:rPr>
          <w:rFonts w:ascii="Arial" w:hAnsi="Arial"/>
          <w:b/>
          <w:i/>
        </w:rPr>
        <w:t>several</w:t>
      </w:r>
      <w:r w:rsidRPr="0032742A">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833988" w:rsidP="00E738AC">
      <w:pPr>
        <w:pStyle w:val="List"/>
        <w:spacing w:before="120"/>
        <w:ind w:left="1440" w:firstLine="0"/>
        <w:jc w:val="both"/>
        <w:rPr>
          <w:rFonts w:ascii="Arial" w:hAnsi="Arial"/>
          <w:b/>
          <w:i/>
        </w:rPr>
      </w:pPr>
      <w:r w:rsidRPr="0032742A">
        <w:rPr>
          <w:rFonts w:ascii="Arial" w:hAnsi="Arial"/>
          <w:b/>
          <w:i/>
        </w:rPr>
        <w:t>None during the period</w:t>
      </w:r>
      <w:r w:rsidR="00E738AC" w:rsidRPr="0032742A">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219EA">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highlight w:val="yellow"/>
              </w:rPr>
            </w:pPr>
          </w:p>
        </w:tc>
      </w:tr>
      <w:tr w:rsidR="00A219EA">
        <w:tc>
          <w:tcPr>
            <w:tcW w:w="2394" w:type="dxa"/>
          </w:tcPr>
          <w:p w:rsidR="00A219EA" w:rsidRPr="00543B3E" w:rsidRDefault="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highlight w:val="yellow"/>
              </w:rPr>
            </w:pPr>
          </w:p>
        </w:tc>
      </w:tr>
      <w:tr w:rsidR="00A219EA">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C51041" w:rsidP="00543B3E">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EB5A4B">
        <w:rPr>
          <w:rFonts w:ascii="Arial" w:hAnsi="Arial"/>
          <w:u w:val="single"/>
        </w:rPr>
        <w:t>November 6</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EB5A4B" w:rsidP="009D5809">
            <w:pPr>
              <w:pStyle w:val="BodyText"/>
              <w:spacing w:before="0"/>
              <w:rPr>
                <w:rFonts w:ascii="Arial" w:hAnsi="Arial"/>
              </w:rPr>
            </w:pPr>
            <w:r>
              <w:rPr>
                <w:rFonts w:ascii="Arial" w:hAnsi="Arial"/>
              </w:rPr>
              <w:t>Octobe</w:t>
            </w:r>
            <w:bookmarkStart w:id="5" w:name="_GoBack"/>
            <w:bookmarkEnd w:id="5"/>
            <w:r w:rsidR="00C51041">
              <w:rPr>
                <w:rFonts w:ascii="Arial" w:hAnsi="Arial"/>
              </w:rPr>
              <w:t>r</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EB5A4B">
            <w:pPr>
              <w:pStyle w:val="BodyText"/>
              <w:spacing w:before="0"/>
              <w:rPr>
                <w:rFonts w:ascii="Arial" w:hAnsi="Arial"/>
              </w:rPr>
            </w:pPr>
            <w:r>
              <w:rPr>
                <w:rFonts w:ascii="Arial" w:hAnsi="Arial"/>
              </w:rPr>
              <w:t>2018/</w:t>
            </w:r>
            <w:r w:rsidR="00C51041">
              <w:rPr>
                <w:rFonts w:ascii="Arial" w:hAnsi="Arial"/>
              </w:rPr>
              <w:t>1</w:t>
            </w:r>
            <w:r w:rsidR="00EB5A4B">
              <w:rPr>
                <w:rFonts w:ascii="Arial" w:hAnsi="Arial"/>
              </w:rPr>
              <w:t>1</w:t>
            </w:r>
            <w:r w:rsidR="00A219EA">
              <w:rPr>
                <w:rFonts w:ascii="Arial" w:hAnsi="Arial"/>
              </w:rPr>
              <w:t>/0</w:t>
            </w:r>
            <w:r w:rsidR="00EB5A4B">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E1" w:rsidRDefault="000131E1">
      <w:r>
        <w:separator/>
      </w:r>
    </w:p>
  </w:endnote>
  <w:endnote w:type="continuationSeparator" w:id="0">
    <w:p w:rsidR="000131E1" w:rsidRDefault="000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B5A4B">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E1" w:rsidRDefault="000131E1">
      <w:r>
        <w:separator/>
      </w:r>
    </w:p>
  </w:footnote>
  <w:footnote w:type="continuationSeparator" w:id="0">
    <w:p w:rsidR="000131E1" w:rsidRDefault="0001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31E1"/>
    <w:rsid w:val="0003274B"/>
    <w:rsid w:val="00083142"/>
    <w:rsid w:val="00091B23"/>
    <w:rsid w:val="0009717A"/>
    <w:rsid w:val="000A1AB1"/>
    <w:rsid w:val="000B00DA"/>
    <w:rsid w:val="000B4D05"/>
    <w:rsid w:val="000C6423"/>
    <w:rsid w:val="000D6178"/>
    <w:rsid w:val="000F02D9"/>
    <w:rsid w:val="000F4B29"/>
    <w:rsid w:val="00127B02"/>
    <w:rsid w:val="001408B0"/>
    <w:rsid w:val="001419D4"/>
    <w:rsid w:val="00144AFF"/>
    <w:rsid w:val="00155FFF"/>
    <w:rsid w:val="001701C3"/>
    <w:rsid w:val="001904D8"/>
    <w:rsid w:val="001A4B5D"/>
    <w:rsid w:val="001B0491"/>
    <w:rsid w:val="001B37F1"/>
    <w:rsid w:val="001D5E92"/>
    <w:rsid w:val="001F0E6D"/>
    <w:rsid w:val="00226C6C"/>
    <w:rsid w:val="00240D7B"/>
    <w:rsid w:val="00297C54"/>
    <w:rsid w:val="002B5024"/>
    <w:rsid w:val="002C281E"/>
    <w:rsid w:val="002F00EB"/>
    <w:rsid w:val="0032742A"/>
    <w:rsid w:val="00334110"/>
    <w:rsid w:val="003669A9"/>
    <w:rsid w:val="00371A64"/>
    <w:rsid w:val="00387FA8"/>
    <w:rsid w:val="003C09DA"/>
    <w:rsid w:val="003F29F4"/>
    <w:rsid w:val="00487BC9"/>
    <w:rsid w:val="00490D45"/>
    <w:rsid w:val="004C0208"/>
    <w:rsid w:val="00514496"/>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36C"/>
    <w:rsid w:val="006D1753"/>
    <w:rsid w:val="006D1A06"/>
    <w:rsid w:val="006D6CE0"/>
    <w:rsid w:val="007052FB"/>
    <w:rsid w:val="00751C8E"/>
    <w:rsid w:val="00796D23"/>
    <w:rsid w:val="007A0C04"/>
    <w:rsid w:val="007D295A"/>
    <w:rsid w:val="00812997"/>
    <w:rsid w:val="00833988"/>
    <w:rsid w:val="008565A8"/>
    <w:rsid w:val="00871735"/>
    <w:rsid w:val="008B7E92"/>
    <w:rsid w:val="00915853"/>
    <w:rsid w:val="00922A46"/>
    <w:rsid w:val="009427EA"/>
    <w:rsid w:val="0097244A"/>
    <w:rsid w:val="0097683A"/>
    <w:rsid w:val="009A12CD"/>
    <w:rsid w:val="009A6D1F"/>
    <w:rsid w:val="009D058B"/>
    <w:rsid w:val="009D5809"/>
    <w:rsid w:val="009E04BF"/>
    <w:rsid w:val="00A219EA"/>
    <w:rsid w:val="00A43A63"/>
    <w:rsid w:val="00A47914"/>
    <w:rsid w:val="00A53612"/>
    <w:rsid w:val="00AB278A"/>
    <w:rsid w:val="00AB5CB1"/>
    <w:rsid w:val="00AC3197"/>
    <w:rsid w:val="00AE24A7"/>
    <w:rsid w:val="00B03EBE"/>
    <w:rsid w:val="00B13EDF"/>
    <w:rsid w:val="00B14566"/>
    <w:rsid w:val="00B20FFF"/>
    <w:rsid w:val="00B32521"/>
    <w:rsid w:val="00B60942"/>
    <w:rsid w:val="00B73C41"/>
    <w:rsid w:val="00BA22A2"/>
    <w:rsid w:val="00BB7C45"/>
    <w:rsid w:val="00BC4673"/>
    <w:rsid w:val="00BD5D29"/>
    <w:rsid w:val="00BF47D6"/>
    <w:rsid w:val="00C070AC"/>
    <w:rsid w:val="00C07EA6"/>
    <w:rsid w:val="00C16F8B"/>
    <w:rsid w:val="00C27A18"/>
    <w:rsid w:val="00C50D1E"/>
    <w:rsid w:val="00C51041"/>
    <w:rsid w:val="00C6060D"/>
    <w:rsid w:val="00C6383E"/>
    <w:rsid w:val="00C96FB3"/>
    <w:rsid w:val="00CA2DDF"/>
    <w:rsid w:val="00CB006C"/>
    <w:rsid w:val="00D34D96"/>
    <w:rsid w:val="00D53B95"/>
    <w:rsid w:val="00D579A4"/>
    <w:rsid w:val="00D64A18"/>
    <w:rsid w:val="00D9165F"/>
    <w:rsid w:val="00DB340E"/>
    <w:rsid w:val="00DC295B"/>
    <w:rsid w:val="00DC491F"/>
    <w:rsid w:val="00E0746E"/>
    <w:rsid w:val="00E36141"/>
    <w:rsid w:val="00E54E4B"/>
    <w:rsid w:val="00E738AC"/>
    <w:rsid w:val="00E83E58"/>
    <w:rsid w:val="00EB5A4B"/>
    <w:rsid w:val="00EC28A4"/>
    <w:rsid w:val="00EF21D9"/>
    <w:rsid w:val="00F1768A"/>
    <w:rsid w:val="00F32E6B"/>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3</cp:revision>
  <cp:lastPrinted>2004-05-10T18:28:00Z</cp:lastPrinted>
  <dcterms:created xsi:type="dcterms:W3CDTF">2018-11-19T15:17:00Z</dcterms:created>
  <dcterms:modified xsi:type="dcterms:W3CDTF">2018-11-19T15:18:00Z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