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78FD505D"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39255F">
        <w:rPr>
          <w:b/>
          <w:color w:val="000000"/>
          <w:sz w:val="20"/>
          <w:u w:val="single"/>
        </w:rPr>
        <w:t>Novem</w:t>
      </w:r>
      <w:r w:rsidR="004D5178">
        <w:rPr>
          <w:b/>
          <w:color w:val="000000"/>
          <w:sz w:val="20"/>
          <w:u w:val="single"/>
        </w:rPr>
        <w:t xml:space="preserve">ber </w:t>
      </w:r>
      <w:r w:rsidR="0039255F">
        <w:rPr>
          <w:b/>
          <w:color w:val="000000"/>
          <w:sz w:val="20"/>
          <w:u w:val="single"/>
        </w:rPr>
        <w:t>1</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0919FB10"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w:t>
      </w:r>
      <w:r w:rsidR="00275B7D">
        <w:rPr>
          <w:b/>
          <w:bCs/>
          <w:sz w:val="20"/>
        </w:rPr>
        <w:t xml:space="preserve">and general-purpose alcohol-based extractors </w:t>
      </w:r>
      <w:r w:rsidRPr="00676D9D">
        <w:rPr>
          <w:b/>
          <w:bCs/>
          <w:sz w:val="20"/>
        </w:rPr>
        <w:t xml:space="preserve">that are used to extract essential oils and compounds from a variety of botanical materials. The </w:t>
      </w:r>
      <w:r>
        <w:rPr>
          <w:b/>
          <w:bCs/>
          <w:sz w:val="20"/>
        </w:rPr>
        <w:t>Issuer</w:t>
      </w:r>
      <w:r w:rsidRPr="00676D9D">
        <w:rPr>
          <w:b/>
          <w:bCs/>
          <w:sz w:val="20"/>
        </w:rPr>
        <w:t xml:space="preserve"> owns the </w:t>
      </w:r>
      <w:r w:rsidR="008D498D">
        <w:rPr>
          <w:b/>
          <w:bCs/>
          <w:sz w:val="20"/>
        </w:rPr>
        <w:t xml:space="preserve">US and Canadian </w:t>
      </w:r>
      <w:r w:rsidRPr="00676D9D">
        <w:rPr>
          <w:b/>
          <w:bCs/>
          <w:sz w:val="20"/>
        </w:rPr>
        <w:t>patents on its CO2 Extractors</w:t>
      </w:r>
      <w:r w:rsidR="00554103">
        <w:rPr>
          <w:b/>
          <w:bCs/>
          <w:sz w:val="20"/>
        </w:rPr>
        <w:t xml:space="preserve">. </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236FAC65" w:rsidR="009D7B87" w:rsidRPr="009C19DC" w:rsidRDefault="004D5178" w:rsidP="009D7B87">
      <w:pPr>
        <w:pStyle w:val="List"/>
        <w:spacing w:before="0"/>
        <w:ind w:left="720" w:firstLine="0"/>
        <w:jc w:val="both"/>
        <w:rPr>
          <w:b/>
          <w:sz w:val="20"/>
        </w:rPr>
      </w:pPr>
      <w:r>
        <w:rPr>
          <w:b/>
          <w:sz w:val="20"/>
        </w:rPr>
        <w:t xml:space="preserve">No new products or services </w:t>
      </w:r>
      <w:r w:rsidR="0039255F">
        <w:rPr>
          <w:b/>
          <w:sz w:val="20"/>
        </w:rPr>
        <w:t>were</w:t>
      </w:r>
      <w:r>
        <w:rPr>
          <w:b/>
          <w:sz w:val="20"/>
        </w:rPr>
        <w:t xml:space="preserve"> developed or offered during the period.</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539FEF58" w:rsidR="00902E10" w:rsidRPr="009C19DC" w:rsidRDefault="00000886" w:rsidP="00902E10">
      <w:pPr>
        <w:pStyle w:val="List"/>
        <w:spacing w:before="0"/>
        <w:ind w:left="720" w:firstLine="0"/>
        <w:jc w:val="both"/>
        <w:rPr>
          <w:b/>
          <w:sz w:val="20"/>
        </w:rPr>
      </w:pPr>
      <w:r>
        <w:rPr>
          <w:b/>
          <w:sz w:val="20"/>
        </w:rPr>
        <w:t>No new relationships have been entered into.</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39ADF2FD" w:rsidR="009D7B87" w:rsidRPr="009D7B87" w:rsidRDefault="009D7B87" w:rsidP="00000886">
      <w:pPr>
        <w:pStyle w:val="List"/>
        <w:spacing w:before="0"/>
        <w:ind w:left="720" w:firstLine="0"/>
        <w:rPr>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w:t>
      </w:r>
      <w:r w:rsidR="00000886">
        <w:rPr>
          <w:b/>
          <w:sz w:val="20"/>
        </w:rPr>
        <w:t xml:space="preserve"> and its alcohol-based extractors</w:t>
      </w:r>
      <w:r w:rsidRPr="00F7261B">
        <w:rPr>
          <w:b/>
          <w:sz w:val="20"/>
        </w:rPr>
        <w:t xml:space="preserve">. </w:t>
      </w:r>
      <w:r w:rsidR="0096097C">
        <w:rPr>
          <w:b/>
          <w:sz w:val="20"/>
        </w:rPr>
        <w:br/>
      </w: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086047CC" w14:textId="37267A02" w:rsidR="009D7B87" w:rsidRPr="00F7261B" w:rsidRDefault="004302DC" w:rsidP="009D7B87">
      <w:pPr>
        <w:pStyle w:val="List"/>
        <w:spacing w:before="0"/>
        <w:ind w:left="720" w:firstLine="0"/>
        <w:jc w:val="both"/>
        <w:rPr>
          <w:b/>
          <w:sz w:val="20"/>
        </w:rPr>
      </w:pPr>
      <w:r>
        <w:rPr>
          <w:b/>
          <w:sz w:val="20"/>
        </w:rPr>
        <w:t>The Covid-19 pandemic</w:t>
      </w:r>
      <w:r w:rsidR="009C19DC">
        <w:rPr>
          <w:b/>
          <w:sz w:val="20"/>
        </w:rPr>
        <w:t xml:space="preserve"> </w:t>
      </w:r>
      <w:r>
        <w:rPr>
          <w:b/>
          <w:sz w:val="20"/>
        </w:rPr>
        <w:t xml:space="preserve">initially </w:t>
      </w:r>
      <w:r w:rsidR="009C19DC">
        <w:rPr>
          <w:b/>
          <w:sz w:val="20"/>
        </w:rPr>
        <w:t>caused a significant drop in market inquiries and sales</w:t>
      </w:r>
      <w:r w:rsidR="0039255F">
        <w:rPr>
          <w:b/>
          <w:sz w:val="20"/>
        </w:rPr>
        <w:t>. During the reporting period</w:t>
      </w:r>
      <w:r>
        <w:rPr>
          <w:b/>
          <w:sz w:val="20"/>
        </w:rPr>
        <w:t xml:space="preserve"> inquiries</w:t>
      </w:r>
      <w:r w:rsidR="0039255F">
        <w:rPr>
          <w:b/>
          <w:sz w:val="20"/>
        </w:rPr>
        <w:t xml:space="preserve"> have increased but sales have experienced de</w:t>
      </w:r>
      <w:r>
        <w:rPr>
          <w:b/>
          <w:sz w:val="20"/>
        </w:rPr>
        <w:t>creased activity</w:t>
      </w:r>
      <w:r w:rsidR="0039255F">
        <w:rPr>
          <w:b/>
          <w:sz w:val="20"/>
        </w:rPr>
        <w:t xml:space="preserve"> and the </w:t>
      </w:r>
      <w:r w:rsidR="0039255F">
        <w:rPr>
          <w:b/>
          <w:sz w:val="20"/>
        </w:rPr>
        <w:lastRenderedPageBreak/>
        <w:t>Issuer believes the slower conversion rate is due to Covid-19 concerns.</w:t>
      </w:r>
      <w:r>
        <w:rPr>
          <w:b/>
          <w:sz w:val="20"/>
        </w:rPr>
        <w:t xml:space="preserve"> The Issuer can</w:t>
      </w:r>
      <w:r w:rsidR="009C19DC">
        <w:rPr>
          <w:b/>
          <w:sz w:val="20"/>
        </w:rPr>
        <w:t xml:space="preserve">not know </w:t>
      </w:r>
      <w:r>
        <w:rPr>
          <w:b/>
          <w:sz w:val="20"/>
        </w:rPr>
        <w:t>the go-forward extent or effect of the Covid-19 pandemic on the Issuer's operations</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7CC7746F" w:rsidR="009D7B87" w:rsidRPr="00F7261B" w:rsidRDefault="004302DC" w:rsidP="009D7B87">
      <w:pPr>
        <w:pStyle w:val="List"/>
        <w:keepNext/>
        <w:keepLines/>
        <w:spacing w:before="0"/>
        <w:ind w:left="720" w:firstLine="0"/>
        <w:jc w:val="both"/>
        <w:rPr>
          <w:b/>
          <w:sz w:val="20"/>
        </w:rPr>
      </w:pPr>
      <w:r>
        <w:rPr>
          <w:b/>
          <w:sz w:val="20"/>
        </w:rPr>
        <w:t xml:space="preserve">The Issuer has </w:t>
      </w:r>
      <w:r w:rsidR="00275B7D">
        <w:rPr>
          <w:b/>
          <w:sz w:val="20"/>
        </w:rPr>
        <w:t>no employees.</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 xml:space="preserve">Discuss any </w:t>
      </w:r>
      <w:proofErr w:type="gramStart"/>
      <w:r w:rsidRPr="009D7B87">
        <w:rPr>
          <w:sz w:val="20"/>
        </w:rPr>
        <w:t>trends which</w:t>
      </w:r>
      <w:proofErr w:type="gramEnd"/>
      <w:r w:rsidRPr="009D7B87">
        <w:rPr>
          <w:sz w:val="20"/>
        </w:rPr>
        <w:t xml:space="preserve">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7B825AEB"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004302DC">
        <w:rPr>
          <w:b/>
          <w:bCs/>
          <w:sz w:val="20"/>
        </w:rPr>
        <w:t xml:space="preserve">increase in demand for </w:t>
      </w:r>
      <w:r w:rsidRPr="00F7261B">
        <w:rPr>
          <w:b/>
          <w:bCs/>
          <w:sz w:val="20"/>
        </w:rPr>
        <w:t xml:space="preserve">extractors globally. </w:t>
      </w:r>
      <w:r w:rsidR="009C19DC">
        <w:rPr>
          <w:b/>
          <w:bCs/>
          <w:sz w:val="20"/>
        </w:rPr>
        <w:t xml:space="preserve">The Covid-19 issue is </w:t>
      </w:r>
      <w:r w:rsidR="0039255F">
        <w:rPr>
          <w:b/>
          <w:bCs/>
          <w:sz w:val="20"/>
        </w:rPr>
        <w:t>affecting</w:t>
      </w:r>
      <w:r w:rsidR="009C19DC">
        <w:rPr>
          <w:b/>
          <w:bCs/>
          <w:sz w:val="20"/>
        </w:rPr>
        <w:t xml:space="preserve"> market traffic and sales generally and this may be the case for th</w:t>
      </w:r>
      <w:bookmarkStart w:id="5" w:name="_GoBack"/>
      <w:bookmarkEnd w:id="5"/>
      <w:r w:rsidR="009C19DC">
        <w:rPr>
          <w:b/>
          <w:bCs/>
          <w:sz w:val="20"/>
        </w:rPr>
        <w:t>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7C6E02AC"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39255F">
        <w:rPr>
          <w:b/>
          <w:bCs/>
          <w:sz w:val="20"/>
          <w:u w:val="single"/>
        </w:rPr>
        <w:t>Novem</w:t>
      </w:r>
      <w:r w:rsidR="004D5178">
        <w:rPr>
          <w:b/>
          <w:bCs/>
          <w:sz w:val="20"/>
          <w:u w:val="single"/>
        </w:rPr>
        <w:t xml:space="preserve">ber </w:t>
      </w:r>
      <w:r w:rsidR="00000886">
        <w:rPr>
          <w:b/>
          <w:bCs/>
          <w:sz w:val="20"/>
          <w:u w:val="single"/>
        </w:rPr>
        <w:t>1</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1DF6FA3E" w:rsidR="009D7B87" w:rsidRPr="00ED1B0A" w:rsidRDefault="0039255F" w:rsidP="00554103">
            <w:pPr>
              <w:pStyle w:val="BodyText"/>
              <w:snapToGrid w:val="0"/>
              <w:spacing w:before="0"/>
              <w:rPr>
                <w:sz w:val="20"/>
              </w:rPr>
            </w:pPr>
            <w:r>
              <w:rPr>
                <w:sz w:val="20"/>
                <w:lang w:eastAsia="zh-CN"/>
              </w:rPr>
              <w:t>October</w:t>
            </w:r>
            <w:r w:rsidR="00000886">
              <w:rPr>
                <w:sz w:val="20"/>
                <w:lang w:eastAsia="zh-CN"/>
              </w:rPr>
              <w:t xml:space="preserve">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1915035B" w:rsidR="009D7B87" w:rsidRPr="00ED1B0A" w:rsidRDefault="00964B5B" w:rsidP="00554103">
            <w:pPr>
              <w:pStyle w:val="BodyText"/>
              <w:snapToGrid w:val="0"/>
              <w:spacing w:before="0"/>
              <w:rPr>
                <w:sz w:val="20"/>
              </w:rPr>
            </w:pPr>
            <w:r>
              <w:rPr>
                <w:sz w:val="20"/>
                <w:lang w:eastAsia="zh-CN"/>
              </w:rPr>
              <w:t>2020/</w:t>
            </w:r>
            <w:r w:rsidR="0039255F">
              <w:rPr>
                <w:sz w:val="20"/>
                <w:lang w:eastAsia="zh-CN"/>
              </w:rPr>
              <w:t>11</w:t>
            </w:r>
            <w:r w:rsidR="00150A19">
              <w:rPr>
                <w:sz w:val="20"/>
                <w:lang w:eastAsia="zh-CN"/>
              </w:rPr>
              <w:t>/</w:t>
            </w:r>
            <w:r w:rsidR="004D5178">
              <w:rPr>
                <w:sz w:val="20"/>
                <w:lang w:eastAsia="zh-CN"/>
              </w:rPr>
              <w:t>01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325114"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2511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A1AB1"/>
    <w:rsid w:val="000A39F9"/>
    <w:rsid w:val="00150A19"/>
    <w:rsid w:val="00275B7D"/>
    <w:rsid w:val="002C281E"/>
    <w:rsid w:val="002E4877"/>
    <w:rsid w:val="002F00EB"/>
    <w:rsid w:val="00325114"/>
    <w:rsid w:val="003669A9"/>
    <w:rsid w:val="00371A64"/>
    <w:rsid w:val="00387FA8"/>
    <w:rsid w:val="0039255F"/>
    <w:rsid w:val="003B38B3"/>
    <w:rsid w:val="004302DC"/>
    <w:rsid w:val="004D5178"/>
    <w:rsid w:val="005453C8"/>
    <w:rsid w:val="00554103"/>
    <w:rsid w:val="005F6D8F"/>
    <w:rsid w:val="00620E7F"/>
    <w:rsid w:val="00633ED3"/>
    <w:rsid w:val="00635E9A"/>
    <w:rsid w:val="00640E94"/>
    <w:rsid w:val="006D1A06"/>
    <w:rsid w:val="008B7E92"/>
    <w:rsid w:val="008D498D"/>
    <w:rsid w:val="00902E10"/>
    <w:rsid w:val="00922A46"/>
    <w:rsid w:val="0096097C"/>
    <w:rsid w:val="00964B5B"/>
    <w:rsid w:val="009B6865"/>
    <w:rsid w:val="009C19DC"/>
    <w:rsid w:val="009D7B87"/>
    <w:rsid w:val="00A47914"/>
    <w:rsid w:val="00B92E1F"/>
    <w:rsid w:val="00C27A18"/>
    <w:rsid w:val="00C6383E"/>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1200</Words>
  <Characters>6844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2020-10-30T14:45:00Z</dcterms:created>
  <dcterms:modified xsi:type="dcterms:W3CDTF">2020-11-01T12:49:00Z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