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DF4D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2F6ABC2" w14:textId="2EEDBAA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9E1822" w:rsidRPr="009E1822">
        <w:rPr>
          <w:rFonts w:ascii="Arial" w:hAnsi="Arial"/>
          <w:color w:val="0070C0"/>
          <w:u w:val="single"/>
        </w:rPr>
        <w:t>TerrAscend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1C27E82D" w14:textId="54A7BD5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E1822" w:rsidRPr="009E1822">
        <w:rPr>
          <w:rFonts w:ascii="Arial" w:hAnsi="Arial"/>
          <w:color w:val="0070C0"/>
        </w:rPr>
        <w:t>TER</w:t>
      </w:r>
      <w:r>
        <w:rPr>
          <w:rFonts w:ascii="Arial" w:hAnsi="Arial"/>
          <w:color w:val="000000"/>
          <w:u w:val="single"/>
        </w:rPr>
        <w:tab/>
      </w:r>
      <w:r>
        <w:rPr>
          <w:rFonts w:ascii="Arial" w:hAnsi="Arial"/>
          <w:color w:val="000000"/>
          <w:u w:val="single"/>
        </w:rPr>
        <w:tab/>
      </w:r>
    </w:p>
    <w:p w14:paraId="4202D0C0" w14:textId="3E31729B" w:rsidR="00640E94" w:rsidRPr="00DB225B" w:rsidRDefault="00640E94">
      <w:pPr>
        <w:pStyle w:val="BodyText"/>
        <w:tabs>
          <w:tab w:val="left" w:pos="7920"/>
          <w:tab w:val="left" w:pos="9180"/>
        </w:tabs>
        <w:rPr>
          <w:rFonts w:ascii="Arial" w:hAnsi="Arial"/>
          <w:color w:val="000000"/>
        </w:rPr>
      </w:pPr>
      <w:r w:rsidRPr="00294117">
        <w:rPr>
          <w:rFonts w:ascii="Arial" w:hAnsi="Arial"/>
          <w:color w:val="000000"/>
        </w:rPr>
        <w:t xml:space="preserve">Number of Outstanding </w:t>
      </w:r>
      <w:r w:rsidR="00C27A18" w:rsidRPr="00294117">
        <w:rPr>
          <w:rFonts w:ascii="Arial" w:hAnsi="Arial"/>
          <w:color w:val="000000"/>
        </w:rPr>
        <w:t>Listed</w:t>
      </w:r>
      <w:r w:rsidRPr="00294117">
        <w:rPr>
          <w:rFonts w:ascii="Arial" w:hAnsi="Arial"/>
          <w:color w:val="000000"/>
        </w:rPr>
        <w:t xml:space="preserve"> Securities:</w:t>
      </w:r>
      <w:r w:rsidR="00FD14EB" w:rsidRPr="00294117">
        <w:rPr>
          <w:rFonts w:ascii="Arial" w:hAnsi="Arial"/>
          <w:color w:val="0070C0"/>
        </w:rPr>
        <w:t xml:space="preserve"> </w:t>
      </w:r>
      <w:r w:rsidR="001119EA" w:rsidRPr="001119EA">
        <w:rPr>
          <w:rFonts w:ascii="Arial" w:hAnsi="Arial"/>
          <w:color w:val="0070C0"/>
        </w:rPr>
        <w:t>134,636,306</w:t>
      </w:r>
      <w:r w:rsidR="00A71A7F" w:rsidRPr="00655DF4">
        <w:rPr>
          <w:rFonts w:ascii="Arial" w:hAnsi="Arial"/>
          <w:color w:val="0070C0"/>
        </w:rPr>
        <w:t xml:space="preserve"> </w:t>
      </w:r>
      <w:r w:rsidR="00FD14EB" w:rsidRPr="00655DF4">
        <w:rPr>
          <w:rFonts w:ascii="Arial" w:hAnsi="Arial"/>
          <w:color w:val="0070C0"/>
        </w:rPr>
        <w:t>(</w:t>
      </w:r>
      <w:r w:rsidR="00655DF4" w:rsidRPr="00655DF4">
        <w:rPr>
          <w:rFonts w:ascii="Arial" w:hAnsi="Arial"/>
          <w:color w:val="0070C0"/>
        </w:rPr>
        <w:t xml:space="preserve">January </w:t>
      </w:r>
      <w:r w:rsidR="000E2785" w:rsidRPr="00655DF4">
        <w:rPr>
          <w:rFonts w:ascii="Arial" w:hAnsi="Arial"/>
          <w:color w:val="0070C0"/>
        </w:rPr>
        <w:t>31</w:t>
      </w:r>
      <w:r w:rsidR="00FD14EB" w:rsidRPr="00655DF4">
        <w:rPr>
          <w:rFonts w:ascii="Arial" w:hAnsi="Arial"/>
          <w:color w:val="0070C0"/>
        </w:rPr>
        <w:t>, 2020)</w:t>
      </w:r>
      <w:r w:rsidRPr="00DB225B">
        <w:rPr>
          <w:rFonts w:ascii="Arial" w:hAnsi="Arial"/>
          <w:color w:val="000000"/>
          <w:u w:val="single"/>
        </w:rPr>
        <w:tab/>
      </w:r>
      <w:r w:rsidRPr="00DB225B">
        <w:rPr>
          <w:rFonts w:ascii="Arial" w:hAnsi="Arial"/>
          <w:color w:val="000000"/>
          <w:u w:val="single"/>
        </w:rPr>
        <w:tab/>
      </w:r>
    </w:p>
    <w:p w14:paraId="010F3DC1" w14:textId="4415DBBF" w:rsidR="00640E94" w:rsidRDefault="00640E94">
      <w:pPr>
        <w:pStyle w:val="BodyText"/>
        <w:tabs>
          <w:tab w:val="left" w:pos="7920"/>
          <w:tab w:val="left" w:pos="9180"/>
        </w:tabs>
        <w:rPr>
          <w:rFonts w:ascii="Arial" w:hAnsi="Arial"/>
          <w:color w:val="000000"/>
        </w:rPr>
      </w:pPr>
      <w:r w:rsidRPr="00DB225B">
        <w:rPr>
          <w:rFonts w:ascii="Arial" w:hAnsi="Arial"/>
          <w:color w:val="000000"/>
        </w:rPr>
        <w:t>Date:</w:t>
      </w:r>
      <w:r w:rsidR="00D064DF" w:rsidRPr="00DB225B">
        <w:rPr>
          <w:rFonts w:ascii="Arial" w:hAnsi="Arial"/>
          <w:color w:val="000000"/>
        </w:rPr>
        <w:t xml:space="preserve"> </w:t>
      </w:r>
      <w:r w:rsidR="00655DF4">
        <w:rPr>
          <w:rFonts w:ascii="Arial" w:hAnsi="Arial"/>
          <w:color w:val="0070C0"/>
        </w:rPr>
        <w:t xml:space="preserve">February </w:t>
      </w:r>
      <w:r w:rsidR="001A2305">
        <w:rPr>
          <w:rFonts w:ascii="Arial" w:hAnsi="Arial"/>
          <w:color w:val="0070C0"/>
        </w:rPr>
        <w:t>4</w:t>
      </w:r>
      <w:r w:rsidR="000E2785">
        <w:rPr>
          <w:rFonts w:ascii="Arial" w:hAnsi="Arial"/>
          <w:color w:val="0070C0"/>
        </w:rPr>
        <w:t>, 2021</w:t>
      </w:r>
      <w:r>
        <w:rPr>
          <w:rFonts w:ascii="Arial" w:hAnsi="Arial"/>
          <w:color w:val="000000"/>
          <w:u w:val="single"/>
        </w:rPr>
        <w:tab/>
      </w:r>
      <w:r>
        <w:rPr>
          <w:rFonts w:ascii="Arial" w:hAnsi="Arial"/>
          <w:color w:val="000000"/>
          <w:u w:val="single"/>
        </w:rPr>
        <w:tab/>
      </w:r>
    </w:p>
    <w:p w14:paraId="40C0CD1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F8892C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573635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6B6B6ED" w14:textId="005E116D"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A94967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15D0A1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958799B" w14:textId="77777777" w:rsidR="00640E94" w:rsidRDefault="00640E94">
      <w:pPr>
        <w:pStyle w:val="List"/>
        <w:keepLines/>
        <w:spacing w:before="120"/>
        <w:ind w:left="0" w:firstLine="0"/>
        <w:rPr>
          <w:rFonts w:ascii="Arial" w:hAnsi="Arial"/>
          <w:b/>
        </w:rPr>
      </w:pPr>
      <w:r>
        <w:rPr>
          <w:rFonts w:ascii="Arial" w:hAnsi="Arial"/>
          <w:b/>
        </w:rPr>
        <w:t>Report on Business</w:t>
      </w:r>
    </w:p>
    <w:p w14:paraId="023E0F12" w14:textId="6827CF06"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52B419F" w14:textId="77777777" w:rsidR="001D6B7C" w:rsidRDefault="00995BFD" w:rsidP="00EF6B8C">
      <w:pPr>
        <w:pStyle w:val="List"/>
        <w:spacing w:before="120"/>
        <w:ind w:left="720" w:firstLine="0"/>
        <w:jc w:val="both"/>
        <w:rPr>
          <w:rFonts w:ascii="Arial" w:hAnsi="Arial"/>
          <w:color w:val="0070C0"/>
        </w:rPr>
      </w:pPr>
      <w:r w:rsidRPr="00995BFD">
        <w:rPr>
          <w:rFonts w:ascii="Arial" w:hAnsi="Arial"/>
          <w:b/>
          <w:bCs/>
          <w:color w:val="0070C0"/>
          <w:u w:val="single"/>
        </w:rPr>
        <w:t>Issuer Response:</w:t>
      </w:r>
      <w:r>
        <w:rPr>
          <w:rFonts w:ascii="Arial" w:hAnsi="Arial"/>
          <w:color w:val="0070C0"/>
        </w:rPr>
        <w:t xml:space="preserve"> </w:t>
      </w:r>
      <w:r w:rsidR="001D6B7C">
        <w:rPr>
          <w:rFonts w:ascii="Arial" w:hAnsi="Arial"/>
          <w:color w:val="0070C0"/>
        </w:rPr>
        <w:t xml:space="preserve"> </w:t>
      </w:r>
    </w:p>
    <w:p w14:paraId="50E76AF9" w14:textId="1C63C976" w:rsidR="00667CE5" w:rsidRDefault="001D6B7C" w:rsidP="00EF6B8C">
      <w:pPr>
        <w:pStyle w:val="List"/>
        <w:spacing w:before="120"/>
        <w:ind w:left="720" w:firstLine="0"/>
        <w:jc w:val="both"/>
        <w:rPr>
          <w:rFonts w:ascii="Arial" w:hAnsi="Arial"/>
          <w:color w:val="0070C0"/>
        </w:rPr>
      </w:pPr>
      <w:r>
        <w:rPr>
          <w:rFonts w:ascii="Arial" w:hAnsi="Arial"/>
          <w:color w:val="0070C0"/>
        </w:rPr>
        <w:t>On January 11, 202</w:t>
      </w:r>
      <w:r w:rsidR="00E34DB0">
        <w:rPr>
          <w:rFonts w:ascii="Arial" w:hAnsi="Arial"/>
          <w:color w:val="0070C0"/>
        </w:rPr>
        <w:t>1</w:t>
      </w:r>
      <w:r>
        <w:rPr>
          <w:rFonts w:ascii="Arial" w:hAnsi="Arial"/>
          <w:color w:val="0070C0"/>
        </w:rPr>
        <w:t xml:space="preserve">, the </w:t>
      </w:r>
      <w:r w:rsidR="006D2454">
        <w:rPr>
          <w:rFonts w:ascii="Arial" w:hAnsi="Arial"/>
          <w:color w:val="0070C0"/>
        </w:rPr>
        <w:t>Issue</w:t>
      </w:r>
      <w:r w:rsidR="007C49B1">
        <w:rPr>
          <w:rFonts w:ascii="Arial" w:hAnsi="Arial"/>
          <w:color w:val="0070C0"/>
        </w:rPr>
        <w:t>r</w:t>
      </w:r>
      <w:r w:rsidR="006D2454">
        <w:rPr>
          <w:rFonts w:ascii="Arial" w:hAnsi="Arial"/>
          <w:color w:val="0070C0"/>
        </w:rPr>
        <w:t xml:space="preserve"> completed the second phase of construction at its cultivation and manufacturing facility located in Boonton, New Jersey (the “Boonton facility”). This phase of construction added approximately 80,000 square </w:t>
      </w:r>
      <w:r w:rsidR="006D2454">
        <w:rPr>
          <w:rFonts w:ascii="Arial" w:hAnsi="Arial"/>
          <w:color w:val="0070C0"/>
        </w:rPr>
        <w:lastRenderedPageBreak/>
        <w:t xml:space="preserve">feet of indoor cultivation to the existing on-side greenhouse and post-harvest manufacturing facilities, bringing the Boonton facility’s total current footprint to approximately 140,000 square feet. </w:t>
      </w:r>
    </w:p>
    <w:p w14:paraId="7377FD59" w14:textId="060D4892" w:rsidR="00A40F4E" w:rsidRDefault="00A40F4E" w:rsidP="00EF6B8C">
      <w:pPr>
        <w:pStyle w:val="List"/>
        <w:spacing w:before="120"/>
        <w:ind w:left="720" w:firstLine="0"/>
        <w:jc w:val="both"/>
        <w:rPr>
          <w:rFonts w:ascii="Arial" w:hAnsi="Arial"/>
          <w:color w:val="0070C0"/>
        </w:rPr>
      </w:pPr>
      <w:r w:rsidRPr="00A40F4E">
        <w:rPr>
          <w:rFonts w:ascii="Arial" w:hAnsi="Arial"/>
          <w:color w:val="0070C0"/>
        </w:rPr>
        <w:t>On January 2</w:t>
      </w:r>
      <w:r w:rsidR="00E34DB0">
        <w:rPr>
          <w:rFonts w:ascii="Arial" w:hAnsi="Arial"/>
          <w:color w:val="0070C0"/>
        </w:rPr>
        <w:t>7,</w:t>
      </w:r>
      <w:r w:rsidR="00E34DB0">
        <w:rPr>
          <w:rFonts w:ascii="Arial" w:hAnsi="Arial"/>
          <w:color w:val="0070C0"/>
          <w:vertAlign w:val="superscript"/>
        </w:rPr>
        <w:t xml:space="preserve"> </w:t>
      </w:r>
      <w:r w:rsidR="00E34DB0">
        <w:rPr>
          <w:rFonts w:ascii="Arial" w:hAnsi="Arial"/>
          <w:color w:val="0070C0"/>
        </w:rPr>
        <w:t>2021</w:t>
      </w:r>
      <w:r w:rsidRPr="00A40F4E">
        <w:rPr>
          <w:rFonts w:ascii="Arial" w:hAnsi="Arial"/>
          <w:color w:val="0070C0"/>
        </w:rPr>
        <w:t>, TerrAscend Canada expanded a voluntary recall on a lot of Haven St. Wild Berry THC Infused Soft Chew to include all Haven St. soft chew gummies that were sold in the provinces of BC, Alberta, Saskatchewan, Manitoba, Ontario, New Brunswick, PEI and Newfoundland. TerrAscend Canada proactively took this action after receiving consumer complaints alleging the presence of mould on certain gummies. Health Canada was notified and TerrAscend Canada continues to work collaboratively with the agency to follow their recommended actions for this voluntary recall.</w:t>
      </w:r>
    </w:p>
    <w:p w14:paraId="5676632F" w14:textId="1AB05897" w:rsidR="00430823" w:rsidRDefault="00430823" w:rsidP="00EF6B8C">
      <w:pPr>
        <w:pStyle w:val="List"/>
        <w:spacing w:before="120"/>
        <w:ind w:left="720" w:firstLine="0"/>
        <w:jc w:val="both"/>
        <w:rPr>
          <w:rFonts w:ascii="Arial" w:hAnsi="Arial"/>
          <w:color w:val="0070C0"/>
        </w:rPr>
      </w:pPr>
      <w:r>
        <w:rPr>
          <w:rFonts w:ascii="Arial" w:hAnsi="Arial"/>
          <w:color w:val="0070C0"/>
        </w:rPr>
        <w:t>On January 28</w:t>
      </w:r>
      <w:r w:rsidR="00E34DB0">
        <w:rPr>
          <w:rFonts w:ascii="Arial" w:hAnsi="Arial"/>
          <w:color w:val="0070C0"/>
        </w:rPr>
        <w:t>, 2021</w:t>
      </w:r>
      <w:r>
        <w:rPr>
          <w:rFonts w:ascii="Arial" w:hAnsi="Arial"/>
          <w:color w:val="0070C0"/>
        </w:rPr>
        <w:t xml:space="preserve">, the Issuer </w:t>
      </w:r>
      <w:r w:rsidR="00667CE5" w:rsidRPr="00667CE5">
        <w:rPr>
          <w:rFonts w:ascii="Arial" w:hAnsi="Arial"/>
          <w:color w:val="0070C0"/>
        </w:rPr>
        <w:t>announced the closing of its previously announced non-brokered private placement. In total</w:t>
      </w:r>
      <w:r w:rsidR="007C49B1">
        <w:rPr>
          <w:rFonts w:ascii="Arial" w:hAnsi="Arial"/>
          <w:color w:val="0070C0"/>
        </w:rPr>
        <w:t>,</w:t>
      </w:r>
      <w:r w:rsidR="00667CE5" w:rsidRPr="00667CE5">
        <w:rPr>
          <w:rFonts w:ascii="Arial" w:hAnsi="Arial"/>
          <w:color w:val="0070C0"/>
        </w:rPr>
        <w:t xml:space="preserve"> 18,115,656 common shares in the capital of the </w:t>
      </w:r>
      <w:r w:rsidR="008E74EF">
        <w:rPr>
          <w:rFonts w:ascii="Arial" w:hAnsi="Arial"/>
          <w:color w:val="0070C0"/>
        </w:rPr>
        <w:t>Issuer</w:t>
      </w:r>
      <w:r w:rsidR="00667CE5" w:rsidRPr="00667CE5">
        <w:rPr>
          <w:rFonts w:ascii="Arial" w:hAnsi="Arial"/>
          <w:color w:val="0070C0"/>
        </w:rPr>
        <w:t xml:space="preserve"> (the “Common Shares”) were issued at the price of C$12.35 per Common Share (“the “Offering”), raising gross proceeds of C$224 million with 80% coming from four large U.S. institutional investors.</w:t>
      </w:r>
    </w:p>
    <w:p w14:paraId="5FD9FEB1" w14:textId="5B20A9CC" w:rsidR="008E74EF" w:rsidRDefault="003D4B01">
      <w:pPr>
        <w:pStyle w:val="List"/>
        <w:spacing w:before="120"/>
        <w:ind w:left="720" w:firstLine="0"/>
        <w:jc w:val="both"/>
        <w:rPr>
          <w:rFonts w:ascii="Arial" w:hAnsi="Arial"/>
          <w:color w:val="0070C0"/>
        </w:rPr>
      </w:pPr>
      <w:r>
        <w:rPr>
          <w:rFonts w:ascii="Arial" w:hAnsi="Arial"/>
          <w:color w:val="0070C0"/>
        </w:rPr>
        <w:t xml:space="preserve">During the month of </w:t>
      </w:r>
      <w:r w:rsidR="00FD4BB9">
        <w:rPr>
          <w:rFonts w:ascii="Arial" w:hAnsi="Arial"/>
          <w:color w:val="0070C0"/>
        </w:rPr>
        <w:t>January</w:t>
      </w:r>
      <w:r>
        <w:rPr>
          <w:rFonts w:ascii="Arial" w:hAnsi="Arial"/>
          <w:color w:val="0070C0"/>
        </w:rPr>
        <w:t>, t</w:t>
      </w:r>
      <w:r w:rsidR="009E1822">
        <w:rPr>
          <w:rFonts w:ascii="Arial" w:hAnsi="Arial"/>
          <w:color w:val="0070C0"/>
        </w:rPr>
        <w:t>he Issuer continu</w:t>
      </w:r>
      <w:r>
        <w:rPr>
          <w:rFonts w:ascii="Arial" w:hAnsi="Arial"/>
          <w:color w:val="0070C0"/>
        </w:rPr>
        <w:t>ed</w:t>
      </w:r>
      <w:r w:rsidR="009E1822">
        <w:rPr>
          <w:rFonts w:ascii="Arial" w:hAnsi="Arial"/>
          <w:color w:val="0070C0"/>
        </w:rPr>
        <w:t xml:space="preserve"> </w:t>
      </w:r>
      <w:r>
        <w:rPr>
          <w:rFonts w:ascii="Arial" w:hAnsi="Arial"/>
          <w:color w:val="0070C0"/>
        </w:rPr>
        <w:t xml:space="preserve">to </w:t>
      </w:r>
      <w:r w:rsidR="007E70F5">
        <w:rPr>
          <w:rFonts w:ascii="Arial" w:hAnsi="Arial"/>
          <w:color w:val="0070C0"/>
        </w:rPr>
        <w:t>execut</w:t>
      </w:r>
      <w:r>
        <w:rPr>
          <w:rFonts w:ascii="Arial" w:hAnsi="Arial"/>
          <w:color w:val="0070C0"/>
        </w:rPr>
        <w:t>e</w:t>
      </w:r>
      <w:r w:rsidR="007605B3">
        <w:rPr>
          <w:rFonts w:ascii="Arial" w:hAnsi="Arial"/>
          <w:color w:val="0070C0"/>
        </w:rPr>
        <w:t xml:space="preserve"> </w:t>
      </w:r>
      <w:r w:rsidR="00590A28">
        <w:rPr>
          <w:rFonts w:ascii="Arial" w:hAnsi="Arial"/>
          <w:color w:val="0070C0"/>
        </w:rPr>
        <w:t xml:space="preserve">on </w:t>
      </w:r>
      <w:r w:rsidR="007605B3">
        <w:rPr>
          <w:rFonts w:ascii="Arial" w:hAnsi="Arial"/>
          <w:color w:val="0070C0"/>
        </w:rPr>
        <w:t xml:space="preserve">its </w:t>
      </w:r>
      <w:r w:rsidR="00A048FD">
        <w:rPr>
          <w:rFonts w:ascii="Arial" w:hAnsi="Arial"/>
          <w:color w:val="0070C0"/>
        </w:rPr>
        <w:t>business</w:t>
      </w:r>
      <w:r w:rsidR="007605B3">
        <w:rPr>
          <w:rFonts w:ascii="Arial" w:hAnsi="Arial"/>
          <w:color w:val="0070C0"/>
        </w:rPr>
        <w:t xml:space="preserve"> strategy</w:t>
      </w:r>
      <w:r w:rsidR="00590A28">
        <w:rPr>
          <w:rFonts w:ascii="Arial" w:hAnsi="Arial"/>
          <w:color w:val="0070C0"/>
        </w:rPr>
        <w:t xml:space="preserve"> and operations</w:t>
      </w:r>
      <w:r w:rsidR="002D1CC3">
        <w:rPr>
          <w:rFonts w:ascii="Arial" w:hAnsi="Arial"/>
          <w:color w:val="0070C0"/>
        </w:rPr>
        <w:t xml:space="preserve"> while</w:t>
      </w:r>
      <w:r w:rsidR="009B6E2C">
        <w:rPr>
          <w:rFonts w:ascii="Arial" w:hAnsi="Arial"/>
          <w:color w:val="0070C0"/>
        </w:rPr>
        <w:t xml:space="preserve"> managing the impact</w:t>
      </w:r>
      <w:r w:rsidR="002D1CC3">
        <w:rPr>
          <w:rFonts w:ascii="Arial" w:hAnsi="Arial"/>
          <w:color w:val="0070C0"/>
        </w:rPr>
        <w:t xml:space="preserve"> of COVID-19 throughout the organ</w:t>
      </w:r>
      <w:r w:rsidR="0067569B">
        <w:rPr>
          <w:rFonts w:ascii="Arial" w:hAnsi="Arial"/>
          <w:color w:val="0070C0"/>
        </w:rPr>
        <w:t>ization</w:t>
      </w:r>
      <w:r w:rsidR="0027326A">
        <w:rPr>
          <w:rFonts w:ascii="Arial" w:hAnsi="Arial"/>
          <w:color w:val="0070C0"/>
        </w:rPr>
        <w:t>.</w:t>
      </w:r>
      <w:r>
        <w:rPr>
          <w:rFonts w:ascii="Arial" w:hAnsi="Arial"/>
          <w:color w:val="0070C0"/>
        </w:rPr>
        <w:t xml:space="preserve"> </w:t>
      </w:r>
      <w:r w:rsidR="00944382">
        <w:rPr>
          <w:rFonts w:ascii="Arial" w:hAnsi="Arial"/>
          <w:color w:val="0070C0"/>
        </w:rPr>
        <w:t xml:space="preserve"> </w:t>
      </w:r>
    </w:p>
    <w:p w14:paraId="1CBF9FE5" w14:textId="4C1BD34D" w:rsidR="00371B97" w:rsidRPr="00217D1B" w:rsidRDefault="00640E94" w:rsidP="00383D79">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ADAC77A" w14:textId="77777777" w:rsidR="00217D1B" w:rsidRPr="00217D1B" w:rsidRDefault="00995BFD" w:rsidP="00217D1B">
      <w:pPr>
        <w:pStyle w:val="List"/>
        <w:ind w:left="720" w:firstLine="0"/>
        <w:jc w:val="both"/>
        <w:rPr>
          <w:rFonts w:ascii="Arial" w:hAnsi="Arial"/>
          <w:color w:val="0070C0"/>
        </w:rPr>
      </w:pPr>
      <w:r w:rsidRPr="00995BFD">
        <w:rPr>
          <w:rFonts w:ascii="Arial" w:hAnsi="Arial"/>
          <w:b/>
          <w:bCs/>
          <w:color w:val="0070C0"/>
          <w:u w:val="single"/>
        </w:rPr>
        <w:t>Issuer Response:</w:t>
      </w:r>
      <w:r w:rsidR="005C3FF3">
        <w:rPr>
          <w:rFonts w:ascii="Arial" w:hAnsi="Arial"/>
          <w:color w:val="0070C0"/>
        </w:rPr>
        <w:t xml:space="preserve"> </w:t>
      </w:r>
      <w:r w:rsidR="00217D1B" w:rsidRPr="00217D1B">
        <w:rPr>
          <w:rFonts w:ascii="Arial" w:hAnsi="Arial"/>
          <w:color w:val="0070C0"/>
        </w:rPr>
        <w:t>Management continues to focus on building a sustainable and</w:t>
      </w:r>
    </w:p>
    <w:p w14:paraId="019C9E62" w14:textId="462371BB" w:rsidR="00BA38DD" w:rsidRDefault="00217D1B" w:rsidP="00217D1B">
      <w:pPr>
        <w:pStyle w:val="List"/>
        <w:spacing w:before="0"/>
        <w:ind w:left="720" w:firstLine="0"/>
        <w:jc w:val="both"/>
        <w:rPr>
          <w:rFonts w:ascii="Arial" w:hAnsi="Arial"/>
          <w:color w:val="0070C0"/>
        </w:rPr>
      </w:pPr>
      <w:r w:rsidRPr="00217D1B">
        <w:rPr>
          <w:rFonts w:ascii="Arial" w:hAnsi="Arial"/>
          <w:color w:val="0070C0"/>
        </w:rPr>
        <w:t>profitable business across the various markets in which it operates.</w:t>
      </w:r>
    </w:p>
    <w:p w14:paraId="0017434B" w14:textId="76D502B8" w:rsidR="00640E94" w:rsidRPr="00880071" w:rsidRDefault="00640E94">
      <w:pPr>
        <w:pStyle w:val="List"/>
        <w:numPr>
          <w:ilvl w:val="0"/>
          <w:numId w:val="28"/>
        </w:numPr>
        <w:spacing w:before="120"/>
        <w:jc w:val="both"/>
        <w:rPr>
          <w:rFonts w:ascii="Arial" w:hAnsi="Arial"/>
        </w:rPr>
      </w:pPr>
      <w:r w:rsidRPr="00880071">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880071">
            <w:rPr>
              <w:rFonts w:ascii="Arial" w:hAnsi="Arial"/>
            </w:rPr>
            <w:t>Ontario</w:t>
          </w:r>
        </w:smartTag>
      </w:smartTag>
      <w:r w:rsidRPr="00880071">
        <w:rPr>
          <w:rFonts w:ascii="Arial" w:hAnsi="Arial"/>
        </w:rPr>
        <w:t xml:space="preserve"> securities law.</w:t>
      </w:r>
    </w:p>
    <w:p w14:paraId="32FCEC55" w14:textId="1DC9654D" w:rsidR="007B1FD3" w:rsidRPr="00880071" w:rsidRDefault="00995BFD" w:rsidP="00416017">
      <w:pPr>
        <w:pStyle w:val="List"/>
        <w:spacing w:before="120"/>
        <w:ind w:left="720" w:firstLine="0"/>
        <w:jc w:val="both"/>
        <w:rPr>
          <w:rFonts w:ascii="Arial" w:hAnsi="Arial"/>
          <w:color w:val="0070C0"/>
        </w:rPr>
      </w:pPr>
      <w:r w:rsidRPr="00880071">
        <w:rPr>
          <w:rFonts w:ascii="Arial" w:hAnsi="Arial"/>
          <w:b/>
          <w:bCs/>
          <w:color w:val="0070C0"/>
          <w:u w:val="single"/>
        </w:rPr>
        <w:t>Issuer Response:</w:t>
      </w:r>
      <w:r w:rsidR="00217D1B" w:rsidRPr="00880071">
        <w:rPr>
          <w:rFonts w:ascii="Arial" w:hAnsi="Arial"/>
          <w:color w:val="0070C0"/>
        </w:rPr>
        <w:t xml:space="preserve"> </w:t>
      </w:r>
      <w:r w:rsidR="001826A1">
        <w:rPr>
          <w:rFonts w:ascii="Arial" w:hAnsi="Arial"/>
          <w:color w:val="0070C0"/>
        </w:rPr>
        <w:t xml:space="preserve">None. </w:t>
      </w:r>
    </w:p>
    <w:p w14:paraId="177D39A3" w14:textId="7C2C7932" w:rsidR="00640E94" w:rsidRPr="00880071" w:rsidRDefault="00640E94">
      <w:pPr>
        <w:pStyle w:val="List"/>
        <w:numPr>
          <w:ilvl w:val="0"/>
          <w:numId w:val="28"/>
        </w:numPr>
        <w:spacing w:before="120"/>
        <w:jc w:val="both"/>
        <w:rPr>
          <w:rFonts w:ascii="Arial" w:hAnsi="Arial"/>
        </w:rPr>
      </w:pPr>
      <w:r w:rsidRPr="00880071">
        <w:rPr>
          <w:rFonts w:ascii="Arial" w:hAnsi="Arial"/>
        </w:rPr>
        <w:t>Describe and provide details of any products or services that were discontinued. For resource companies, provide details of any drilling, exploration or production programs that have been amended or abandoned.</w:t>
      </w:r>
    </w:p>
    <w:p w14:paraId="13DFED2B" w14:textId="6BD797B0" w:rsidR="007B1FD3" w:rsidRPr="004A539A" w:rsidRDefault="00995BFD" w:rsidP="00217D1B">
      <w:pPr>
        <w:pStyle w:val="List"/>
        <w:spacing w:before="120"/>
        <w:ind w:left="720" w:firstLine="0"/>
        <w:jc w:val="both"/>
        <w:rPr>
          <w:rFonts w:ascii="Arial" w:hAnsi="Arial"/>
          <w:color w:val="0070C0"/>
        </w:rPr>
      </w:pPr>
      <w:r w:rsidRPr="00880071">
        <w:rPr>
          <w:rFonts w:ascii="Arial" w:hAnsi="Arial"/>
          <w:b/>
          <w:bCs/>
          <w:color w:val="0070C0"/>
          <w:u w:val="single"/>
        </w:rPr>
        <w:t>Issuer Response:</w:t>
      </w:r>
      <w:r w:rsidR="00B97A20">
        <w:rPr>
          <w:rFonts w:ascii="Arial" w:hAnsi="Arial"/>
          <w:b/>
          <w:bCs/>
          <w:color w:val="0070C0"/>
        </w:rPr>
        <w:t xml:space="preserve"> </w:t>
      </w:r>
      <w:r w:rsidR="00383D79">
        <w:rPr>
          <w:rFonts w:ascii="Arial" w:hAnsi="Arial"/>
          <w:color w:val="0070C0"/>
        </w:rPr>
        <w:t>None.</w:t>
      </w:r>
      <w:r w:rsidR="0045007A">
        <w:rPr>
          <w:rFonts w:ascii="Arial" w:hAnsi="Arial"/>
          <w:color w:val="0070C0"/>
        </w:rPr>
        <w:t xml:space="preserve"> </w:t>
      </w:r>
    </w:p>
    <w:p w14:paraId="3A18EE32" w14:textId="638A0A44"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DE6A0AD" w14:textId="2DB83DDF" w:rsidR="002D6519" w:rsidRDefault="00995BFD" w:rsidP="00416017">
      <w:pPr>
        <w:pStyle w:val="List"/>
        <w:spacing w:before="120"/>
        <w:ind w:left="720" w:firstLine="0"/>
        <w:jc w:val="both"/>
        <w:rPr>
          <w:rFonts w:ascii="Arial" w:hAnsi="Arial"/>
          <w:color w:val="0070C0"/>
        </w:rPr>
      </w:pPr>
      <w:r w:rsidRPr="00995BFD">
        <w:rPr>
          <w:rFonts w:ascii="Arial" w:hAnsi="Arial"/>
          <w:b/>
          <w:bCs/>
          <w:color w:val="0070C0"/>
          <w:u w:val="single"/>
        </w:rPr>
        <w:t>Issuer Response:</w:t>
      </w:r>
      <w:r w:rsidR="00AB4D43">
        <w:rPr>
          <w:rFonts w:ascii="Arial" w:hAnsi="Arial"/>
          <w:color w:val="0070C0"/>
        </w:rPr>
        <w:t xml:space="preserve"> </w:t>
      </w:r>
      <w:r w:rsidR="001826A1">
        <w:rPr>
          <w:rFonts w:ascii="Arial" w:hAnsi="Arial"/>
          <w:color w:val="0070C0"/>
        </w:rPr>
        <w:t xml:space="preserve">None. </w:t>
      </w:r>
    </w:p>
    <w:p w14:paraId="0220EF2B" w14:textId="52285545" w:rsidR="004A539A" w:rsidRPr="00EF6B8C" w:rsidRDefault="00640E94" w:rsidP="00EF6B8C">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792B885" w14:textId="7B2F918B" w:rsidR="007B1FD3" w:rsidRPr="00EF6B8C" w:rsidRDefault="00995BFD" w:rsidP="00217D1B">
      <w:pPr>
        <w:pStyle w:val="List"/>
        <w:spacing w:before="120"/>
        <w:ind w:left="720" w:firstLine="0"/>
        <w:jc w:val="both"/>
        <w:rPr>
          <w:rFonts w:ascii="Arial" w:hAnsi="Arial"/>
          <w:color w:val="0070C0"/>
        </w:rPr>
      </w:pPr>
      <w:r w:rsidRPr="00995BFD">
        <w:rPr>
          <w:rFonts w:ascii="Arial" w:hAnsi="Arial"/>
          <w:b/>
          <w:bCs/>
          <w:color w:val="0070C0"/>
          <w:u w:val="single"/>
        </w:rPr>
        <w:t>Issuer Response:</w:t>
      </w:r>
      <w:r w:rsidR="00217D1B">
        <w:rPr>
          <w:rFonts w:ascii="Arial" w:hAnsi="Arial"/>
          <w:color w:val="0070C0"/>
        </w:rPr>
        <w:t xml:space="preserve"> </w:t>
      </w:r>
      <w:r w:rsidR="006B137B">
        <w:rPr>
          <w:rFonts w:ascii="Arial" w:hAnsi="Arial"/>
          <w:color w:val="0070C0"/>
        </w:rPr>
        <w:t xml:space="preserve"> </w:t>
      </w:r>
      <w:r w:rsidR="005A70E5">
        <w:rPr>
          <w:rFonts w:ascii="Arial" w:hAnsi="Arial"/>
          <w:color w:val="0070C0"/>
        </w:rPr>
        <w:t>None.</w:t>
      </w:r>
      <w:r w:rsidR="00A56C41">
        <w:rPr>
          <w:rFonts w:ascii="Arial" w:hAnsi="Arial"/>
          <w:color w:val="0070C0"/>
        </w:rPr>
        <w:t xml:space="preserve"> </w:t>
      </w:r>
      <w:r w:rsidR="00294117">
        <w:rPr>
          <w:rFonts w:ascii="Arial" w:hAnsi="Arial"/>
          <w:color w:val="0070C0"/>
        </w:rPr>
        <w:t xml:space="preserve"> </w:t>
      </w:r>
    </w:p>
    <w:p w14:paraId="0B242482" w14:textId="455BADEA"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339A7B9" w14:textId="6D42AF2F" w:rsidR="007B1FD3" w:rsidRPr="00416017" w:rsidRDefault="00995BFD" w:rsidP="00383D79">
      <w:pPr>
        <w:pStyle w:val="List"/>
        <w:spacing w:before="120"/>
        <w:ind w:left="720" w:firstLine="0"/>
        <w:jc w:val="both"/>
        <w:rPr>
          <w:rFonts w:ascii="Arial" w:hAnsi="Arial"/>
        </w:rPr>
      </w:pPr>
      <w:r w:rsidRPr="00995BFD">
        <w:rPr>
          <w:rFonts w:ascii="Arial" w:hAnsi="Arial"/>
          <w:b/>
          <w:bCs/>
          <w:color w:val="0070C0"/>
          <w:u w:val="single"/>
        </w:rPr>
        <w:t>Issuer Response</w:t>
      </w:r>
      <w:r w:rsidR="003E7B85">
        <w:rPr>
          <w:rFonts w:ascii="Arial" w:hAnsi="Arial"/>
          <w:b/>
          <w:bCs/>
          <w:color w:val="0070C0"/>
          <w:u w:val="single"/>
        </w:rPr>
        <w:t>:</w:t>
      </w:r>
      <w:r w:rsidR="003E7B85" w:rsidRPr="003E7B85">
        <w:rPr>
          <w:rFonts w:ascii="Arial" w:hAnsi="Arial"/>
          <w:color w:val="0070C0"/>
        </w:rPr>
        <w:t xml:space="preserve"> </w:t>
      </w:r>
      <w:r w:rsidR="00383D79" w:rsidRPr="001C40AD">
        <w:rPr>
          <w:rFonts w:ascii="Arial" w:hAnsi="Arial"/>
          <w:color w:val="0070C0"/>
        </w:rPr>
        <w:t xml:space="preserve">None. </w:t>
      </w:r>
      <w:r w:rsidR="00FD4107">
        <w:rPr>
          <w:rFonts w:ascii="Arial" w:hAnsi="Arial"/>
          <w:color w:val="0070C0"/>
        </w:rPr>
        <w:t xml:space="preserve"> </w:t>
      </w:r>
    </w:p>
    <w:p w14:paraId="04994CF9" w14:textId="5CC300F6"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0BE67C1" w14:textId="77704813" w:rsidR="007B1FD3" w:rsidRDefault="00995BFD" w:rsidP="00416017">
      <w:pPr>
        <w:pStyle w:val="List"/>
        <w:spacing w:before="120"/>
        <w:ind w:left="720" w:firstLine="0"/>
        <w:jc w:val="both"/>
        <w:rPr>
          <w:rFonts w:ascii="Arial" w:hAnsi="Arial"/>
          <w:color w:val="0070C0"/>
        </w:rPr>
      </w:pPr>
      <w:r w:rsidRPr="00995BFD">
        <w:rPr>
          <w:rFonts w:ascii="Arial" w:hAnsi="Arial"/>
          <w:b/>
          <w:bCs/>
          <w:color w:val="0070C0"/>
          <w:u w:val="single"/>
        </w:rPr>
        <w:t>Issuer Response:</w:t>
      </w:r>
      <w:r>
        <w:rPr>
          <w:rFonts w:ascii="Arial" w:hAnsi="Arial"/>
          <w:color w:val="0070C0"/>
        </w:rPr>
        <w:t xml:space="preserve"> </w:t>
      </w:r>
      <w:r w:rsidR="009800B3" w:rsidRPr="00CF07A3">
        <w:rPr>
          <w:rFonts w:ascii="Arial" w:hAnsi="Arial"/>
          <w:color w:val="0070C0"/>
        </w:rPr>
        <w:t>The Issuer and its operating companies continue</w:t>
      </w:r>
      <w:r w:rsidR="00F476B3" w:rsidRPr="00CF07A3">
        <w:rPr>
          <w:rFonts w:ascii="Arial" w:hAnsi="Arial"/>
          <w:color w:val="0070C0"/>
        </w:rPr>
        <w:t>d</w:t>
      </w:r>
      <w:r w:rsidR="009800B3" w:rsidRPr="00CF07A3">
        <w:rPr>
          <w:rFonts w:ascii="Arial" w:hAnsi="Arial"/>
          <w:color w:val="0070C0"/>
        </w:rPr>
        <w:t xml:space="preserve"> to acquire new customers/patients to support the Issuer’s business model, and, the Issuer also los</w:t>
      </w:r>
      <w:r w:rsidR="00F476B3" w:rsidRPr="00CF07A3">
        <w:rPr>
          <w:rFonts w:ascii="Arial" w:hAnsi="Arial"/>
          <w:color w:val="0070C0"/>
        </w:rPr>
        <w:t>t</w:t>
      </w:r>
      <w:r w:rsidR="009800B3" w:rsidRPr="00CF07A3">
        <w:rPr>
          <w:rFonts w:ascii="Arial" w:hAnsi="Arial"/>
          <w:color w:val="0070C0"/>
        </w:rPr>
        <w:t xml:space="preserve"> customers/patients in the ordinary course of business.</w:t>
      </w:r>
      <w:r w:rsidR="009800B3">
        <w:rPr>
          <w:rFonts w:ascii="Arial" w:hAnsi="Arial"/>
          <w:color w:val="0070C0"/>
        </w:rPr>
        <w:t xml:space="preserve"> </w:t>
      </w:r>
      <w:r w:rsidR="00AC5551" w:rsidRPr="00756E49">
        <w:rPr>
          <w:rFonts w:ascii="Arial" w:hAnsi="Arial"/>
          <w:color w:val="0070C0"/>
        </w:rPr>
        <w:t xml:space="preserve"> </w:t>
      </w:r>
    </w:p>
    <w:p w14:paraId="082A9359" w14:textId="773045E5"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0762FC60" w14:textId="77777777" w:rsidR="000E1F51" w:rsidRPr="00416017" w:rsidRDefault="00995BFD" w:rsidP="000E1F51">
      <w:pPr>
        <w:pStyle w:val="List"/>
        <w:spacing w:before="120"/>
        <w:ind w:left="0" w:firstLine="720"/>
        <w:jc w:val="both"/>
        <w:rPr>
          <w:rFonts w:ascii="Arial" w:hAnsi="Arial"/>
        </w:rPr>
      </w:pPr>
      <w:r w:rsidRPr="00995BFD">
        <w:rPr>
          <w:rFonts w:ascii="Arial" w:hAnsi="Arial"/>
          <w:b/>
          <w:bCs/>
          <w:color w:val="0070C0"/>
          <w:u w:val="single"/>
        </w:rPr>
        <w:t>Issuer Response:</w:t>
      </w:r>
      <w:r w:rsidR="003E7B85">
        <w:rPr>
          <w:rFonts w:ascii="Arial" w:hAnsi="Arial"/>
          <w:color w:val="0070C0"/>
        </w:rPr>
        <w:t xml:space="preserve"> </w:t>
      </w:r>
      <w:r w:rsidR="000E1F51" w:rsidRPr="00144E4D">
        <w:rPr>
          <w:rFonts w:ascii="Arial" w:hAnsi="Arial"/>
          <w:color w:val="0070C0"/>
        </w:rPr>
        <w:t>None.</w:t>
      </w:r>
    </w:p>
    <w:p w14:paraId="64637B39" w14:textId="14EBB31B"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9895A67" w14:textId="47927EFA" w:rsidR="00D628EF" w:rsidRDefault="00995BFD" w:rsidP="00D628EF">
      <w:pPr>
        <w:pStyle w:val="List"/>
        <w:spacing w:before="120"/>
        <w:ind w:left="720" w:firstLine="0"/>
        <w:jc w:val="both"/>
        <w:rPr>
          <w:rFonts w:ascii="Arial" w:hAnsi="Arial"/>
          <w:color w:val="0070C0"/>
        </w:rPr>
      </w:pPr>
      <w:r w:rsidRPr="00995BFD">
        <w:rPr>
          <w:rFonts w:ascii="Arial" w:hAnsi="Arial"/>
          <w:b/>
          <w:bCs/>
          <w:color w:val="0070C0"/>
          <w:u w:val="single"/>
        </w:rPr>
        <w:t>Issuer Response:</w:t>
      </w:r>
      <w:r w:rsidR="006C64BA" w:rsidRPr="006C64BA">
        <w:rPr>
          <w:rFonts w:ascii="Arial" w:hAnsi="Arial"/>
          <w:color w:val="0070C0"/>
        </w:rPr>
        <w:t xml:space="preserve"> </w:t>
      </w:r>
      <w:r w:rsidR="00431F1A">
        <w:rPr>
          <w:rFonts w:ascii="Arial" w:hAnsi="Arial"/>
          <w:color w:val="0070C0"/>
        </w:rPr>
        <w:t xml:space="preserve">None. </w:t>
      </w:r>
      <w:r w:rsidR="00383D79">
        <w:rPr>
          <w:rFonts w:ascii="Arial" w:hAnsi="Arial"/>
          <w:color w:val="0070C0"/>
        </w:rPr>
        <w:t xml:space="preserve"> </w:t>
      </w:r>
      <w:r w:rsidR="00D628EF">
        <w:rPr>
          <w:rFonts w:ascii="Arial" w:hAnsi="Arial"/>
          <w:color w:val="0070C0"/>
        </w:rPr>
        <w:t xml:space="preserve"> </w:t>
      </w:r>
    </w:p>
    <w:p w14:paraId="577B14E5" w14:textId="408FC630"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D878DEA" w14:textId="3B24D35F" w:rsidR="007B1FD3" w:rsidRPr="004A539A" w:rsidRDefault="00995BFD" w:rsidP="00995BFD">
      <w:pPr>
        <w:pStyle w:val="List"/>
        <w:spacing w:before="120"/>
        <w:ind w:left="720" w:firstLine="0"/>
        <w:jc w:val="both"/>
        <w:rPr>
          <w:rFonts w:ascii="Arial" w:hAnsi="Arial"/>
          <w:color w:val="0070C0"/>
        </w:rPr>
      </w:pPr>
      <w:r w:rsidRPr="00995BFD">
        <w:rPr>
          <w:rFonts w:ascii="Arial" w:hAnsi="Arial"/>
          <w:b/>
          <w:bCs/>
          <w:color w:val="0070C0"/>
          <w:u w:val="single"/>
        </w:rPr>
        <w:t>Issuer Response:</w:t>
      </w:r>
      <w:r>
        <w:rPr>
          <w:rFonts w:ascii="Arial" w:hAnsi="Arial"/>
          <w:color w:val="0070C0"/>
        </w:rPr>
        <w:t xml:space="preserve"> </w:t>
      </w:r>
      <w:r w:rsidR="004A539A" w:rsidRPr="004A539A">
        <w:rPr>
          <w:rFonts w:ascii="Arial" w:hAnsi="Arial"/>
          <w:color w:val="0070C0"/>
        </w:rPr>
        <w:t>N</w:t>
      </w:r>
      <w:r w:rsidR="003E7B85">
        <w:rPr>
          <w:rFonts w:ascii="Arial" w:hAnsi="Arial"/>
          <w:color w:val="0070C0"/>
        </w:rPr>
        <w:t xml:space="preserve">one. </w:t>
      </w:r>
    </w:p>
    <w:p w14:paraId="27DD7135" w14:textId="5CB4A872" w:rsidR="00640E94" w:rsidRPr="004624ED" w:rsidRDefault="00640E94">
      <w:pPr>
        <w:pStyle w:val="List"/>
        <w:numPr>
          <w:ilvl w:val="0"/>
          <w:numId w:val="28"/>
        </w:numPr>
        <w:spacing w:before="120"/>
        <w:jc w:val="both"/>
        <w:rPr>
          <w:rFonts w:ascii="Arial" w:hAnsi="Arial"/>
        </w:rPr>
      </w:pPr>
      <w:r w:rsidRPr="004624E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5E142D" w14:textId="77777777" w:rsidR="00516B95" w:rsidRPr="00431F1A" w:rsidRDefault="00516B95" w:rsidP="00516B95">
      <w:pPr>
        <w:pStyle w:val="ListParagraph"/>
        <w:rPr>
          <w:rFonts w:ascii="Arial" w:hAnsi="Arial"/>
          <w:color w:val="0070C0"/>
          <w:sz w:val="24"/>
          <w:szCs w:val="24"/>
          <w:highlight w:val="yellow"/>
          <w:lang w:val="en-GB"/>
        </w:rPr>
      </w:pPr>
    </w:p>
    <w:p w14:paraId="1F353758" w14:textId="192DF741" w:rsidR="009823B1" w:rsidRPr="0008345D" w:rsidRDefault="009823B1" w:rsidP="009823B1">
      <w:pPr>
        <w:ind w:left="720"/>
        <w:rPr>
          <w:rFonts w:ascii="Arial" w:hAnsi="Arial" w:cs="Arial"/>
          <w:b/>
          <w:bCs/>
          <w:color w:val="0070C0"/>
          <w:sz w:val="24"/>
          <w:szCs w:val="24"/>
          <w:u w:val="single"/>
        </w:rPr>
      </w:pPr>
      <w:r w:rsidRPr="0008345D">
        <w:rPr>
          <w:rFonts w:ascii="Arial" w:hAnsi="Arial" w:cs="Arial"/>
          <w:b/>
          <w:bCs/>
          <w:color w:val="0070C0"/>
          <w:sz w:val="24"/>
          <w:szCs w:val="24"/>
          <w:u w:val="single"/>
        </w:rPr>
        <w:t>Issuer Response:</w:t>
      </w:r>
    </w:p>
    <w:p w14:paraId="7B62EAA1" w14:textId="77777777" w:rsidR="0045007A" w:rsidRPr="0008345D" w:rsidRDefault="0045007A" w:rsidP="009823B1">
      <w:pPr>
        <w:ind w:left="720"/>
        <w:rPr>
          <w:rFonts w:ascii="Arial" w:hAnsi="Arial" w:cs="Arial"/>
          <w:b/>
          <w:bCs/>
          <w:color w:val="0070C0"/>
          <w:sz w:val="24"/>
          <w:szCs w:val="24"/>
          <w:u w:val="single"/>
        </w:rPr>
      </w:pPr>
    </w:p>
    <w:p w14:paraId="050B8660" w14:textId="48E32C61" w:rsidR="001826A1" w:rsidRPr="00DA4179" w:rsidRDefault="0045007A" w:rsidP="001826A1">
      <w:pPr>
        <w:pStyle w:val="ListParagraph"/>
        <w:numPr>
          <w:ilvl w:val="0"/>
          <w:numId w:val="44"/>
        </w:numPr>
        <w:rPr>
          <w:rFonts w:ascii="Arial" w:hAnsi="Arial" w:cs="Arial"/>
          <w:color w:val="0070C0"/>
          <w:sz w:val="24"/>
          <w:szCs w:val="24"/>
        </w:rPr>
      </w:pPr>
      <w:r w:rsidRPr="0008345D">
        <w:rPr>
          <w:rFonts w:ascii="Arial" w:hAnsi="Arial" w:cs="Arial"/>
          <w:color w:val="0070C0"/>
          <w:sz w:val="24"/>
          <w:szCs w:val="24"/>
        </w:rPr>
        <w:t xml:space="preserve">On January 31, 2019, Compassionate Care Foundation, Inc. made an application to the New Jersey Superior Court - Appellate Division to appeal the decision of New Jersey's Department of Health to select six applicants to complete the license application process to operate new alternative treatment centers for medical cannabis in New Jersey. </w:t>
      </w:r>
      <w:r w:rsidRPr="00DA4179">
        <w:rPr>
          <w:rFonts w:ascii="Arial" w:hAnsi="Arial" w:cs="Arial"/>
          <w:color w:val="0070C0"/>
          <w:sz w:val="24"/>
          <w:szCs w:val="24"/>
        </w:rPr>
        <w:t>TerrAscend NJ, LLC, (formerly NETA NJ, LLC.) a 75% owned subsidiary of the Issuer, was one of the six successful applicants and has been named as a party to the proceedings. The appeal is focused on the Department of Health's decision</w:t>
      </w:r>
      <w:r w:rsidR="001826A1" w:rsidRPr="00DA4179">
        <w:rPr>
          <w:rFonts w:ascii="Arial" w:hAnsi="Arial" w:cs="Arial"/>
          <w:color w:val="0070C0"/>
          <w:sz w:val="24"/>
          <w:szCs w:val="24"/>
        </w:rPr>
        <w:t xml:space="preserve"> </w:t>
      </w:r>
      <w:r w:rsidRPr="00DA4179">
        <w:rPr>
          <w:rFonts w:ascii="Arial" w:hAnsi="Arial" w:cs="Arial"/>
          <w:color w:val="0070C0"/>
          <w:sz w:val="24"/>
          <w:szCs w:val="24"/>
        </w:rPr>
        <w:t xml:space="preserve">making process and no impropriety on behalf of the Issuer or its subsidiary has been claimed. While it is too early to predict the outcome of this claim, the Issuer believes it is without merit. </w:t>
      </w:r>
      <w:r w:rsidR="006928AD" w:rsidRPr="00DA4179">
        <w:rPr>
          <w:rFonts w:ascii="Arial" w:hAnsi="Arial" w:cs="Arial"/>
          <w:color w:val="0070C0"/>
          <w:sz w:val="24"/>
          <w:szCs w:val="24"/>
        </w:rPr>
        <w:t xml:space="preserve">The appellate court remanded the case to the New Jersey Department of Health for further review and consideration. </w:t>
      </w:r>
      <w:r w:rsidRPr="00DA4179">
        <w:rPr>
          <w:rFonts w:ascii="Arial" w:hAnsi="Arial" w:cs="Arial"/>
          <w:color w:val="0070C0"/>
          <w:sz w:val="24"/>
          <w:szCs w:val="24"/>
        </w:rPr>
        <w:t xml:space="preserve">  </w:t>
      </w:r>
    </w:p>
    <w:p w14:paraId="685B22F5" w14:textId="50116C1D" w:rsidR="001826A1" w:rsidRPr="00DA4179" w:rsidRDefault="001826A1" w:rsidP="001826A1">
      <w:pPr>
        <w:pStyle w:val="ListParagraph"/>
        <w:ind w:left="1440"/>
        <w:rPr>
          <w:rFonts w:ascii="Arial" w:hAnsi="Arial" w:cs="Arial"/>
          <w:color w:val="0070C0"/>
          <w:sz w:val="24"/>
          <w:szCs w:val="24"/>
        </w:rPr>
      </w:pPr>
    </w:p>
    <w:p w14:paraId="3FC2A287" w14:textId="2DAB9968" w:rsidR="0045007A" w:rsidRPr="007C49B1" w:rsidRDefault="0045007A" w:rsidP="001826A1">
      <w:pPr>
        <w:pStyle w:val="ListParagraph"/>
        <w:numPr>
          <w:ilvl w:val="0"/>
          <w:numId w:val="44"/>
        </w:numPr>
        <w:rPr>
          <w:rFonts w:ascii="Arial" w:hAnsi="Arial" w:cs="Arial"/>
          <w:color w:val="0070C0"/>
          <w:sz w:val="24"/>
          <w:szCs w:val="24"/>
        </w:rPr>
      </w:pPr>
      <w:r w:rsidRPr="007C49B1">
        <w:rPr>
          <w:rFonts w:ascii="Arial" w:hAnsi="Arial" w:cs="Arial"/>
          <w:color w:val="0070C0"/>
          <w:sz w:val="24"/>
          <w:szCs w:val="24"/>
        </w:rPr>
        <w:lastRenderedPageBreak/>
        <w:t xml:space="preserve">On October 20, 2018, Investments International Inc. (“Investments”) signed an offer to lease with the Issuer’s wholly owned subsidiaries, 2627685 Ontario Inc. and 2151924 Alberta Inc. On February 8, 2019, Investments filed a statement of claim in the Court of Queen’s Bench of Alberta against the Issuer and its wholly owned subsidiaries, for breach of the offer to lease. The amount claimed is $2,764,065.85 plus interest from and after the termination date of the offer to lease. The Issuer and its wholly owned subsidiaries have submitted a statement of defence and are in the process of defending themselves.  </w:t>
      </w:r>
    </w:p>
    <w:p w14:paraId="0EA50439" w14:textId="2B28F543" w:rsidR="001826A1" w:rsidRPr="00DA4179" w:rsidRDefault="001826A1" w:rsidP="001826A1">
      <w:pPr>
        <w:pStyle w:val="ListParagraph"/>
        <w:rPr>
          <w:rFonts w:ascii="Arial" w:hAnsi="Arial" w:cs="Arial"/>
          <w:color w:val="0070C0"/>
          <w:sz w:val="24"/>
          <w:szCs w:val="24"/>
        </w:rPr>
      </w:pPr>
    </w:p>
    <w:p w14:paraId="1FC3584A" w14:textId="4A99D36B" w:rsidR="001826A1" w:rsidRPr="00DA4179" w:rsidRDefault="001826A1" w:rsidP="000918E4">
      <w:pPr>
        <w:pStyle w:val="ListParagraph"/>
        <w:numPr>
          <w:ilvl w:val="0"/>
          <w:numId w:val="44"/>
        </w:numPr>
        <w:rPr>
          <w:rFonts w:ascii="Arial" w:hAnsi="Arial" w:cs="Arial"/>
          <w:color w:val="0070C0"/>
          <w:sz w:val="24"/>
          <w:szCs w:val="24"/>
        </w:rPr>
      </w:pPr>
      <w:r w:rsidRPr="00DA4179">
        <w:rPr>
          <w:rFonts w:ascii="Arial" w:hAnsi="Arial" w:cs="Arial"/>
          <w:color w:val="0070C0"/>
          <w:sz w:val="24"/>
          <w:szCs w:val="24"/>
        </w:rPr>
        <w:t xml:space="preserve">On March 19, 2020, Ms. Krisa Kotori, a former employee of Ilera Healthcare LLC (“Ilera Healthcare”), an indirect subsidiary of the Issuer, filed a complaint against Ilera Healthcare alleging, inter alia, wrongful termination of employment and a violation of Pennsylvania whistle-blower law. The complaint was initially filed in the Montgomery County Pennsylvania Court of Common Pleas, but was subsequently removed to the United States District Court for the Eastern District of Pennsylvania. </w:t>
      </w:r>
      <w:r w:rsidR="006928AD" w:rsidRPr="00DA4179">
        <w:rPr>
          <w:rFonts w:ascii="Arial" w:hAnsi="Arial" w:cs="Arial"/>
          <w:color w:val="0070C0"/>
          <w:sz w:val="24"/>
          <w:szCs w:val="24"/>
        </w:rPr>
        <w:t>T</w:t>
      </w:r>
      <w:r w:rsidR="00C627AE" w:rsidRPr="00DA4179">
        <w:rPr>
          <w:rFonts w:ascii="Arial" w:hAnsi="Arial" w:cs="Arial"/>
          <w:color w:val="0070C0"/>
          <w:sz w:val="24"/>
          <w:szCs w:val="24"/>
        </w:rPr>
        <w:t xml:space="preserve">he wrongful termination claim </w:t>
      </w:r>
      <w:r w:rsidR="006928AD" w:rsidRPr="00DA4179">
        <w:rPr>
          <w:rFonts w:ascii="Arial" w:hAnsi="Arial" w:cs="Arial"/>
          <w:color w:val="0070C0"/>
          <w:sz w:val="24"/>
          <w:szCs w:val="24"/>
        </w:rPr>
        <w:t xml:space="preserve">has been dismissed and Ilera Healthcare is </w:t>
      </w:r>
      <w:r w:rsidR="00C627AE" w:rsidRPr="00DA4179">
        <w:rPr>
          <w:rFonts w:ascii="Arial" w:hAnsi="Arial" w:cs="Arial"/>
          <w:color w:val="0070C0"/>
          <w:sz w:val="24"/>
          <w:szCs w:val="24"/>
        </w:rPr>
        <w:t xml:space="preserve">pursuing dismissal of the </w:t>
      </w:r>
      <w:r w:rsidR="006928AD" w:rsidRPr="00DA4179">
        <w:rPr>
          <w:rFonts w:ascii="Arial" w:hAnsi="Arial" w:cs="Arial"/>
          <w:color w:val="0070C0"/>
          <w:sz w:val="24"/>
          <w:szCs w:val="24"/>
        </w:rPr>
        <w:t>w</w:t>
      </w:r>
      <w:r w:rsidR="00C627AE" w:rsidRPr="00DA4179">
        <w:rPr>
          <w:rFonts w:ascii="Arial" w:hAnsi="Arial" w:cs="Arial"/>
          <w:color w:val="0070C0"/>
          <w:sz w:val="24"/>
          <w:szCs w:val="24"/>
        </w:rPr>
        <w:t>histle</w:t>
      </w:r>
      <w:r w:rsidR="006928AD" w:rsidRPr="00DA4179">
        <w:rPr>
          <w:rFonts w:ascii="Arial" w:hAnsi="Arial" w:cs="Arial"/>
          <w:color w:val="0070C0"/>
          <w:sz w:val="24"/>
          <w:szCs w:val="24"/>
        </w:rPr>
        <w:t>-</w:t>
      </w:r>
      <w:r w:rsidR="00C627AE" w:rsidRPr="00DA4179">
        <w:rPr>
          <w:rFonts w:ascii="Arial" w:hAnsi="Arial" w:cs="Arial"/>
          <w:color w:val="0070C0"/>
          <w:sz w:val="24"/>
          <w:szCs w:val="24"/>
        </w:rPr>
        <w:t xml:space="preserve">blower claim. </w:t>
      </w:r>
    </w:p>
    <w:p w14:paraId="241EDD56" w14:textId="7AE86C61" w:rsidR="001826A1" w:rsidRPr="00DA4179" w:rsidRDefault="001826A1" w:rsidP="001826A1">
      <w:pPr>
        <w:pStyle w:val="ListParagraph"/>
        <w:rPr>
          <w:rFonts w:ascii="Arial" w:hAnsi="Arial" w:cs="Arial"/>
          <w:color w:val="0070C0"/>
          <w:sz w:val="24"/>
          <w:szCs w:val="24"/>
        </w:rPr>
      </w:pPr>
    </w:p>
    <w:p w14:paraId="39180E7C" w14:textId="0A509F25" w:rsidR="001826A1" w:rsidRPr="007C49B1" w:rsidRDefault="001826A1" w:rsidP="001826A1">
      <w:pPr>
        <w:pStyle w:val="ListParagraph"/>
        <w:numPr>
          <w:ilvl w:val="0"/>
          <w:numId w:val="44"/>
        </w:numPr>
        <w:rPr>
          <w:rFonts w:ascii="Arial" w:hAnsi="Arial" w:cs="Arial"/>
          <w:color w:val="0070C0"/>
          <w:sz w:val="24"/>
          <w:szCs w:val="24"/>
        </w:rPr>
      </w:pPr>
      <w:r w:rsidRPr="007C49B1">
        <w:rPr>
          <w:rFonts w:ascii="Arial" w:hAnsi="Arial" w:cs="Arial"/>
          <w:color w:val="0070C0"/>
          <w:sz w:val="24"/>
          <w:szCs w:val="24"/>
        </w:rPr>
        <w:t xml:space="preserve">On October 15, 2018, the Issuer's wholly owned subsidiary TerrAscend Canada Inc. (“TerrAscend Canada”) entered into a multi-year cultivation agreement (the “PharmHouse Agreement”) with PharmHouse Inc. ("PharmHouse"), a joint venture between Canopy Rivers Inc. and 2615975 Ontario Inc., the operators of a leading North American greenhouse produce company (“261”). Under the terms of the PharmHouse Agreement, it was expected that PharmHouse would grow and supply cannabis to TerrAscend Canada from its existing 1.3 million square foot greenhouse located in Leamington, Ontario. Once fully licensed, the production of flower, trim and clones from up to 20% of the dedicated flowering space planted at the greenhouse was expected to be made available to TerrAscend Canada. To date, PharmHouse has not yet delivered product in accordance with the terms of the PharmHouse Agreement. On September 11, 2020, the Issuer and TerrAscend Canada were informed that a statement of claim was issued on August 31, 2020 in the Ontario Superior Court of Justice by 261 against Canopy Rivers Inc., Canopy Growth Corporation, the Issuer and TerrAscend Canada (the “261 Claim”). In the 261 Claim, 261 seeks damages from the defendants in the amount of $500,000,000 and alleges certain causes of action, including bad faith, fraud, civil conspiracy, breach of the duty of honesty and good faith in contractual relations and breach of fiduciary duty. 261’s Claim, as against the Issuer and TerrAscend Canada, is completely baseless and without merit, and the Issuer will vigorously defend itself, if necessary, in the appropriate forum.  On September 16, 2020, PharmHouse obtained an order from the Ontario Superior Court of Justice granting PharmHouse creditor protection under the Companies' Creditors Arrangement Act (“CCAA”).  Pursuant to the CCAA order, the 261 Claim </w:t>
      </w:r>
      <w:r w:rsidR="00D21751" w:rsidRPr="007C49B1">
        <w:rPr>
          <w:rFonts w:ascii="Arial" w:hAnsi="Arial" w:cs="Arial"/>
          <w:color w:val="0070C0"/>
          <w:sz w:val="24"/>
          <w:szCs w:val="24"/>
        </w:rPr>
        <w:t>was</w:t>
      </w:r>
      <w:r w:rsidRPr="007C49B1">
        <w:rPr>
          <w:rFonts w:ascii="Arial" w:hAnsi="Arial" w:cs="Arial"/>
          <w:color w:val="0070C0"/>
          <w:sz w:val="24"/>
          <w:szCs w:val="24"/>
        </w:rPr>
        <w:t xml:space="preserve"> stayed. </w:t>
      </w:r>
      <w:r w:rsidR="00D21751" w:rsidRPr="007C49B1">
        <w:rPr>
          <w:rFonts w:ascii="Arial" w:hAnsi="Arial" w:cs="Arial"/>
          <w:color w:val="0070C0"/>
          <w:sz w:val="24"/>
          <w:szCs w:val="24"/>
        </w:rPr>
        <w:t xml:space="preserve">During </w:t>
      </w:r>
      <w:r w:rsidR="00D21751" w:rsidRPr="007C49B1">
        <w:rPr>
          <w:rFonts w:ascii="Arial" w:hAnsi="Arial" w:cs="Arial"/>
          <w:color w:val="0070C0"/>
          <w:sz w:val="24"/>
          <w:szCs w:val="24"/>
        </w:rPr>
        <w:lastRenderedPageBreak/>
        <w:t xml:space="preserve">a CCAA hearing in November, 261 objected to the stay of the 261 Claim. The judge presiding over the CCAA process agreed to allow 261 to discontinue the 261 Claim against the defendants ‘without prejudice’ to its right to recommence the 261 Claim against all parties except PharmHouse Inc., provided that such recommenced claim can only be brought after January 1, 2021. This does not affect any of the defendants’ ability to move for a stay of the recommenced 261 Claim. </w:t>
      </w:r>
      <w:r w:rsidRPr="007C49B1">
        <w:rPr>
          <w:rFonts w:ascii="Arial" w:hAnsi="Arial" w:cs="Arial"/>
          <w:color w:val="0070C0"/>
          <w:sz w:val="24"/>
          <w:szCs w:val="24"/>
        </w:rPr>
        <w:t>Notwithstanding the 261 Claim and the CCAA order, TerrAscend Canada continues to be engaged in good faith negotiations with PharmHouse regarding the terms of the PharmHouse Agreement.</w:t>
      </w:r>
    </w:p>
    <w:p w14:paraId="677600D9" w14:textId="2AB988DA" w:rsidR="001826A1" w:rsidRPr="00DA4179" w:rsidRDefault="001826A1" w:rsidP="001826A1">
      <w:pPr>
        <w:pStyle w:val="ListParagraph"/>
        <w:ind w:left="1440"/>
        <w:rPr>
          <w:rFonts w:ascii="Arial" w:hAnsi="Arial" w:cs="Arial"/>
          <w:color w:val="0070C0"/>
          <w:sz w:val="24"/>
          <w:szCs w:val="24"/>
        </w:rPr>
      </w:pPr>
    </w:p>
    <w:p w14:paraId="1D85A7D0" w14:textId="51F5F7CD" w:rsidR="001826A1" w:rsidRPr="00DA4179" w:rsidRDefault="001826A1" w:rsidP="001826A1">
      <w:pPr>
        <w:pStyle w:val="ListParagraph"/>
        <w:numPr>
          <w:ilvl w:val="0"/>
          <w:numId w:val="44"/>
        </w:numPr>
        <w:rPr>
          <w:rFonts w:ascii="Arial" w:hAnsi="Arial" w:cs="Arial"/>
          <w:color w:val="0070C0"/>
          <w:sz w:val="24"/>
          <w:szCs w:val="24"/>
        </w:rPr>
      </w:pPr>
      <w:r w:rsidRPr="00DA4179">
        <w:rPr>
          <w:rFonts w:ascii="Arial" w:hAnsi="Arial" w:cs="Arial"/>
          <w:color w:val="0070C0"/>
          <w:sz w:val="24"/>
          <w:szCs w:val="24"/>
        </w:rPr>
        <w:t>On October 7, 2020, a complaint was filed by Big Bite Real Estate, LLC and Shannon Hexter against the Issuer’s subsidiary Ilera Healthcare LLC and other defendants in the Court of Common Pleas of Philadelphia County, Pennsylvania. The plaintiff alleged various claims including that the defendants breached their fiduciary duties. The Issuer’s subsidiary refutes the plaintiff’s claims and is defending itself.</w:t>
      </w:r>
      <w:r w:rsidR="00D21751" w:rsidRPr="00DA4179">
        <w:rPr>
          <w:rFonts w:ascii="Arial" w:hAnsi="Arial" w:cs="Arial"/>
          <w:color w:val="0070C0"/>
          <w:sz w:val="24"/>
          <w:szCs w:val="24"/>
        </w:rPr>
        <w:t xml:space="preserve"> No further updates regarding the claim were received by the Issuer for this reporting period.  </w:t>
      </w:r>
      <w:r w:rsidRPr="00DA4179">
        <w:rPr>
          <w:rFonts w:ascii="Arial" w:hAnsi="Arial" w:cs="Arial"/>
          <w:color w:val="0070C0"/>
          <w:sz w:val="24"/>
          <w:szCs w:val="24"/>
        </w:rPr>
        <w:t xml:space="preserve">  </w:t>
      </w:r>
    </w:p>
    <w:p w14:paraId="7358C784" w14:textId="1DAE4516" w:rsidR="001826A1" w:rsidRPr="00DA4179" w:rsidRDefault="001826A1" w:rsidP="001826A1">
      <w:pPr>
        <w:pStyle w:val="ListParagraph"/>
        <w:ind w:left="1440"/>
        <w:rPr>
          <w:rFonts w:ascii="Arial" w:hAnsi="Arial" w:cs="Arial"/>
          <w:color w:val="0070C0"/>
          <w:sz w:val="24"/>
          <w:szCs w:val="24"/>
        </w:rPr>
      </w:pPr>
    </w:p>
    <w:p w14:paraId="3B5C3AE7" w14:textId="7BA9BE92" w:rsidR="00EA79FD" w:rsidRPr="00DA4179" w:rsidRDefault="001826A1" w:rsidP="009F29D3">
      <w:pPr>
        <w:pStyle w:val="ListParagraph"/>
        <w:numPr>
          <w:ilvl w:val="0"/>
          <w:numId w:val="44"/>
        </w:numPr>
        <w:rPr>
          <w:rFonts w:ascii="Arial" w:hAnsi="Arial" w:cs="Arial"/>
          <w:color w:val="0070C0"/>
          <w:sz w:val="24"/>
          <w:szCs w:val="24"/>
        </w:rPr>
      </w:pPr>
      <w:r w:rsidRPr="00DA4179">
        <w:rPr>
          <w:rFonts w:ascii="Arial" w:hAnsi="Arial" w:cs="Arial"/>
          <w:color w:val="0070C0"/>
          <w:sz w:val="24"/>
          <w:szCs w:val="24"/>
        </w:rPr>
        <w:t xml:space="preserve">On October 30, 2020, the Issuer’s subsidiaries, Ilera Healthcare LLC and IHC Real Estate LP filed a complaint against Big Bite Real Estate, LLC in the Court of Common Pleas of Fulton County, Pennsylvania seeking a preliminary injunction and lis pendens to have the defendant convey legal title to real estate pursuant to the terms of an agreement. </w:t>
      </w:r>
      <w:r w:rsidR="00CA74C1" w:rsidRPr="00DA4179">
        <w:rPr>
          <w:rFonts w:ascii="Arial" w:hAnsi="Arial" w:cs="Arial"/>
          <w:color w:val="0070C0"/>
          <w:sz w:val="24"/>
          <w:szCs w:val="24"/>
        </w:rPr>
        <w:t xml:space="preserve">No further updates regarding the claim were received by the Issuer for this reporting period. </w:t>
      </w:r>
    </w:p>
    <w:p w14:paraId="467BAF45" w14:textId="504D3F7B" w:rsidR="001826A1" w:rsidRDefault="001826A1" w:rsidP="001826A1">
      <w:pPr>
        <w:rPr>
          <w:rFonts w:ascii="Arial" w:hAnsi="Arial" w:cs="Arial"/>
          <w:color w:val="0070C0"/>
          <w:sz w:val="24"/>
          <w:szCs w:val="24"/>
        </w:rPr>
      </w:pPr>
    </w:p>
    <w:p w14:paraId="3E893A0F" w14:textId="3A497F13" w:rsidR="001826A1" w:rsidRPr="001826A1" w:rsidRDefault="001826A1" w:rsidP="009B26C9">
      <w:pPr>
        <w:ind w:left="720"/>
        <w:jc w:val="both"/>
        <w:rPr>
          <w:rFonts w:ascii="Arial" w:hAnsi="Arial" w:cs="Arial"/>
          <w:color w:val="0070C0"/>
          <w:sz w:val="24"/>
          <w:szCs w:val="24"/>
        </w:rPr>
      </w:pPr>
      <w:r>
        <w:rPr>
          <w:rFonts w:ascii="Arial" w:hAnsi="Arial" w:cs="Arial"/>
          <w:color w:val="0070C0"/>
          <w:sz w:val="24"/>
          <w:szCs w:val="24"/>
        </w:rPr>
        <w:t xml:space="preserve">Legal and regulatory proceedings arise from time to time in the ordinary course of business for the Issuer. To the </w:t>
      </w:r>
      <w:r w:rsidR="008E74EF">
        <w:rPr>
          <w:rFonts w:ascii="Arial" w:hAnsi="Arial" w:cs="Arial"/>
          <w:color w:val="0070C0"/>
          <w:sz w:val="24"/>
          <w:szCs w:val="24"/>
        </w:rPr>
        <w:t>knowledge</w:t>
      </w:r>
      <w:r>
        <w:rPr>
          <w:rFonts w:ascii="Arial" w:hAnsi="Arial" w:cs="Arial"/>
          <w:color w:val="0070C0"/>
          <w:sz w:val="24"/>
          <w:szCs w:val="24"/>
        </w:rPr>
        <w:t xml:space="preserve"> of the issuer, there are no outstanding legal or regulatory proceedings involving the issuer or any of its subsidiaries that are expected to be material to the issuer. </w:t>
      </w:r>
    </w:p>
    <w:p w14:paraId="76DFB5F3" w14:textId="77777777" w:rsidR="0045007A" w:rsidRPr="0045007A" w:rsidRDefault="0045007A" w:rsidP="009823B1">
      <w:pPr>
        <w:ind w:left="720"/>
        <w:rPr>
          <w:rFonts w:ascii="Arial" w:hAnsi="Arial" w:cs="Arial"/>
          <w:color w:val="0070C0"/>
          <w:sz w:val="24"/>
          <w:szCs w:val="24"/>
        </w:rPr>
      </w:pPr>
    </w:p>
    <w:p w14:paraId="754CB3D3" w14:textId="77BDE645" w:rsidR="00640E94" w:rsidRPr="007B1FD3" w:rsidRDefault="00640E94">
      <w:pPr>
        <w:pStyle w:val="List"/>
        <w:numPr>
          <w:ilvl w:val="0"/>
          <w:numId w:val="28"/>
        </w:numPr>
        <w:spacing w:before="120"/>
        <w:jc w:val="both"/>
        <w:rPr>
          <w:rFonts w:ascii="Arial" w:hAnsi="Arial"/>
        </w:rPr>
      </w:pPr>
      <w:r w:rsidRPr="007B1FD3">
        <w:rPr>
          <w:rFonts w:ascii="Arial" w:hAnsi="Arial"/>
        </w:rPr>
        <w:t>Provide details of any indebtedness incurred or repaid by the Issuer together with the terms of such indebtedness.</w:t>
      </w:r>
    </w:p>
    <w:p w14:paraId="737C4327" w14:textId="6497F4E9" w:rsidR="00C878C1" w:rsidRDefault="00995BFD">
      <w:pPr>
        <w:pStyle w:val="List"/>
        <w:spacing w:before="120"/>
        <w:ind w:left="720" w:firstLine="0"/>
        <w:jc w:val="both"/>
        <w:rPr>
          <w:rFonts w:ascii="Arial" w:hAnsi="Arial"/>
        </w:rPr>
      </w:pPr>
      <w:r w:rsidRPr="00995BFD">
        <w:rPr>
          <w:rFonts w:ascii="Arial" w:hAnsi="Arial"/>
          <w:b/>
          <w:bCs/>
          <w:color w:val="0070C0"/>
          <w:u w:val="single"/>
        </w:rPr>
        <w:t>Issuer Response</w:t>
      </w:r>
      <w:bookmarkStart w:id="5" w:name="_Hlk10103065"/>
      <w:r w:rsidR="001826A1">
        <w:rPr>
          <w:rFonts w:ascii="Arial" w:hAnsi="Arial"/>
          <w:b/>
          <w:bCs/>
          <w:color w:val="0070C0"/>
          <w:u w:val="single"/>
        </w:rPr>
        <w:t>:</w:t>
      </w:r>
      <w:r w:rsidR="001826A1" w:rsidRPr="001826A1">
        <w:rPr>
          <w:rFonts w:ascii="Arial" w:hAnsi="Arial"/>
          <w:color w:val="0070C0"/>
        </w:rPr>
        <w:t xml:space="preserve"> </w:t>
      </w:r>
      <w:r w:rsidR="00B30B0C">
        <w:rPr>
          <w:rFonts w:ascii="Arial" w:hAnsi="Arial"/>
          <w:color w:val="0070C0"/>
        </w:rPr>
        <w:t xml:space="preserve">The Issuer’s Florida based Arise Bioscience received notice that its request for forgiveness on its Paycheck Protection Program (PPP) loan in the amount of </w:t>
      </w:r>
      <w:r w:rsidR="007C49B1">
        <w:rPr>
          <w:rFonts w:ascii="Arial" w:hAnsi="Arial"/>
          <w:color w:val="0070C0"/>
        </w:rPr>
        <w:t>US</w:t>
      </w:r>
      <w:r w:rsidR="00B30B0C">
        <w:rPr>
          <w:rFonts w:ascii="Arial" w:hAnsi="Arial"/>
          <w:color w:val="0070C0"/>
        </w:rPr>
        <w:t>$</w:t>
      </w:r>
      <w:r w:rsidR="007C49B1">
        <w:rPr>
          <w:rFonts w:ascii="Arial" w:hAnsi="Arial"/>
          <w:color w:val="0070C0"/>
        </w:rPr>
        <w:t>766k</w:t>
      </w:r>
      <w:r w:rsidR="00B30B0C">
        <w:rPr>
          <w:rFonts w:ascii="Arial" w:hAnsi="Arial"/>
          <w:color w:val="0070C0"/>
        </w:rPr>
        <w:t xml:space="preserve"> was fully approved by the Small Business Administration and is now paid in full (including applicable interest). </w:t>
      </w:r>
      <w:bookmarkEnd w:id="5"/>
    </w:p>
    <w:p w14:paraId="1A9BA0FD" w14:textId="6A586EAE"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F7BBCC9" w14:textId="77777777" w:rsidR="00640E94" w:rsidRDefault="00640E94">
      <w:pPr>
        <w:pStyle w:val="List"/>
        <w:spacing w:before="120"/>
        <w:ind w:left="0" w:firstLine="0"/>
        <w:jc w:val="both"/>
        <w:rPr>
          <w:rFonts w:ascii="Arial" w:hAnsi="Arial"/>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1530"/>
        <w:gridCol w:w="2610"/>
        <w:gridCol w:w="2322"/>
      </w:tblGrid>
      <w:tr w:rsidR="00640E94" w:rsidRPr="00655DF4" w14:paraId="3B16E669" w14:textId="77777777" w:rsidTr="00CC4B11">
        <w:tc>
          <w:tcPr>
            <w:tcW w:w="3415" w:type="dxa"/>
          </w:tcPr>
          <w:p w14:paraId="290651AC" w14:textId="77777777" w:rsidR="00640E94" w:rsidRPr="001119EA" w:rsidRDefault="00640E94">
            <w:pPr>
              <w:pStyle w:val="List"/>
              <w:tabs>
                <w:tab w:val="left" w:pos="360"/>
              </w:tabs>
              <w:spacing w:before="0" w:line="280" w:lineRule="exact"/>
              <w:ind w:left="0" w:firstLine="0"/>
              <w:jc w:val="center"/>
              <w:rPr>
                <w:rFonts w:ascii="Arial" w:hAnsi="Arial"/>
                <w:b/>
              </w:rPr>
            </w:pPr>
            <w:bookmarkStart w:id="6" w:name="_Hlk31628419"/>
            <w:r w:rsidRPr="001119EA">
              <w:rPr>
                <w:rFonts w:ascii="Arial" w:hAnsi="Arial"/>
                <w:b/>
              </w:rPr>
              <w:t>Security</w:t>
            </w:r>
          </w:p>
        </w:tc>
        <w:tc>
          <w:tcPr>
            <w:tcW w:w="1530" w:type="dxa"/>
          </w:tcPr>
          <w:p w14:paraId="7278077A" w14:textId="77777777" w:rsidR="00640E94" w:rsidRPr="001119EA" w:rsidRDefault="00640E94">
            <w:pPr>
              <w:pStyle w:val="List"/>
              <w:tabs>
                <w:tab w:val="left" w:pos="360"/>
              </w:tabs>
              <w:spacing w:before="0" w:line="280" w:lineRule="exact"/>
              <w:ind w:left="0" w:firstLine="0"/>
              <w:jc w:val="center"/>
              <w:rPr>
                <w:rFonts w:ascii="Arial" w:hAnsi="Arial"/>
                <w:b/>
              </w:rPr>
            </w:pPr>
            <w:r w:rsidRPr="001119EA">
              <w:rPr>
                <w:rFonts w:ascii="Arial" w:hAnsi="Arial"/>
                <w:b/>
              </w:rPr>
              <w:t>Number Issued</w:t>
            </w:r>
          </w:p>
        </w:tc>
        <w:tc>
          <w:tcPr>
            <w:tcW w:w="2610" w:type="dxa"/>
          </w:tcPr>
          <w:p w14:paraId="01C3C4EA" w14:textId="77777777" w:rsidR="00640E94" w:rsidRPr="001119EA" w:rsidRDefault="00640E94">
            <w:pPr>
              <w:pStyle w:val="List"/>
              <w:tabs>
                <w:tab w:val="left" w:pos="360"/>
              </w:tabs>
              <w:spacing w:before="0" w:line="280" w:lineRule="exact"/>
              <w:ind w:left="0" w:firstLine="0"/>
              <w:jc w:val="center"/>
              <w:rPr>
                <w:rFonts w:ascii="Arial" w:hAnsi="Arial"/>
                <w:b/>
              </w:rPr>
            </w:pPr>
            <w:r w:rsidRPr="001119EA">
              <w:rPr>
                <w:rFonts w:ascii="Arial" w:hAnsi="Arial"/>
                <w:b/>
              </w:rPr>
              <w:t>Details of Issuance</w:t>
            </w:r>
          </w:p>
        </w:tc>
        <w:tc>
          <w:tcPr>
            <w:tcW w:w="2322" w:type="dxa"/>
          </w:tcPr>
          <w:p w14:paraId="4E660692" w14:textId="77777777" w:rsidR="00640E94" w:rsidRPr="001119EA" w:rsidRDefault="00640E94">
            <w:pPr>
              <w:pStyle w:val="List"/>
              <w:tabs>
                <w:tab w:val="left" w:pos="360"/>
              </w:tabs>
              <w:spacing w:before="0" w:line="280" w:lineRule="exact"/>
              <w:ind w:left="0" w:firstLine="0"/>
              <w:jc w:val="center"/>
              <w:rPr>
                <w:rFonts w:ascii="Arial" w:hAnsi="Arial"/>
                <w:b/>
              </w:rPr>
            </w:pPr>
            <w:r w:rsidRPr="001119EA">
              <w:rPr>
                <w:rFonts w:ascii="Arial" w:hAnsi="Arial"/>
                <w:b/>
              </w:rPr>
              <w:t>Use of Proceeds</w:t>
            </w:r>
            <w:r w:rsidRPr="001119EA">
              <w:rPr>
                <w:rFonts w:ascii="Arial" w:hAnsi="Arial"/>
                <w:b/>
                <w:vertAlign w:val="superscript"/>
              </w:rPr>
              <w:t>(1)</w:t>
            </w:r>
          </w:p>
        </w:tc>
      </w:tr>
      <w:tr w:rsidR="00FE2C66" w:rsidRPr="00655DF4" w14:paraId="487F478A" w14:textId="77777777" w:rsidTr="009B26C9">
        <w:tc>
          <w:tcPr>
            <w:tcW w:w="3415" w:type="dxa"/>
            <w:shd w:val="clear" w:color="auto" w:fill="auto"/>
          </w:tcPr>
          <w:p w14:paraId="1E71658A" w14:textId="25346214" w:rsidR="00FE2C66" w:rsidRPr="009B26C9" w:rsidRDefault="002E7D7C" w:rsidP="00B741F4">
            <w:pPr>
              <w:pStyle w:val="List"/>
              <w:tabs>
                <w:tab w:val="left" w:pos="360"/>
              </w:tabs>
              <w:spacing w:before="0" w:line="280" w:lineRule="exact"/>
              <w:ind w:left="0" w:firstLine="0"/>
              <w:rPr>
                <w:rFonts w:ascii="Arial" w:hAnsi="Arial"/>
                <w:color w:val="0070C0"/>
                <w:highlight w:val="yellow"/>
              </w:rPr>
            </w:pPr>
            <w:r w:rsidRPr="001119EA">
              <w:rPr>
                <w:rFonts w:ascii="Arial" w:hAnsi="Arial"/>
                <w:color w:val="0070C0"/>
              </w:rPr>
              <w:t>Common Shares</w:t>
            </w:r>
            <w:r w:rsidRPr="001119EA">
              <w:rPr>
                <w:rFonts w:ascii="Arial" w:hAnsi="Arial"/>
                <w:color w:val="0070C0"/>
              </w:rPr>
              <w:tab/>
            </w:r>
            <w:r w:rsidRPr="001119EA">
              <w:rPr>
                <w:rFonts w:ascii="Arial" w:hAnsi="Arial"/>
                <w:color w:val="0070C0"/>
              </w:rPr>
              <w:tab/>
            </w:r>
          </w:p>
        </w:tc>
        <w:tc>
          <w:tcPr>
            <w:tcW w:w="1530" w:type="dxa"/>
            <w:shd w:val="clear" w:color="auto" w:fill="auto"/>
          </w:tcPr>
          <w:p w14:paraId="7F511E12" w14:textId="7DC4AC32" w:rsidR="00FE2C66" w:rsidRPr="009B26C9" w:rsidRDefault="001119EA" w:rsidP="00B741F4">
            <w:pPr>
              <w:pStyle w:val="List"/>
              <w:tabs>
                <w:tab w:val="left" w:pos="360"/>
              </w:tabs>
              <w:spacing w:before="0" w:line="280" w:lineRule="exact"/>
              <w:ind w:left="0" w:firstLine="0"/>
              <w:jc w:val="right"/>
              <w:rPr>
                <w:rFonts w:ascii="Arial" w:hAnsi="Arial"/>
                <w:color w:val="0070C0"/>
                <w:highlight w:val="yellow"/>
              </w:rPr>
            </w:pPr>
            <w:r w:rsidRPr="001119EA">
              <w:rPr>
                <w:rFonts w:ascii="Arial" w:hAnsi="Arial"/>
                <w:color w:val="0070C0"/>
              </w:rPr>
              <w:t>34,895,305</w:t>
            </w:r>
          </w:p>
        </w:tc>
        <w:tc>
          <w:tcPr>
            <w:tcW w:w="2610" w:type="dxa"/>
            <w:shd w:val="clear" w:color="auto" w:fill="auto"/>
          </w:tcPr>
          <w:p w14:paraId="65FB888E" w14:textId="6445F4BC" w:rsidR="00FE2C66" w:rsidRPr="001119EA" w:rsidRDefault="001119EA" w:rsidP="00B741F4">
            <w:pPr>
              <w:pStyle w:val="List"/>
              <w:tabs>
                <w:tab w:val="left" w:pos="360"/>
              </w:tabs>
              <w:spacing w:before="0" w:line="280" w:lineRule="exact"/>
              <w:ind w:left="0" w:firstLine="0"/>
              <w:jc w:val="center"/>
              <w:rPr>
                <w:rFonts w:ascii="Arial" w:hAnsi="Arial"/>
                <w:color w:val="0070C0"/>
              </w:rPr>
            </w:pPr>
            <w:r w:rsidRPr="009B26C9">
              <w:rPr>
                <w:rFonts w:ascii="Arial" w:hAnsi="Arial"/>
                <w:color w:val="0070C0"/>
              </w:rPr>
              <w:t>Conversion of 34,551 PVS and 345 Preferred Shares</w:t>
            </w:r>
            <w:r w:rsidRPr="009B26C9">
              <w:rPr>
                <w:rFonts w:ascii="Arial" w:hAnsi="Arial"/>
                <w:color w:val="0070C0"/>
              </w:rPr>
              <w:tab/>
            </w:r>
          </w:p>
        </w:tc>
        <w:tc>
          <w:tcPr>
            <w:tcW w:w="2322" w:type="dxa"/>
            <w:shd w:val="clear" w:color="auto" w:fill="auto"/>
          </w:tcPr>
          <w:p w14:paraId="7DB29EB3" w14:textId="07C89B95" w:rsidR="00FE2C66" w:rsidRPr="001119EA" w:rsidRDefault="002E7D7C" w:rsidP="004944A6">
            <w:pPr>
              <w:pStyle w:val="List"/>
              <w:tabs>
                <w:tab w:val="left" w:pos="360"/>
              </w:tabs>
              <w:spacing w:before="0" w:line="280" w:lineRule="exact"/>
              <w:ind w:left="0" w:firstLine="0"/>
              <w:jc w:val="center"/>
              <w:rPr>
                <w:rFonts w:ascii="Arial" w:hAnsi="Arial"/>
                <w:color w:val="0070C0"/>
              </w:rPr>
            </w:pPr>
            <w:r w:rsidRPr="001119EA">
              <w:rPr>
                <w:rFonts w:ascii="Arial" w:hAnsi="Arial"/>
                <w:color w:val="0070C0"/>
              </w:rPr>
              <w:t>N/A</w:t>
            </w:r>
          </w:p>
        </w:tc>
      </w:tr>
      <w:tr w:rsidR="00B741F4" w:rsidRPr="00655DF4" w14:paraId="3D466447" w14:textId="77777777" w:rsidTr="00CC4B11">
        <w:tc>
          <w:tcPr>
            <w:tcW w:w="3415" w:type="dxa"/>
          </w:tcPr>
          <w:p w14:paraId="5C6AF201" w14:textId="6F3170C4" w:rsidR="00B741F4" w:rsidRPr="009B26C9" w:rsidRDefault="00F30F7B" w:rsidP="00B741F4">
            <w:pPr>
              <w:pStyle w:val="List"/>
              <w:tabs>
                <w:tab w:val="left" w:pos="360"/>
              </w:tabs>
              <w:spacing w:before="0" w:line="280" w:lineRule="exact"/>
              <w:ind w:left="0" w:firstLine="0"/>
              <w:rPr>
                <w:rFonts w:ascii="Arial" w:hAnsi="Arial"/>
                <w:color w:val="0070C0"/>
                <w:highlight w:val="yellow"/>
              </w:rPr>
            </w:pPr>
            <w:r w:rsidRPr="001119EA">
              <w:rPr>
                <w:rFonts w:ascii="Arial" w:hAnsi="Arial"/>
                <w:color w:val="0070C0"/>
              </w:rPr>
              <w:lastRenderedPageBreak/>
              <w:t>Common Shares</w:t>
            </w:r>
          </w:p>
        </w:tc>
        <w:tc>
          <w:tcPr>
            <w:tcW w:w="1530" w:type="dxa"/>
            <w:shd w:val="clear" w:color="auto" w:fill="auto"/>
          </w:tcPr>
          <w:p w14:paraId="0DD2F811" w14:textId="6ACABF6A" w:rsidR="00B741F4" w:rsidRPr="009B26C9" w:rsidRDefault="001119EA" w:rsidP="00B741F4">
            <w:pPr>
              <w:pStyle w:val="List"/>
              <w:tabs>
                <w:tab w:val="left" w:pos="360"/>
              </w:tabs>
              <w:spacing w:before="0" w:line="280" w:lineRule="exact"/>
              <w:ind w:left="0" w:firstLine="0"/>
              <w:jc w:val="right"/>
              <w:rPr>
                <w:rFonts w:ascii="Arial" w:hAnsi="Arial"/>
                <w:color w:val="0070C0"/>
                <w:highlight w:val="yellow"/>
              </w:rPr>
            </w:pPr>
            <w:r w:rsidRPr="001119EA">
              <w:rPr>
                <w:rFonts w:ascii="Arial" w:hAnsi="Arial"/>
                <w:color w:val="0070C0"/>
              </w:rPr>
              <w:t>538,024</w:t>
            </w:r>
          </w:p>
        </w:tc>
        <w:tc>
          <w:tcPr>
            <w:tcW w:w="2610" w:type="dxa"/>
            <w:shd w:val="clear" w:color="auto" w:fill="auto"/>
          </w:tcPr>
          <w:p w14:paraId="718366A2" w14:textId="6403F3E8" w:rsidR="00B741F4" w:rsidRPr="009B26C9" w:rsidRDefault="007F4C8A" w:rsidP="00B741F4">
            <w:pPr>
              <w:pStyle w:val="List"/>
              <w:tabs>
                <w:tab w:val="left" w:pos="360"/>
              </w:tabs>
              <w:spacing w:before="0" w:line="280" w:lineRule="exact"/>
              <w:ind w:left="0" w:firstLine="0"/>
              <w:jc w:val="center"/>
              <w:rPr>
                <w:rFonts w:ascii="Arial" w:hAnsi="Arial"/>
                <w:color w:val="0070C0"/>
                <w:highlight w:val="yellow"/>
              </w:rPr>
            </w:pPr>
            <w:r w:rsidRPr="001119EA">
              <w:rPr>
                <w:rFonts w:ascii="Arial" w:hAnsi="Arial"/>
                <w:color w:val="0070C0"/>
              </w:rPr>
              <w:t>Warrants exercise</w:t>
            </w:r>
          </w:p>
        </w:tc>
        <w:tc>
          <w:tcPr>
            <w:tcW w:w="2322" w:type="dxa"/>
            <w:shd w:val="clear" w:color="auto" w:fill="auto"/>
          </w:tcPr>
          <w:p w14:paraId="59055979" w14:textId="48959FAF" w:rsidR="00B741F4" w:rsidRPr="001119EA" w:rsidRDefault="00586C82" w:rsidP="003125A0">
            <w:pPr>
              <w:pStyle w:val="List"/>
              <w:tabs>
                <w:tab w:val="left" w:pos="360"/>
              </w:tabs>
              <w:spacing w:before="0" w:line="280" w:lineRule="exact"/>
              <w:ind w:left="0" w:firstLine="0"/>
              <w:jc w:val="center"/>
              <w:rPr>
                <w:rFonts w:ascii="Arial" w:hAnsi="Arial"/>
                <w:color w:val="0070C0"/>
              </w:rPr>
            </w:pPr>
            <w:r w:rsidRPr="001119EA">
              <w:rPr>
                <w:rFonts w:ascii="Arial" w:hAnsi="Arial"/>
                <w:color w:val="0070C0"/>
              </w:rPr>
              <w:t>$</w:t>
            </w:r>
            <w:r w:rsidR="001119EA" w:rsidRPr="009B26C9">
              <w:rPr>
                <w:rFonts w:ascii="Arial" w:hAnsi="Arial"/>
                <w:color w:val="0070C0"/>
              </w:rPr>
              <w:t>1.</w:t>
            </w:r>
            <w:r w:rsidR="001119EA" w:rsidRPr="001119EA">
              <w:rPr>
                <w:rFonts w:ascii="Arial" w:hAnsi="Arial"/>
                <w:color w:val="0070C0"/>
              </w:rPr>
              <w:t>7</w:t>
            </w:r>
            <w:r w:rsidR="001119EA" w:rsidRPr="009B26C9">
              <w:rPr>
                <w:rFonts w:ascii="Arial" w:hAnsi="Arial"/>
                <w:color w:val="0070C0"/>
              </w:rPr>
              <w:t>M</w:t>
            </w:r>
            <w:r w:rsidR="001119EA" w:rsidRPr="001119EA">
              <w:rPr>
                <w:rFonts w:ascii="Arial" w:hAnsi="Arial"/>
                <w:color w:val="0070C0"/>
              </w:rPr>
              <w:t xml:space="preserve"> </w:t>
            </w:r>
            <w:r w:rsidRPr="001119EA">
              <w:rPr>
                <w:rFonts w:ascii="Arial" w:hAnsi="Arial"/>
                <w:color w:val="0070C0"/>
              </w:rPr>
              <w:t>– to be used to fund Issuer’s growth initiatives including its U.S. expansion strategy, capital expenditures, working capital and general corporate purposes</w:t>
            </w:r>
          </w:p>
        </w:tc>
      </w:tr>
      <w:tr w:rsidR="001B4CBF" w:rsidRPr="00655DF4" w14:paraId="151E2905" w14:textId="77777777" w:rsidTr="00CC4B11">
        <w:tc>
          <w:tcPr>
            <w:tcW w:w="3415" w:type="dxa"/>
          </w:tcPr>
          <w:p w14:paraId="0A0391BC" w14:textId="6540D613" w:rsidR="001B4CBF" w:rsidRPr="009B26C9" w:rsidRDefault="001B4CBF" w:rsidP="001B4CBF">
            <w:pPr>
              <w:pStyle w:val="List"/>
              <w:tabs>
                <w:tab w:val="left" w:pos="360"/>
              </w:tabs>
              <w:spacing w:before="0" w:line="280" w:lineRule="exact"/>
              <w:ind w:left="0" w:firstLine="0"/>
              <w:rPr>
                <w:rFonts w:ascii="Arial" w:hAnsi="Arial"/>
                <w:color w:val="0070C0"/>
                <w:highlight w:val="yellow"/>
              </w:rPr>
            </w:pPr>
            <w:r w:rsidRPr="001119EA">
              <w:rPr>
                <w:rFonts w:ascii="Arial" w:hAnsi="Arial"/>
                <w:color w:val="0070C0"/>
              </w:rPr>
              <w:t>Common Shares</w:t>
            </w:r>
          </w:p>
        </w:tc>
        <w:tc>
          <w:tcPr>
            <w:tcW w:w="1530" w:type="dxa"/>
            <w:shd w:val="clear" w:color="auto" w:fill="auto"/>
          </w:tcPr>
          <w:p w14:paraId="45FA85F4" w14:textId="2F1BEAB8" w:rsidR="001B4CBF" w:rsidRPr="009B26C9" w:rsidRDefault="001119EA" w:rsidP="001B4CBF">
            <w:pPr>
              <w:pStyle w:val="List"/>
              <w:tabs>
                <w:tab w:val="left" w:pos="360"/>
              </w:tabs>
              <w:spacing w:before="0" w:line="280" w:lineRule="exact"/>
              <w:ind w:left="0" w:firstLine="0"/>
              <w:jc w:val="right"/>
              <w:rPr>
                <w:rFonts w:ascii="Arial" w:hAnsi="Arial"/>
                <w:color w:val="0070C0"/>
                <w:highlight w:val="yellow"/>
              </w:rPr>
            </w:pPr>
            <w:r w:rsidRPr="001119EA">
              <w:rPr>
                <w:rFonts w:ascii="Arial" w:hAnsi="Arial"/>
                <w:color w:val="0070C0"/>
              </w:rPr>
              <w:t>276,315</w:t>
            </w:r>
          </w:p>
        </w:tc>
        <w:tc>
          <w:tcPr>
            <w:tcW w:w="2610" w:type="dxa"/>
            <w:shd w:val="clear" w:color="auto" w:fill="auto"/>
          </w:tcPr>
          <w:p w14:paraId="36F1C55F" w14:textId="4C1B231C" w:rsidR="001B4CBF" w:rsidRPr="009B26C9" w:rsidRDefault="001B4CBF" w:rsidP="001B4CBF">
            <w:pPr>
              <w:pStyle w:val="List"/>
              <w:tabs>
                <w:tab w:val="left" w:pos="360"/>
              </w:tabs>
              <w:spacing w:before="0" w:line="280" w:lineRule="exact"/>
              <w:ind w:left="0" w:firstLine="0"/>
              <w:jc w:val="center"/>
              <w:rPr>
                <w:rFonts w:ascii="Arial" w:hAnsi="Arial"/>
                <w:color w:val="0070C0"/>
                <w:highlight w:val="yellow"/>
              </w:rPr>
            </w:pPr>
            <w:r w:rsidRPr="001119EA">
              <w:rPr>
                <w:rFonts w:ascii="Arial" w:hAnsi="Arial"/>
                <w:color w:val="0070C0"/>
              </w:rPr>
              <w:t>Options exercise</w:t>
            </w:r>
          </w:p>
        </w:tc>
        <w:tc>
          <w:tcPr>
            <w:tcW w:w="2322" w:type="dxa"/>
            <w:shd w:val="clear" w:color="auto" w:fill="auto"/>
          </w:tcPr>
          <w:p w14:paraId="742D9E48" w14:textId="279C4079" w:rsidR="001B4CBF" w:rsidRPr="001119EA" w:rsidRDefault="00274A86" w:rsidP="003125A0">
            <w:pPr>
              <w:pStyle w:val="List"/>
              <w:tabs>
                <w:tab w:val="left" w:pos="360"/>
              </w:tabs>
              <w:spacing w:before="0" w:line="280" w:lineRule="exact"/>
              <w:ind w:left="0" w:firstLine="0"/>
              <w:jc w:val="center"/>
              <w:rPr>
                <w:rFonts w:ascii="Arial" w:hAnsi="Arial"/>
                <w:color w:val="0070C0"/>
              </w:rPr>
            </w:pPr>
            <w:r w:rsidRPr="001119EA">
              <w:rPr>
                <w:rFonts w:ascii="Arial" w:hAnsi="Arial"/>
                <w:color w:val="0070C0"/>
              </w:rPr>
              <w:t>$</w:t>
            </w:r>
            <w:r w:rsidR="001119EA" w:rsidRPr="009B26C9">
              <w:rPr>
                <w:rFonts w:ascii="Arial" w:hAnsi="Arial"/>
                <w:color w:val="0070C0"/>
              </w:rPr>
              <w:t>1.4M</w:t>
            </w:r>
            <w:r w:rsidRPr="001119EA">
              <w:rPr>
                <w:rFonts w:ascii="Arial" w:hAnsi="Arial"/>
                <w:color w:val="0070C0"/>
              </w:rPr>
              <w:t xml:space="preserve"> - to be used to fund Issuer’s growth initiatives including its U.S. expansion strategy, capital expenditures, working capital and general corporate purposes</w:t>
            </w:r>
          </w:p>
        </w:tc>
      </w:tr>
      <w:tr w:rsidR="001119EA" w:rsidRPr="00655DF4" w14:paraId="1C6AD52C" w14:textId="77777777" w:rsidTr="00CC4B11">
        <w:tc>
          <w:tcPr>
            <w:tcW w:w="3415" w:type="dxa"/>
          </w:tcPr>
          <w:p w14:paraId="0D194D45" w14:textId="56DDE968" w:rsidR="001119EA" w:rsidRPr="009B26C9" w:rsidRDefault="001119EA" w:rsidP="001119EA">
            <w:pPr>
              <w:pStyle w:val="List"/>
              <w:tabs>
                <w:tab w:val="left" w:pos="360"/>
              </w:tabs>
              <w:spacing w:before="0" w:line="280" w:lineRule="exact"/>
              <w:ind w:left="0" w:firstLine="0"/>
              <w:rPr>
                <w:rFonts w:ascii="Arial" w:hAnsi="Arial"/>
                <w:color w:val="0070C0"/>
              </w:rPr>
            </w:pPr>
            <w:r w:rsidRPr="009B26C9">
              <w:rPr>
                <w:rFonts w:ascii="Arial" w:hAnsi="Arial"/>
                <w:color w:val="0070C0"/>
              </w:rPr>
              <w:t>Common Shares</w:t>
            </w:r>
          </w:p>
        </w:tc>
        <w:tc>
          <w:tcPr>
            <w:tcW w:w="1530" w:type="dxa"/>
            <w:shd w:val="clear" w:color="auto" w:fill="auto"/>
          </w:tcPr>
          <w:p w14:paraId="1EB6153A" w14:textId="1A5031FF" w:rsidR="001119EA" w:rsidRPr="009B26C9" w:rsidRDefault="001119EA" w:rsidP="001119EA">
            <w:pPr>
              <w:pStyle w:val="List"/>
              <w:tabs>
                <w:tab w:val="left" w:pos="360"/>
              </w:tabs>
              <w:spacing w:before="0" w:line="280" w:lineRule="exact"/>
              <w:ind w:left="0" w:firstLine="0"/>
              <w:jc w:val="right"/>
              <w:rPr>
                <w:rFonts w:ascii="Arial" w:hAnsi="Arial"/>
                <w:color w:val="0070C0"/>
              </w:rPr>
            </w:pPr>
            <w:r w:rsidRPr="009B26C9">
              <w:rPr>
                <w:rFonts w:ascii="Arial" w:hAnsi="Arial"/>
                <w:color w:val="0070C0"/>
              </w:rPr>
              <w:t>1,284,221</w:t>
            </w:r>
          </w:p>
        </w:tc>
        <w:tc>
          <w:tcPr>
            <w:tcW w:w="2610" w:type="dxa"/>
            <w:shd w:val="clear" w:color="auto" w:fill="auto"/>
          </w:tcPr>
          <w:p w14:paraId="4A591EA6" w14:textId="119AB6BE" w:rsidR="001119EA" w:rsidRPr="009B26C9" w:rsidRDefault="001119EA" w:rsidP="001119EA">
            <w:pPr>
              <w:pStyle w:val="List"/>
              <w:tabs>
                <w:tab w:val="left" w:pos="360"/>
              </w:tabs>
              <w:spacing w:before="0" w:line="280" w:lineRule="exact"/>
              <w:ind w:left="0" w:firstLine="0"/>
              <w:jc w:val="center"/>
              <w:rPr>
                <w:rFonts w:ascii="Arial" w:hAnsi="Arial"/>
                <w:color w:val="0070C0"/>
              </w:rPr>
            </w:pPr>
            <w:r w:rsidRPr="009B26C9">
              <w:rPr>
                <w:rFonts w:ascii="Arial" w:hAnsi="Arial"/>
                <w:color w:val="0070C0"/>
              </w:rPr>
              <w:t>Forced Conversion of Convertible Debentures</w:t>
            </w:r>
          </w:p>
        </w:tc>
        <w:tc>
          <w:tcPr>
            <w:tcW w:w="2322" w:type="dxa"/>
            <w:shd w:val="clear" w:color="auto" w:fill="auto"/>
          </w:tcPr>
          <w:p w14:paraId="57F99235" w14:textId="776145DA" w:rsidR="001119EA" w:rsidRPr="009B26C9" w:rsidRDefault="001119EA" w:rsidP="001119EA">
            <w:pPr>
              <w:pStyle w:val="List"/>
              <w:tabs>
                <w:tab w:val="left" w:pos="360"/>
              </w:tabs>
              <w:spacing w:before="0" w:line="280" w:lineRule="exact"/>
              <w:ind w:left="0" w:firstLine="0"/>
              <w:jc w:val="center"/>
              <w:rPr>
                <w:rFonts w:ascii="Arial" w:hAnsi="Arial"/>
                <w:color w:val="0070C0"/>
              </w:rPr>
            </w:pPr>
            <w:r w:rsidRPr="009B26C9">
              <w:rPr>
                <w:rFonts w:ascii="Arial" w:hAnsi="Arial"/>
                <w:color w:val="0070C0"/>
              </w:rPr>
              <w:t>N/A</w:t>
            </w:r>
          </w:p>
        </w:tc>
      </w:tr>
      <w:tr w:rsidR="001119EA" w:rsidRPr="00655DF4" w14:paraId="72B26DDE" w14:textId="77777777" w:rsidTr="00CC4B11">
        <w:tc>
          <w:tcPr>
            <w:tcW w:w="3415" w:type="dxa"/>
          </w:tcPr>
          <w:p w14:paraId="57771F21" w14:textId="69C1AA30" w:rsidR="001119EA" w:rsidRPr="009B26C9" w:rsidRDefault="001119EA" w:rsidP="001119EA">
            <w:pPr>
              <w:pStyle w:val="List"/>
              <w:tabs>
                <w:tab w:val="left" w:pos="360"/>
              </w:tabs>
              <w:spacing w:before="0" w:line="280" w:lineRule="exact"/>
              <w:ind w:left="0" w:firstLine="0"/>
              <w:rPr>
                <w:rFonts w:ascii="Arial" w:hAnsi="Arial"/>
                <w:color w:val="0070C0"/>
              </w:rPr>
            </w:pPr>
            <w:r w:rsidRPr="009B26C9">
              <w:rPr>
                <w:rFonts w:ascii="Arial" w:hAnsi="Arial"/>
                <w:color w:val="0070C0"/>
              </w:rPr>
              <w:t>Common Shares</w:t>
            </w:r>
          </w:p>
        </w:tc>
        <w:tc>
          <w:tcPr>
            <w:tcW w:w="1530" w:type="dxa"/>
            <w:shd w:val="clear" w:color="auto" w:fill="auto"/>
          </w:tcPr>
          <w:p w14:paraId="0FF217BF" w14:textId="45AAE627" w:rsidR="001119EA" w:rsidRPr="009B26C9" w:rsidRDefault="001119EA" w:rsidP="001119EA">
            <w:pPr>
              <w:pStyle w:val="List"/>
              <w:tabs>
                <w:tab w:val="left" w:pos="360"/>
              </w:tabs>
              <w:spacing w:before="0" w:line="280" w:lineRule="exact"/>
              <w:ind w:left="0" w:firstLine="0"/>
              <w:jc w:val="right"/>
              <w:rPr>
                <w:rFonts w:ascii="Arial" w:hAnsi="Arial"/>
                <w:color w:val="0070C0"/>
              </w:rPr>
            </w:pPr>
            <w:r w:rsidRPr="009B26C9">
              <w:rPr>
                <w:rFonts w:ascii="Arial" w:hAnsi="Arial"/>
                <w:color w:val="0070C0"/>
              </w:rPr>
              <w:t>18,115,656</w:t>
            </w:r>
          </w:p>
        </w:tc>
        <w:tc>
          <w:tcPr>
            <w:tcW w:w="2610" w:type="dxa"/>
            <w:shd w:val="clear" w:color="auto" w:fill="auto"/>
          </w:tcPr>
          <w:p w14:paraId="5585BD4C" w14:textId="484C4387" w:rsidR="001119EA" w:rsidRPr="009B26C9" w:rsidRDefault="001119EA" w:rsidP="001119EA">
            <w:pPr>
              <w:pStyle w:val="List"/>
              <w:tabs>
                <w:tab w:val="left" w:pos="360"/>
              </w:tabs>
              <w:spacing w:before="0" w:line="280" w:lineRule="exact"/>
              <w:ind w:left="0" w:firstLine="0"/>
              <w:jc w:val="center"/>
              <w:rPr>
                <w:rFonts w:ascii="Arial" w:hAnsi="Arial"/>
                <w:color w:val="0070C0"/>
              </w:rPr>
            </w:pPr>
            <w:r w:rsidRPr="009B26C9">
              <w:rPr>
                <w:rFonts w:ascii="Arial" w:hAnsi="Arial"/>
                <w:color w:val="0070C0"/>
              </w:rPr>
              <w:t>Non-brokered private placement</w:t>
            </w:r>
          </w:p>
        </w:tc>
        <w:tc>
          <w:tcPr>
            <w:tcW w:w="2322" w:type="dxa"/>
            <w:shd w:val="clear" w:color="auto" w:fill="auto"/>
          </w:tcPr>
          <w:p w14:paraId="06BBEE52" w14:textId="30C77852" w:rsidR="001119EA" w:rsidRPr="009B26C9" w:rsidRDefault="001119EA" w:rsidP="001119EA">
            <w:pPr>
              <w:pStyle w:val="List"/>
              <w:tabs>
                <w:tab w:val="left" w:pos="360"/>
              </w:tabs>
              <w:spacing w:before="0" w:line="280" w:lineRule="exact"/>
              <w:ind w:left="0" w:firstLine="0"/>
              <w:jc w:val="center"/>
              <w:rPr>
                <w:rFonts w:ascii="Arial" w:hAnsi="Arial"/>
                <w:color w:val="0070C0"/>
              </w:rPr>
            </w:pPr>
            <w:r w:rsidRPr="009B26C9">
              <w:rPr>
                <w:rFonts w:ascii="Arial" w:hAnsi="Arial"/>
                <w:color w:val="0070C0"/>
              </w:rPr>
              <w:t>$224M - to be used to fund Issuer’s growth initiatives including its U.S. expansion strategy, capital expenditures, working capital and general corporate purposes</w:t>
            </w:r>
          </w:p>
        </w:tc>
      </w:tr>
      <w:tr w:rsidR="001119EA" w:rsidRPr="00655DF4" w14:paraId="464FFAB7" w14:textId="77777777" w:rsidTr="00CC4B11">
        <w:tc>
          <w:tcPr>
            <w:tcW w:w="3415" w:type="dxa"/>
          </w:tcPr>
          <w:p w14:paraId="5F4A29D7" w14:textId="6F5FB94E" w:rsidR="001119EA" w:rsidRPr="009B26C9" w:rsidRDefault="001119EA" w:rsidP="001119EA">
            <w:pPr>
              <w:pStyle w:val="List"/>
              <w:tabs>
                <w:tab w:val="left" w:pos="360"/>
              </w:tabs>
              <w:spacing w:before="0" w:line="280" w:lineRule="exact"/>
              <w:ind w:left="0" w:firstLine="0"/>
              <w:rPr>
                <w:rFonts w:ascii="Arial" w:hAnsi="Arial"/>
                <w:color w:val="0070C0"/>
              </w:rPr>
            </w:pPr>
            <w:r w:rsidRPr="009B26C9">
              <w:rPr>
                <w:rFonts w:ascii="Arial" w:hAnsi="Arial"/>
                <w:color w:val="0070C0"/>
              </w:rPr>
              <w:t>Preferred Shares</w:t>
            </w:r>
          </w:p>
        </w:tc>
        <w:tc>
          <w:tcPr>
            <w:tcW w:w="1530" w:type="dxa"/>
            <w:shd w:val="clear" w:color="auto" w:fill="auto"/>
          </w:tcPr>
          <w:p w14:paraId="3B34016F" w14:textId="4654C52B" w:rsidR="001119EA" w:rsidRPr="009B26C9" w:rsidRDefault="001119EA" w:rsidP="001119EA">
            <w:pPr>
              <w:pStyle w:val="List"/>
              <w:tabs>
                <w:tab w:val="left" w:pos="360"/>
              </w:tabs>
              <w:spacing w:before="0" w:line="280" w:lineRule="exact"/>
              <w:ind w:left="0" w:firstLine="0"/>
              <w:jc w:val="right"/>
              <w:rPr>
                <w:rFonts w:ascii="Arial" w:hAnsi="Arial"/>
                <w:color w:val="0070C0"/>
              </w:rPr>
            </w:pPr>
            <w:r w:rsidRPr="009B26C9">
              <w:rPr>
                <w:rFonts w:ascii="Arial" w:hAnsi="Arial"/>
                <w:color w:val="0070C0"/>
              </w:rPr>
              <w:t>1,391</w:t>
            </w:r>
          </w:p>
        </w:tc>
        <w:tc>
          <w:tcPr>
            <w:tcW w:w="2610" w:type="dxa"/>
            <w:shd w:val="clear" w:color="auto" w:fill="auto"/>
          </w:tcPr>
          <w:p w14:paraId="5527E17B" w14:textId="3D1CE8C0" w:rsidR="001119EA" w:rsidRPr="009B26C9" w:rsidRDefault="001119EA" w:rsidP="001119EA">
            <w:pPr>
              <w:pStyle w:val="List"/>
              <w:tabs>
                <w:tab w:val="left" w:pos="360"/>
              </w:tabs>
              <w:spacing w:before="0" w:line="280" w:lineRule="exact"/>
              <w:ind w:left="0" w:firstLine="0"/>
              <w:jc w:val="center"/>
              <w:rPr>
                <w:rFonts w:ascii="Arial" w:hAnsi="Arial"/>
                <w:color w:val="0070C0"/>
              </w:rPr>
            </w:pPr>
            <w:r w:rsidRPr="009B26C9">
              <w:rPr>
                <w:rFonts w:ascii="Arial" w:hAnsi="Arial"/>
                <w:color w:val="0070C0"/>
              </w:rPr>
              <w:t>Warrants exercise</w:t>
            </w:r>
          </w:p>
        </w:tc>
        <w:tc>
          <w:tcPr>
            <w:tcW w:w="2322" w:type="dxa"/>
            <w:shd w:val="clear" w:color="auto" w:fill="auto"/>
          </w:tcPr>
          <w:p w14:paraId="76020392" w14:textId="1919D755" w:rsidR="001119EA" w:rsidRPr="009B26C9" w:rsidRDefault="001119EA" w:rsidP="001119EA">
            <w:pPr>
              <w:pStyle w:val="List"/>
              <w:tabs>
                <w:tab w:val="left" w:pos="360"/>
              </w:tabs>
              <w:spacing w:before="0" w:line="280" w:lineRule="exact"/>
              <w:ind w:left="0" w:firstLine="0"/>
              <w:jc w:val="center"/>
              <w:rPr>
                <w:rFonts w:ascii="Arial" w:hAnsi="Arial"/>
                <w:color w:val="0070C0"/>
              </w:rPr>
            </w:pPr>
            <w:r w:rsidRPr="009B26C9">
              <w:rPr>
                <w:rFonts w:ascii="Arial" w:hAnsi="Arial"/>
                <w:color w:val="0070C0"/>
              </w:rPr>
              <w:t>$4.7M - to be used to fund Issuer’s growth initiatives including its U.S. expansion strategy, capital expenditures, working capital and general corporate purposes</w:t>
            </w:r>
          </w:p>
        </w:tc>
      </w:tr>
    </w:tbl>
    <w:bookmarkEnd w:id="6"/>
    <w:p w14:paraId="6E89DE12" w14:textId="37E2F34D" w:rsidR="00091F1F" w:rsidRPr="009823B1" w:rsidRDefault="00640E94" w:rsidP="009823B1">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AB25DFD" w14:textId="1DDE26F9" w:rsidR="00640E94" w:rsidRPr="00DA4179" w:rsidRDefault="00640E94">
      <w:pPr>
        <w:pStyle w:val="List"/>
        <w:keepNext/>
        <w:keepLines/>
        <w:numPr>
          <w:ilvl w:val="0"/>
          <w:numId w:val="28"/>
        </w:numPr>
        <w:spacing w:before="120"/>
        <w:jc w:val="both"/>
        <w:rPr>
          <w:rFonts w:ascii="Arial" w:hAnsi="Arial"/>
        </w:rPr>
      </w:pPr>
      <w:r w:rsidRPr="00DA4179">
        <w:rPr>
          <w:rFonts w:ascii="Arial" w:hAnsi="Arial"/>
        </w:rPr>
        <w:lastRenderedPageBreak/>
        <w:t>Provide details of any loans to or by Related Persons.</w:t>
      </w:r>
    </w:p>
    <w:p w14:paraId="6B7F414D" w14:textId="1ED1B76F" w:rsidR="00753785" w:rsidRPr="00416017" w:rsidRDefault="00995BFD" w:rsidP="00416017">
      <w:pPr>
        <w:pStyle w:val="List"/>
        <w:spacing w:before="120"/>
        <w:ind w:left="720" w:firstLine="0"/>
        <w:jc w:val="both"/>
        <w:rPr>
          <w:rFonts w:ascii="Arial" w:hAnsi="Arial"/>
        </w:rPr>
      </w:pPr>
      <w:r w:rsidRPr="00DA4179">
        <w:rPr>
          <w:rFonts w:ascii="Arial" w:hAnsi="Arial"/>
          <w:b/>
          <w:bCs/>
          <w:color w:val="0070C0"/>
          <w:u w:val="single"/>
        </w:rPr>
        <w:t>Issuer Response:</w:t>
      </w:r>
      <w:r w:rsidRPr="00DA4179">
        <w:rPr>
          <w:rFonts w:ascii="Arial" w:hAnsi="Arial"/>
          <w:color w:val="0070C0"/>
        </w:rPr>
        <w:t xml:space="preserve"> </w:t>
      </w:r>
      <w:r w:rsidR="007C49B1">
        <w:rPr>
          <w:rFonts w:ascii="Arial" w:hAnsi="Arial"/>
          <w:color w:val="0070C0"/>
        </w:rPr>
        <w:t>None.</w:t>
      </w:r>
    </w:p>
    <w:p w14:paraId="77CC5A3F" w14:textId="3F005FD8"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1428323" w14:textId="2C0DD0D3" w:rsidR="00CA789F" w:rsidRDefault="00995BFD" w:rsidP="00CA789F">
      <w:pPr>
        <w:pStyle w:val="List"/>
        <w:spacing w:before="120"/>
        <w:ind w:left="720" w:firstLine="0"/>
        <w:jc w:val="both"/>
        <w:rPr>
          <w:rFonts w:ascii="Arial" w:hAnsi="Arial"/>
          <w:color w:val="0070C0"/>
        </w:rPr>
      </w:pPr>
      <w:r w:rsidRPr="00995BFD">
        <w:rPr>
          <w:rFonts w:ascii="Arial" w:hAnsi="Arial"/>
          <w:b/>
          <w:bCs/>
          <w:color w:val="0070C0"/>
          <w:u w:val="single"/>
        </w:rPr>
        <w:t>Issuer Response:</w:t>
      </w:r>
      <w:r w:rsidR="005527C4">
        <w:rPr>
          <w:rFonts w:ascii="Arial" w:hAnsi="Arial"/>
          <w:color w:val="0070C0"/>
        </w:rPr>
        <w:t xml:space="preserve"> </w:t>
      </w:r>
      <w:r w:rsidR="000E2785">
        <w:rPr>
          <w:rFonts w:ascii="Arial" w:hAnsi="Arial"/>
          <w:color w:val="0070C0"/>
        </w:rPr>
        <w:t>None.</w:t>
      </w:r>
    </w:p>
    <w:p w14:paraId="7D28CE1D" w14:textId="77777777" w:rsidR="00091F1F" w:rsidRDefault="00640E94" w:rsidP="00B677BC">
      <w:pPr>
        <w:pStyle w:val="List"/>
        <w:numPr>
          <w:ilvl w:val="0"/>
          <w:numId w:val="28"/>
        </w:numPr>
        <w:spacing w:before="120"/>
        <w:jc w:val="both"/>
        <w:rPr>
          <w:rFonts w:ascii="Arial" w:hAnsi="Arial"/>
        </w:rPr>
      </w:pPr>
      <w:r w:rsidRPr="00E73A2D">
        <w:rPr>
          <w:rFonts w:ascii="Arial" w:hAnsi="Arial"/>
        </w:rPr>
        <w:t>Discuss any trends which are likely to impact the Issuer including trends in the Issuer’s market(s) or political/regulatory trends.</w:t>
      </w:r>
      <w:r w:rsidR="00E73A2D" w:rsidRPr="00E73A2D">
        <w:rPr>
          <w:rFonts w:ascii="Arial" w:hAnsi="Arial"/>
        </w:rPr>
        <w:t xml:space="preserve"> </w:t>
      </w:r>
    </w:p>
    <w:p w14:paraId="1C0237F4" w14:textId="4B2A3132" w:rsidR="002F78EA" w:rsidRPr="00434D83" w:rsidRDefault="00995BFD" w:rsidP="004624ED">
      <w:pPr>
        <w:spacing w:before="200" w:line="230" w:lineRule="auto"/>
        <w:ind w:left="720"/>
        <w:jc w:val="both"/>
        <w:rPr>
          <w:rFonts w:ascii="Arial" w:hAnsi="Arial"/>
          <w:color w:val="0070C0"/>
          <w:sz w:val="24"/>
          <w:lang w:val="en-GB"/>
        </w:rPr>
      </w:pPr>
      <w:r w:rsidRPr="002C4AC9">
        <w:rPr>
          <w:rFonts w:ascii="Arial" w:hAnsi="Arial" w:cs="Arial"/>
          <w:b/>
          <w:bCs/>
          <w:color w:val="0070C0"/>
          <w:sz w:val="24"/>
          <w:szCs w:val="24"/>
          <w:u w:val="single"/>
        </w:rPr>
        <w:t>Issuer Response:</w:t>
      </w:r>
      <w:r w:rsidR="00FD4107">
        <w:rPr>
          <w:rFonts w:ascii="Arial" w:hAnsi="Arial" w:cs="Arial"/>
          <w:b/>
          <w:bCs/>
          <w:color w:val="0070C0"/>
          <w:sz w:val="24"/>
          <w:szCs w:val="24"/>
          <w:u w:val="single"/>
        </w:rPr>
        <w:t xml:space="preserve"> </w:t>
      </w:r>
      <w:r w:rsidR="002F78EA" w:rsidRPr="00434D83">
        <w:rPr>
          <w:rFonts w:ascii="Arial" w:hAnsi="Arial"/>
          <w:color w:val="0070C0"/>
          <w:sz w:val="24"/>
          <w:lang w:val="en-GB"/>
        </w:rPr>
        <w:t xml:space="preserve">In March 2020, the World Health Organization declared the outbreak of COVID-19 a global pandemic. Government measures to limit the spread of COVID-19, including the closure of non-essential businesses, did not materially disrupt the </w:t>
      </w:r>
      <w:r w:rsidR="00D72265">
        <w:rPr>
          <w:rFonts w:ascii="Arial" w:hAnsi="Arial"/>
          <w:color w:val="0070C0"/>
          <w:sz w:val="24"/>
          <w:lang w:val="en-GB"/>
        </w:rPr>
        <w:t>Issuer’s</w:t>
      </w:r>
      <w:r w:rsidR="00D72265" w:rsidRPr="00434D83">
        <w:rPr>
          <w:rFonts w:ascii="Arial" w:hAnsi="Arial"/>
          <w:color w:val="0070C0"/>
          <w:sz w:val="24"/>
          <w:lang w:val="en-GB"/>
        </w:rPr>
        <w:t xml:space="preserve"> </w:t>
      </w:r>
      <w:r w:rsidR="002F78EA" w:rsidRPr="00434D83">
        <w:rPr>
          <w:rFonts w:ascii="Arial" w:hAnsi="Arial"/>
          <w:color w:val="0070C0"/>
          <w:sz w:val="24"/>
          <w:lang w:val="en-GB"/>
        </w:rPr>
        <w:t xml:space="preserve">operations to date. The production and sale of cannabis have been recognized as essential services across Canada and the United States and the </w:t>
      </w:r>
      <w:r w:rsidR="00D72265">
        <w:rPr>
          <w:rFonts w:ascii="Arial" w:hAnsi="Arial"/>
          <w:color w:val="0070C0"/>
          <w:sz w:val="24"/>
          <w:lang w:val="en-GB"/>
        </w:rPr>
        <w:t>Issuer</w:t>
      </w:r>
      <w:r w:rsidR="00D72265" w:rsidRPr="00434D83">
        <w:rPr>
          <w:rFonts w:ascii="Arial" w:hAnsi="Arial"/>
          <w:color w:val="0070C0"/>
          <w:sz w:val="24"/>
          <w:lang w:val="en-GB"/>
        </w:rPr>
        <w:t xml:space="preserve"> </w:t>
      </w:r>
      <w:r w:rsidR="002F78EA" w:rsidRPr="00434D83">
        <w:rPr>
          <w:rFonts w:ascii="Arial" w:hAnsi="Arial"/>
          <w:color w:val="0070C0"/>
          <w:sz w:val="24"/>
          <w:lang w:val="en-GB"/>
        </w:rPr>
        <w:t xml:space="preserve">has not experienced production delays or prolonged retail closures as a result. To date, management has not observed any material impairments of our assets or a significant change in the fair value of assets due to the COVID-19 pandemic. </w:t>
      </w:r>
    </w:p>
    <w:p w14:paraId="1C295A65" w14:textId="2CAE1C63" w:rsidR="002F78EA" w:rsidRPr="002F78EA" w:rsidRDefault="002F78EA" w:rsidP="004624ED">
      <w:pPr>
        <w:spacing w:before="200" w:line="230" w:lineRule="auto"/>
        <w:ind w:left="720"/>
        <w:jc w:val="both"/>
        <w:rPr>
          <w:rFonts w:ascii="Arial" w:hAnsi="Arial"/>
          <w:color w:val="0070C0"/>
          <w:sz w:val="24"/>
          <w:lang w:val="en-GB"/>
        </w:rPr>
      </w:pPr>
      <w:r w:rsidRPr="00434D83">
        <w:rPr>
          <w:rFonts w:ascii="Arial" w:hAnsi="Arial"/>
          <w:color w:val="0070C0"/>
          <w:sz w:val="24"/>
          <w:lang w:val="en-GB"/>
        </w:rPr>
        <w:t xml:space="preserve">Due to the rapid developments and uncertainty surrounding COVID-19, it is not possible to predict the impact that COVID-19 will have on our business, financial position, and operating results in the future. In addition, it is possible that estimates in the </w:t>
      </w:r>
      <w:r w:rsidR="00D72265">
        <w:rPr>
          <w:rFonts w:ascii="Arial" w:hAnsi="Arial"/>
          <w:color w:val="0070C0"/>
          <w:sz w:val="24"/>
          <w:lang w:val="en-GB"/>
        </w:rPr>
        <w:t>Issuer</w:t>
      </w:r>
      <w:r w:rsidR="00D72265" w:rsidRPr="00434D83">
        <w:rPr>
          <w:rFonts w:ascii="Arial" w:hAnsi="Arial"/>
          <w:color w:val="0070C0"/>
          <w:sz w:val="24"/>
          <w:lang w:val="en-GB"/>
        </w:rPr>
        <w:t xml:space="preserve">’s </w:t>
      </w:r>
      <w:r w:rsidRPr="00434D83">
        <w:rPr>
          <w:rFonts w:ascii="Arial" w:hAnsi="Arial"/>
          <w:color w:val="0070C0"/>
          <w:sz w:val="24"/>
          <w:lang w:val="en-GB"/>
        </w:rPr>
        <w:t>financial statements will change in the near term as a result of COVID-19 and the effect of any such changes could be material, which could result in, among other things, impairment of long-lived assets including intangibles and goodwill. Management is closely monitoring the impact of the pandemic on all aspects of its business.</w:t>
      </w:r>
    </w:p>
    <w:p w14:paraId="26D78294" w14:textId="77777777" w:rsidR="009B26C9" w:rsidRDefault="009B26C9" w:rsidP="0008345D">
      <w:pPr>
        <w:pStyle w:val="List"/>
        <w:spacing w:before="120"/>
        <w:ind w:left="0" w:firstLine="0"/>
        <w:jc w:val="both"/>
        <w:rPr>
          <w:rFonts w:ascii="Arial" w:hAnsi="Arial"/>
          <w:b/>
        </w:rPr>
      </w:pPr>
    </w:p>
    <w:p w14:paraId="3F3F69B3" w14:textId="77777777" w:rsidR="009B26C9" w:rsidRDefault="009B26C9" w:rsidP="0008345D">
      <w:pPr>
        <w:pStyle w:val="List"/>
        <w:spacing w:before="120"/>
        <w:ind w:left="0" w:firstLine="0"/>
        <w:jc w:val="both"/>
        <w:rPr>
          <w:rFonts w:ascii="Arial" w:hAnsi="Arial"/>
          <w:b/>
        </w:rPr>
      </w:pPr>
    </w:p>
    <w:p w14:paraId="2D625854" w14:textId="77777777" w:rsidR="009B26C9" w:rsidRDefault="009B26C9" w:rsidP="0008345D">
      <w:pPr>
        <w:pStyle w:val="List"/>
        <w:spacing w:before="120"/>
        <w:ind w:left="0" w:firstLine="0"/>
        <w:jc w:val="both"/>
        <w:rPr>
          <w:rFonts w:ascii="Arial" w:hAnsi="Arial"/>
          <w:b/>
        </w:rPr>
      </w:pPr>
    </w:p>
    <w:p w14:paraId="1E58460B" w14:textId="77777777" w:rsidR="009B26C9" w:rsidRDefault="009B26C9" w:rsidP="0008345D">
      <w:pPr>
        <w:pStyle w:val="List"/>
        <w:spacing w:before="120"/>
        <w:ind w:left="0" w:firstLine="0"/>
        <w:jc w:val="both"/>
        <w:rPr>
          <w:rFonts w:ascii="Arial" w:hAnsi="Arial"/>
          <w:b/>
        </w:rPr>
      </w:pPr>
    </w:p>
    <w:p w14:paraId="4DAFCEC7" w14:textId="77777777" w:rsidR="009B26C9" w:rsidRDefault="009B26C9" w:rsidP="0008345D">
      <w:pPr>
        <w:pStyle w:val="List"/>
        <w:spacing w:before="120"/>
        <w:ind w:left="0" w:firstLine="0"/>
        <w:jc w:val="both"/>
        <w:rPr>
          <w:rFonts w:ascii="Arial" w:hAnsi="Arial"/>
          <w:b/>
        </w:rPr>
      </w:pPr>
    </w:p>
    <w:p w14:paraId="4C9D93FD" w14:textId="77777777" w:rsidR="009B26C9" w:rsidRDefault="009B26C9" w:rsidP="0008345D">
      <w:pPr>
        <w:pStyle w:val="List"/>
        <w:spacing w:before="120"/>
        <w:ind w:left="0" w:firstLine="0"/>
        <w:jc w:val="both"/>
        <w:rPr>
          <w:rFonts w:ascii="Arial" w:hAnsi="Arial"/>
          <w:b/>
        </w:rPr>
      </w:pPr>
    </w:p>
    <w:p w14:paraId="2DE8EF26" w14:textId="77777777" w:rsidR="009B26C9" w:rsidRDefault="009B26C9" w:rsidP="0008345D">
      <w:pPr>
        <w:pStyle w:val="List"/>
        <w:spacing w:before="120"/>
        <w:ind w:left="0" w:firstLine="0"/>
        <w:jc w:val="both"/>
        <w:rPr>
          <w:rFonts w:ascii="Arial" w:hAnsi="Arial"/>
          <w:b/>
        </w:rPr>
      </w:pPr>
    </w:p>
    <w:p w14:paraId="070E6F4A" w14:textId="77777777" w:rsidR="009B26C9" w:rsidRDefault="009B26C9" w:rsidP="0008345D">
      <w:pPr>
        <w:pStyle w:val="List"/>
        <w:spacing w:before="120"/>
        <w:ind w:left="0" w:firstLine="0"/>
        <w:jc w:val="both"/>
        <w:rPr>
          <w:rFonts w:ascii="Arial" w:hAnsi="Arial"/>
          <w:b/>
        </w:rPr>
      </w:pPr>
    </w:p>
    <w:p w14:paraId="7E53A078" w14:textId="77777777" w:rsidR="009B26C9" w:rsidRDefault="009B26C9" w:rsidP="0008345D">
      <w:pPr>
        <w:pStyle w:val="List"/>
        <w:spacing w:before="120"/>
        <w:ind w:left="0" w:firstLine="0"/>
        <w:jc w:val="both"/>
        <w:rPr>
          <w:rFonts w:ascii="Arial" w:hAnsi="Arial"/>
          <w:b/>
        </w:rPr>
      </w:pPr>
    </w:p>
    <w:p w14:paraId="5B5A7426" w14:textId="77777777" w:rsidR="009B26C9" w:rsidRDefault="009B26C9" w:rsidP="0008345D">
      <w:pPr>
        <w:pStyle w:val="List"/>
        <w:spacing w:before="120"/>
        <w:ind w:left="0" w:firstLine="0"/>
        <w:jc w:val="both"/>
        <w:rPr>
          <w:rFonts w:ascii="Arial" w:hAnsi="Arial"/>
          <w:b/>
        </w:rPr>
      </w:pPr>
    </w:p>
    <w:p w14:paraId="40946E73" w14:textId="77777777" w:rsidR="009B26C9" w:rsidRDefault="009B26C9" w:rsidP="0008345D">
      <w:pPr>
        <w:pStyle w:val="List"/>
        <w:spacing w:before="120"/>
        <w:ind w:left="0" w:firstLine="0"/>
        <w:jc w:val="both"/>
        <w:rPr>
          <w:rFonts w:ascii="Arial" w:hAnsi="Arial"/>
          <w:b/>
        </w:rPr>
      </w:pPr>
    </w:p>
    <w:p w14:paraId="4569BB2B" w14:textId="77777777" w:rsidR="009B26C9" w:rsidRDefault="009B26C9" w:rsidP="0008345D">
      <w:pPr>
        <w:pStyle w:val="List"/>
        <w:spacing w:before="120"/>
        <w:ind w:left="0" w:firstLine="0"/>
        <w:jc w:val="both"/>
        <w:rPr>
          <w:rFonts w:ascii="Arial" w:hAnsi="Arial"/>
          <w:b/>
        </w:rPr>
      </w:pPr>
    </w:p>
    <w:p w14:paraId="633E6810" w14:textId="77777777" w:rsidR="009B26C9" w:rsidRDefault="009B26C9" w:rsidP="0008345D">
      <w:pPr>
        <w:pStyle w:val="List"/>
        <w:spacing w:before="120"/>
        <w:ind w:left="0" w:firstLine="0"/>
        <w:jc w:val="both"/>
        <w:rPr>
          <w:rFonts w:ascii="Arial" w:hAnsi="Arial"/>
          <w:b/>
        </w:rPr>
      </w:pPr>
    </w:p>
    <w:p w14:paraId="4B77F054" w14:textId="77777777" w:rsidR="009B26C9" w:rsidRDefault="009B26C9" w:rsidP="0008345D">
      <w:pPr>
        <w:pStyle w:val="List"/>
        <w:spacing w:before="120"/>
        <w:ind w:left="0" w:firstLine="0"/>
        <w:jc w:val="both"/>
        <w:rPr>
          <w:rFonts w:ascii="Arial" w:hAnsi="Arial"/>
          <w:b/>
        </w:rPr>
      </w:pPr>
    </w:p>
    <w:p w14:paraId="1878C78B" w14:textId="77777777" w:rsidR="009B26C9" w:rsidRDefault="009B26C9" w:rsidP="0008345D">
      <w:pPr>
        <w:pStyle w:val="List"/>
        <w:spacing w:before="120"/>
        <w:ind w:left="0" w:firstLine="0"/>
        <w:jc w:val="both"/>
        <w:rPr>
          <w:rFonts w:ascii="Arial" w:hAnsi="Arial"/>
          <w:b/>
        </w:rPr>
      </w:pPr>
    </w:p>
    <w:p w14:paraId="57360551" w14:textId="473A041D" w:rsidR="00640E94" w:rsidRDefault="00640E94" w:rsidP="0008345D">
      <w:pPr>
        <w:pStyle w:val="List"/>
        <w:spacing w:before="120"/>
        <w:ind w:left="0" w:firstLine="0"/>
        <w:jc w:val="both"/>
        <w:rPr>
          <w:rFonts w:ascii="Arial" w:hAnsi="Arial"/>
          <w:b/>
        </w:rPr>
      </w:pPr>
      <w:r>
        <w:rPr>
          <w:rFonts w:ascii="Arial" w:hAnsi="Arial"/>
          <w:b/>
        </w:rPr>
        <w:lastRenderedPageBreak/>
        <w:t xml:space="preserve">Certificate </w:t>
      </w:r>
      <w:r w:rsidR="00E73A2D">
        <w:rPr>
          <w:rFonts w:ascii="Arial" w:hAnsi="Arial"/>
          <w:b/>
        </w:rPr>
        <w:t>o</w:t>
      </w:r>
      <w:r>
        <w:rPr>
          <w:rFonts w:ascii="Arial" w:hAnsi="Arial"/>
          <w:b/>
        </w:rPr>
        <w:t>f Compliance</w:t>
      </w:r>
    </w:p>
    <w:p w14:paraId="4E76D2C3" w14:textId="77777777" w:rsidR="00640E94" w:rsidRDefault="00640E94">
      <w:pPr>
        <w:pStyle w:val="BodyText"/>
        <w:keepNext/>
        <w:rPr>
          <w:rFonts w:ascii="Arial" w:hAnsi="Arial"/>
        </w:rPr>
      </w:pPr>
      <w:r>
        <w:rPr>
          <w:rFonts w:ascii="Arial" w:hAnsi="Arial"/>
        </w:rPr>
        <w:t>The undersigned hereby certifies that:</w:t>
      </w:r>
    </w:p>
    <w:p w14:paraId="3F80509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8A185B4" w14:textId="743102B7"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27932F1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4828A5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F028858" w14:textId="60F37C7C" w:rsidR="00640E94" w:rsidRDefault="00640E94">
      <w:pPr>
        <w:pStyle w:val="BodyText"/>
        <w:tabs>
          <w:tab w:val="left" w:pos="4680"/>
          <w:tab w:val="left" w:pos="7200"/>
        </w:tabs>
        <w:spacing w:before="480"/>
        <w:jc w:val="both"/>
        <w:rPr>
          <w:rFonts w:ascii="Arial" w:hAnsi="Arial"/>
        </w:rPr>
      </w:pPr>
      <w:r w:rsidRPr="003C7697">
        <w:rPr>
          <w:rFonts w:ascii="Arial" w:hAnsi="Arial"/>
        </w:rPr>
        <w:t xml:space="preserve">Dated </w:t>
      </w:r>
      <w:r w:rsidR="007C49B1">
        <w:rPr>
          <w:rFonts w:ascii="Arial" w:hAnsi="Arial"/>
        </w:rPr>
        <w:t xml:space="preserve">February </w:t>
      </w:r>
      <w:r w:rsidR="001A2305">
        <w:rPr>
          <w:rFonts w:ascii="Arial" w:hAnsi="Arial"/>
        </w:rPr>
        <w:t>4</w:t>
      </w:r>
      <w:r w:rsidR="007C49B1">
        <w:rPr>
          <w:rFonts w:ascii="Arial" w:hAnsi="Arial"/>
        </w:rPr>
        <w:t>, 2021</w:t>
      </w:r>
    </w:p>
    <w:p w14:paraId="0F357628" w14:textId="272E9376" w:rsidR="00640E94" w:rsidRDefault="00640E94">
      <w:pPr>
        <w:pStyle w:val="List"/>
        <w:tabs>
          <w:tab w:val="left" w:pos="9180"/>
        </w:tabs>
        <w:ind w:left="5760" w:hanging="5760"/>
        <w:rPr>
          <w:rFonts w:ascii="Arial" w:hAnsi="Arial"/>
        </w:rPr>
      </w:pPr>
      <w:r>
        <w:rPr>
          <w:rFonts w:ascii="Arial" w:hAnsi="Arial"/>
        </w:rPr>
        <w:tab/>
      </w:r>
      <w:r w:rsidR="004B4450">
        <w:rPr>
          <w:rFonts w:ascii="Arial" w:hAnsi="Arial"/>
          <w:color w:val="0070C0"/>
          <w:u w:val="single"/>
        </w:rPr>
        <w:t>Keith Stauffer</w:t>
      </w:r>
      <w:r w:rsidR="007717FD">
        <w:rPr>
          <w:rFonts w:ascii="Arial" w:hAnsi="Arial"/>
          <w:u w:val="single"/>
        </w:rPr>
        <w:t>_____________</w:t>
      </w:r>
      <w:r>
        <w:rPr>
          <w:rFonts w:ascii="Arial" w:hAnsi="Arial"/>
          <w:u w:val="single"/>
        </w:rPr>
        <w:br/>
      </w:r>
      <w:r>
        <w:rPr>
          <w:rFonts w:ascii="Arial" w:hAnsi="Arial"/>
        </w:rPr>
        <w:t>Name of Director or Senior Officer</w:t>
      </w:r>
    </w:p>
    <w:p w14:paraId="11029C60" w14:textId="08316B56" w:rsidR="00640E94" w:rsidRDefault="00640E94">
      <w:pPr>
        <w:pStyle w:val="List"/>
        <w:tabs>
          <w:tab w:val="left" w:pos="9180"/>
          <w:tab w:val="left" w:pos="9360"/>
        </w:tabs>
        <w:ind w:left="5760" w:hanging="5760"/>
        <w:rPr>
          <w:rFonts w:ascii="Arial" w:hAnsi="Arial"/>
        </w:rPr>
      </w:pPr>
      <w:r>
        <w:rPr>
          <w:rFonts w:ascii="Arial" w:hAnsi="Arial"/>
        </w:rPr>
        <w:tab/>
      </w:r>
      <w:r w:rsidR="004B4450">
        <w:rPr>
          <w:rFonts w:ascii="Arial" w:hAnsi="Arial"/>
          <w:color w:val="0070C0"/>
          <w:u w:val="single"/>
        </w:rPr>
        <w:t>Keith Stauffer</w:t>
      </w:r>
      <w:r w:rsidR="000E3430" w:rsidRPr="000E3430">
        <w:rPr>
          <w:rFonts w:ascii="Arial" w:hAnsi="Arial"/>
          <w:color w:val="0070C0"/>
          <w:u w:val="single"/>
        </w:rPr>
        <w:t xml:space="preserve"> “Signed”</w:t>
      </w:r>
      <w:r>
        <w:rPr>
          <w:rFonts w:ascii="Arial" w:hAnsi="Arial"/>
          <w:u w:val="single"/>
        </w:rPr>
        <w:tab/>
      </w:r>
      <w:r>
        <w:rPr>
          <w:rFonts w:ascii="Arial" w:hAnsi="Arial"/>
        </w:rPr>
        <w:br/>
        <w:t>Signature</w:t>
      </w:r>
    </w:p>
    <w:p w14:paraId="2C35B910" w14:textId="51864680" w:rsidR="00640E94" w:rsidRDefault="00416C98">
      <w:pPr>
        <w:pStyle w:val="BodyText"/>
        <w:tabs>
          <w:tab w:val="left" w:pos="9180"/>
        </w:tabs>
        <w:spacing w:before="0"/>
        <w:ind w:left="5760"/>
        <w:rPr>
          <w:rFonts w:ascii="Arial" w:hAnsi="Arial"/>
        </w:rPr>
      </w:pPr>
      <w:r w:rsidRPr="00416C98">
        <w:rPr>
          <w:rFonts w:ascii="Arial" w:hAnsi="Arial"/>
          <w:color w:val="0070C0"/>
          <w:u w:val="single"/>
        </w:rPr>
        <w:t>Chief Financial Officer</w:t>
      </w:r>
      <w:r w:rsidR="00640E94">
        <w:rPr>
          <w:rFonts w:ascii="Arial" w:hAnsi="Arial"/>
          <w:u w:val="single"/>
        </w:rPr>
        <w:tab/>
      </w:r>
      <w:r w:rsidR="00640E94">
        <w:rPr>
          <w:rFonts w:ascii="Arial" w:hAnsi="Arial"/>
        </w:rPr>
        <w:br/>
        <w:t>Official Capacity</w:t>
      </w:r>
      <w:bookmarkEnd w:id="4"/>
    </w:p>
    <w:p w14:paraId="24095868"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2C92B3C" w14:textId="77777777">
        <w:tc>
          <w:tcPr>
            <w:tcW w:w="4878" w:type="dxa"/>
            <w:tcBorders>
              <w:top w:val="single" w:sz="18" w:space="0" w:color="auto"/>
              <w:bottom w:val="nil"/>
              <w:right w:val="single" w:sz="18" w:space="0" w:color="auto"/>
            </w:tcBorders>
          </w:tcPr>
          <w:p w14:paraId="15914D19" w14:textId="77777777" w:rsidR="00640E94" w:rsidRDefault="00640E94">
            <w:pPr>
              <w:pStyle w:val="BodyText"/>
              <w:spacing w:before="0"/>
              <w:rPr>
                <w:rFonts w:ascii="Arial" w:hAnsi="Arial"/>
                <w:b/>
                <w:i/>
              </w:rPr>
            </w:pPr>
            <w:r>
              <w:rPr>
                <w:rFonts w:ascii="Arial" w:hAnsi="Arial"/>
                <w:b/>
                <w:i/>
              </w:rPr>
              <w:t>Issuer Details</w:t>
            </w:r>
          </w:p>
          <w:p w14:paraId="02477E38" w14:textId="77777777" w:rsidR="00640E94" w:rsidRDefault="00640E94">
            <w:pPr>
              <w:pStyle w:val="BodyText"/>
              <w:spacing w:before="0"/>
              <w:rPr>
                <w:rFonts w:ascii="Arial" w:hAnsi="Arial"/>
              </w:rPr>
            </w:pPr>
            <w:r>
              <w:rPr>
                <w:rFonts w:ascii="Arial" w:hAnsi="Arial"/>
              </w:rPr>
              <w:t>Name of Issuer</w:t>
            </w:r>
          </w:p>
          <w:p w14:paraId="0BC1DE6C" w14:textId="7DCCC00D" w:rsidR="00640E94" w:rsidRPr="00416C98" w:rsidRDefault="00416C98">
            <w:pPr>
              <w:pStyle w:val="BodyText"/>
              <w:rPr>
                <w:rFonts w:ascii="Arial" w:hAnsi="Arial"/>
                <w:color w:val="0070C0"/>
              </w:rPr>
            </w:pPr>
            <w:r>
              <w:rPr>
                <w:rFonts w:ascii="Arial" w:hAnsi="Arial"/>
                <w:color w:val="0070C0"/>
              </w:rPr>
              <w:t>TerrAscend Corp</w:t>
            </w:r>
          </w:p>
        </w:tc>
        <w:tc>
          <w:tcPr>
            <w:tcW w:w="1800" w:type="dxa"/>
            <w:tcBorders>
              <w:top w:val="single" w:sz="18" w:space="0" w:color="auto"/>
              <w:left w:val="single" w:sz="18" w:space="0" w:color="auto"/>
              <w:bottom w:val="nil"/>
              <w:right w:val="single" w:sz="18" w:space="0" w:color="auto"/>
            </w:tcBorders>
          </w:tcPr>
          <w:p w14:paraId="6B893425" w14:textId="7CE926E6" w:rsidR="00416C98" w:rsidRDefault="00640E94">
            <w:pPr>
              <w:pStyle w:val="BodyText"/>
              <w:spacing w:before="0"/>
              <w:rPr>
                <w:rFonts w:ascii="Arial" w:hAnsi="Arial"/>
              </w:rPr>
            </w:pPr>
            <w:r>
              <w:rPr>
                <w:rFonts w:ascii="Arial" w:hAnsi="Arial"/>
              </w:rPr>
              <w:t>For Month End</w:t>
            </w:r>
          </w:p>
          <w:p w14:paraId="277E91EE" w14:textId="48DE27F9" w:rsidR="00640E94" w:rsidRDefault="00416C98">
            <w:pPr>
              <w:pStyle w:val="BodyText"/>
              <w:spacing w:before="0"/>
              <w:rPr>
                <w:rFonts w:ascii="Arial" w:hAnsi="Arial"/>
              </w:rPr>
            </w:pPr>
            <w:r w:rsidRPr="00416C98">
              <w:rPr>
                <w:rFonts w:ascii="Arial" w:hAnsi="Arial"/>
                <w:color w:val="0070C0"/>
              </w:rPr>
              <w:t>20</w:t>
            </w:r>
            <w:r w:rsidR="00AA35E9">
              <w:rPr>
                <w:rFonts w:ascii="Arial" w:hAnsi="Arial"/>
                <w:color w:val="0070C0"/>
              </w:rPr>
              <w:t>2</w:t>
            </w:r>
            <w:r w:rsidR="007C49B1">
              <w:rPr>
                <w:rFonts w:ascii="Arial" w:hAnsi="Arial"/>
                <w:color w:val="0070C0"/>
              </w:rPr>
              <w:t>1</w:t>
            </w:r>
            <w:r w:rsidRPr="00416C98">
              <w:rPr>
                <w:rFonts w:ascii="Arial" w:hAnsi="Arial"/>
                <w:color w:val="0070C0"/>
              </w:rPr>
              <w:t>/</w:t>
            </w:r>
            <w:r w:rsidR="007C49B1">
              <w:rPr>
                <w:rFonts w:ascii="Arial" w:hAnsi="Arial"/>
                <w:color w:val="0070C0"/>
              </w:rPr>
              <w:t>01</w:t>
            </w:r>
            <w:r w:rsidRPr="00416C98">
              <w:rPr>
                <w:rFonts w:ascii="Arial" w:hAnsi="Arial"/>
                <w:color w:val="0070C0"/>
              </w:rPr>
              <w:t>/</w:t>
            </w:r>
            <w:r w:rsidR="00C347B2">
              <w:rPr>
                <w:rFonts w:ascii="Arial" w:hAnsi="Arial"/>
                <w:color w:val="0070C0"/>
              </w:rPr>
              <w:t>31</w:t>
            </w:r>
          </w:p>
        </w:tc>
        <w:tc>
          <w:tcPr>
            <w:tcW w:w="2898" w:type="dxa"/>
            <w:tcBorders>
              <w:top w:val="single" w:sz="18" w:space="0" w:color="auto"/>
              <w:left w:val="single" w:sz="18" w:space="0" w:color="auto"/>
              <w:bottom w:val="nil"/>
            </w:tcBorders>
          </w:tcPr>
          <w:p w14:paraId="3DB126E0" w14:textId="77777777" w:rsidR="00640E94" w:rsidRDefault="00640E94">
            <w:pPr>
              <w:pStyle w:val="BodyText"/>
              <w:spacing w:before="0"/>
              <w:rPr>
                <w:rFonts w:ascii="Arial" w:hAnsi="Arial"/>
              </w:rPr>
            </w:pPr>
            <w:r>
              <w:rPr>
                <w:rFonts w:ascii="Arial" w:hAnsi="Arial"/>
              </w:rPr>
              <w:t>Date of Report</w:t>
            </w:r>
          </w:p>
          <w:p w14:paraId="36153089" w14:textId="77777777" w:rsidR="00640E94" w:rsidRDefault="00640E94">
            <w:pPr>
              <w:pStyle w:val="BodyText"/>
              <w:spacing w:before="0"/>
              <w:rPr>
                <w:rFonts w:ascii="Arial" w:hAnsi="Arial"/>
              </w:rPr>
            </w:pPr>
            <w:r>
              <w:rPr>
                <w:rFonts w:ascii="Arial" w:hAnsi="Arial"/>
              </w:rPr>
              <w:t>YY/MM/D</w:t>
            </w:r>
          </w:p>
          <w:p w14:paraId="502D3EA5" w14:textId="22C76D03" w:rsidR="00416C98" w:rsidRDefault="002C79E0">
            <w:pPr>
              <w:pStyle w:val="BodyText"/>
              <w:spacing w:before="0"/>
              <w:rPr>
                <w:rFonts w:ascii="Arial" w:hAnsi="Arial"/>
              </w:rPr>
            </w:pPr>
            <w:r>
              <w:rPr>
                <w:rFonts w:ascii="Arial" w:hAnsi="Arial"/>
                <w:color w:val="0070C0"/>
              </w:rPr>
              <w:t>21/0</w:t>
            </w:r>
            <w:r w:rsidR="005A264F">
              <w:rPr>
                <w:rFonts w:ascii="Arial" w:hAnsi="Arial"/>
                <w:color w:val="0070C0"/>
              </w:rPr>
              <w:t>2</w:t>
            </w:r>
            <w:r>
              <w:rPr>
                <w:rFonts w:ascii="Arial" w:hAnsi="Arial"/>
                <w:color w:val="0070C0"/>
              </w:rPr>
              <w:t>/</w:t>
            </w:r>
            <w:r w:rsidR="001A2305">
              <w:rPr>
                <w:rFonts w:ascii="Arial" w:hAnsi="Arial"/>
                <w:color w:val="0070C0"/>
              </w:rPr>
              <w:t>04</w:t>
            </w:r>
          </w:p>
        </w:tc>
      </w:tr>
      <w:tr w:rsidR="00640E94" w14:paraId="138C4200" w14:textId="77777777">
        <w:trPr>
          <w:cantSplit/>
        </w:trPr>
        <w:tc>
          <w:tcPr>
            <w:tcW w:w="9576" w:type="dxa"/>
            <w:gridSpan w:val="3"/>
            <w:tcBorders>
              <w:top w:val="single" w:sz="18" w:space="0" w:color="auto"/>
              <w:bottom w:val="single" w:sz="18" w:space="0" w:color="auto"/>
            </w:tcBorders>
          </w:tcPr>
          <w:p w14:paraId="7010D380" w14:textId="22D79D84" w:rsidR="00640E94" w:rsidRDefault="00640E94" w:rsidP="00416C98">
            <w:pPr>
              <w:pStyle w:val="BodyText"/>
              <w:spacing w:before="0"/>
              <w:rPr>
                <w:rFonts w:ascii="Arial" w:hAnsi="Arial"/>
              </w:rPr>
            </w:pPr>
            <w:r>
              <w:rPr>
                <w:rFonts w:ascii="Arial" w:hAnsi="Arial"/>
              </w:rPr>
              <w:t>Issuer Address</w:t>
            </w:r>
          </w:p>
          <w:p w14:paraId="44C28BC6" w14:textId="723DD95A" w:rsidR="00416C98" w:rsidRPr="00416C98" w:rsidRDefault="00416C98" w:rsidP="00416C98">
            <w:pPr>
              <w:pStyle w:val="BodyText"/>
              <w:spacing w:before="0"/>
              <w:rPr>
                <w:rFonts w:ascii="Arial" w:hAnsi="Arial"/>
                <w:color w:val="0070C0"/>
              </w:rPr>
            </w:pPr>
            <w:r w:rsidRPr="00416C98">
              <w:rPr>
                <w:rFonts w:ascii="Arial" w:hAnsi="Arial"/>
                <w:color w:val="0070C0"/>
              </w:rPr>
              <w:t>PO Box 43125</w:t>
            </w:r>
          </w:p>
          <w:p w14:paraId="508EDB9F" w14:textId="77777777" w:rsidR="00640E94" w:rsidRDefault="00640E94">
            <w:pPr>
              <w:pStyle w:val="BodyText"/>
              <w:spacing w:before="0"/>
              <w:rPr>
                <w:rFonts w:ascii="Arial" w:hAnsi="Arial"/>
              </w:rPr>
            </w:pPr>
          </w:p>
        </w:tc>
      </w:tr>
      <w:tr w:rsidR="00640E94" w14:paraId="1E0972B9" w14:textId="77777777">
        <w:tc>
          <w:tcPr>
            <w:tcW w:w="4878" w:type="dxa"/>
            <w:tcBorders>
              <w:top w:val="single" w:sz="18" w:space="0" w:color="auto"/>
              <w:bottom w:val="single" w:sz="18" w:space="0" w:color="auto"/>
              <w:right w:val="single" w:sz="18" w:space="0" w:color="auto"/>
            </w:tcBorders>
          </w:tcPr>
          <w:p w14:paraId="06CCA84F" w14:textId="77777777" w:rsidR="00640E94" w:rsidRDefault="00640E94">
            <w:pPr>
              <w:pStyle w:val="BodyText"/>
              <w:spacing w:before="0"/>
              <w:rPr>
                <w:rFonts w:ascii="Arial" w:hAnsi="Arial"/>
              </w:rPr>
            </w:pPr>
            <w:r>
              <w:rPr>
                <w:rFonts w:ascii="Arial" w:hAnsi="Arial"/>
              </w:rPr>
              <w:t>City/Province/Postal Code</w:t>
            </w:r>
          </w:p>
          <w:p w14:paraId="74619BEA" w14:textId="5FB6EAC1" w:rsidR="00640E94" w:rsidRPr="00416C98" w:rsidRDefault="00416C98">
            <w:pPr>
              <w:pStyle w:val="BodyText"/>
              <w:spacing w:before="0"/>
              <w:rPr>
                <w:rFonts w:ascii="Arial" w:hAnsi="Arial"/>
                <w:color w:val="0070C0"/>
              </w:rPr>
            </w:pPr>
            <w:r w:rsidRPr="00416C98">
              <w:rPr>
                <w:rFonts w:ascii="Arial" w:hAnsi="Arial"/>
                <w:color w:val="0070C0"/>
              </w:rPr>
              <w:t>Mississauga, Ontario L5B 4A7</w:t>
            </w:r>
          </w:p>
          <w:p w14:paraId="5FA74935"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FB050FE" w14:textId="77777777" w:rsidR="00640E94" w:rsidRDefault="00640E94">
            <w:pPr>
              <w:pStyle w:val="BodyText"/>
              <w:spacing w:before="0"/>
              <w:rPr>
                <w:rFonts w:ascii="Arial" w:hAnsi="Arial"/>
              </w:rPr>
            </w:pPr>
            <w:r>
              <w:rPr>
                <w:rFonts w:ascii="Arial" w:hAnsi="Arial"/>
              </w:rPr>
              <w:t>Issuer Fax No.</w:t>
            </w:r>
          </w:p>
          <w:p w14:paraId="1A1FF8D7" w14:textId="4AE707DE" w:rsidR="00640E94" w:rsidRDefault="00640E94">
            <w:pPr>
              <w:pStyle w:val="BodyText"/>
              <w:spacing w:before="0"/>
              <w:rPr>
                <w:rFonts w:ascii="Arial" w:hAnsi="Arial"/>
              </w:rPr>
            </w:pPr>
            <w:r w:rsidRPr="00416C98">
              <w:rPr>
                <w:rFonts w:ascii="Arial" w:hAnsi="Arial"/>
                <w:color w:val="0070C0"/>
              </w:rPr>
              <w:t>(</w:t>
            </w:r>
            <w:r w:rsidR="00416C98" w:rsidRPr="00416C98">
              <w:rPr>
                <w:rFonts w:ascii="Arial" w:hAnsi="Arial"/>
                <w:color w:val="0070C0"/>
              </w:rPr>
              <w:t>844</w:t>
            </w:r>
            <w:r w:rsidRPr="00416C98">
              <w:rPr>
                <w:rFonts w:ascii="Arial" w:hAnsi="Arial"/>
                <w:color w:val="0070C0"/>
              </w:rPr>
              <w:t>)</w:t>
            </w:r>
            <w:r w:rsidR="00416C98" w:rsidRPr="00416C98">
              <w:rPr>
                <w:rFonts w:ascii="Arial" w:hAnsi="Arial"/>
                <w:color w:val="0070C0"/>
              </w:rPr>
              <w:t xml:space="preserve"> 576 5223</w:t>
            </w:r>
          </w:p>
        </w:tc>
        <w:tc>
          <w:tcPr>
            <w:tcW w:w="2898" w:type="dxa"/>
            <w:tcBorders>
              <w:top w:val="single" w:sz="18" w:space="0" w:color="auto"/>
              <w:left w:val="single" w:sz="18" w:space="0" w:color="auto"/>
              <w:bottom w:val="single" w:sz="18" w:space="0" w:color="auto"/>
            </w:tcBorders>
          </w:tcPr>
          <w:p w14:paraId="579A1E68" w14:textId="77777777" w:rsidR="00640E94" w:rsidRDefault="00640E94">
            <w:pPr>
              <w:pStyle w:val="BodyText"/>
              <w:spacing w:before="0"/>
              <w:rPr>
                <w:rFonts w:ascii="Arial" w:hAnsi="Arial"/>
              </w:rPr>
            </w:pPr>
            <w:r>
              <w:rPr>
                <w:rFonts w:ascii="Arial" w:hAnsi="Arial"/>
              </w:rPr>
              <w:t>Issuer Telephone No.</w:t>
            </w:r>
          </w:p>
          <w:p w14:paraId="4E8D4E80" w14:textId="7DCBA7C1" w:rsidR="00640E94" w:rsidRDefault="00640E94">
            <w:pPr>
              <w:pStyle w:val="BodyText"/>
              <w:spacing w:before="0"/>
              <w:rPr>
                <w:rFonts w:ascii="Arial" w:hAnsi="Arial"/>
              </w:rPr>
            </w:pPr>
            <w:r w:rsidRPr="00416C98">
              <w:rPr>
                <w:rFonts w:ascii="Arial" w:hAnsi="Arial"/>
                <w:color w:val="0070C0"/>
              </w:rPr>
              <w:t>(</w:t>
            </w:r>
            <w:r w:rsidR="00416C98" w:rsidRPr="00416C98">
              <w:rPr>
                <w:rFonts w:ascii="Arial" w:hAnsi="Arial"/>
                <w:color w:val="0070C0"/>
              </w:rPr>
              <w:t>855</w:t>
            </w:r>
            <w:r w:rsidRPr="00416C98">
              <w:rPr>
                <w:rFonts w:ascii="Arial" w:hAnsi="Arial"/>
                <w:color w:val="0070C0"/>
              </w:rPr>
              <w:t>)</w:t>
            </w:r>
            <w:r w:rsidR="00416C98" w:rsidRPr="00416C98">
              <w:rPr>
                <w:rFonts w:ascii="Arial" w:hAnsi="Arial"/>
                <w:color w:val="0070C0"/>
              </w:rPr>
              <w:t xml:space="preserve"> 837 7295</w:t>
            </w:r>
          </w:p>
        </w:tc>
      </w:tr>
      <w:tr w:rsidR="00640E94" w14:paraId="57EF68F5" w14:textId="77777777">
        <w:tc>
          <w:tcPr>
            <w:tcW w:w="4878" w:type="dxa"/>
            <w:tcBorders>
              <w:top w:val="single" w:sz="18" w:space="0" w:color="auto"/>
              <w:bottom w:val="single" w:sz="18" w:space="0" w:color="auto"/>
              <w:right w:val="single" w:sz="18" w:space="0" w:color="auto"/>
            </w:tcBorders>
          </w:tcPr>
          <w:p w14:paraId="6B82DE19" w14:textId="77777777" w:rsidR="00640E94" w:rsidRDefault="00640E94">
            <w:pPr>
              <w:pStyle w:val="BodyText"/>
              <w:spacing w:before="0"/>
              <w:rPr>
                <w:rFonts w:ascii="Arial" w:hAnsi="Arial"/>
              </w:rPr>
            </w:pPr>
            <w:r>
              <w:rPr>
                <w:rFonts w:ascii="Arial" w:hAnsi="Arial"/>
              </w:rPr>
              <w:t>Contact Name</w:t>
            </w:r>
          </w:p>
          <w:p w14:paraId="168F5C72" w14:textId="77777777" w:rsidR="00640E94" w:rsidRDefault="00640E94">
            <w:pPr>
              <w:pStyle w:val="BodyText"/>
              <w:spacing w:before="0"/>
              <w:rPr>
                <w:rFonts w:ascii="Arial" w:hAnsi="Arial"/>
              </w:rPr>
            </w:pPr>
          </w:p>
          <w:p w14:paraId="14DA4288" w14:textId="66BE71AD" w:rsidR="00640E94" w:rsidRPr="00416C98" w:rsidRDefault="004B4450">
            <w:pPr>
              <w:pStyle w:val="BodyText"/>
              <w:spacing w:before="0"/>
              <w:rPr>
                <w:rFonts w:ascii="Arial" w:hAnsi="Arial"/>
                <w:color w:val="0070C0"/>
              </w:rPr>
            </w:pPr>
            <w:r>
              <w:rPr>
                <w:rFonts w:ascii="Arial" w:hAnsi="Arial"/>
                <w:color w:val="0070C0"/>
              </w:rPr>
              <w:t>Keith Stauffer</w:t>
            </w:r>
          </w:p>
        </w:tc>
        <w:tc>
          <w:tcPr>
            <w:tcW w:w="1800" w:type="dxa"/>
            <w:tcBorders>
              <w:top w:val="single" w:sz="18" w:space="0" w:color="auto"/>
              <w:left w:val="single" w:sz="18" w:space="0" w:color="auto"/>
              <w:bottom w:val="single" w:sz="18" w:space="0" w:color="auto"/>
              <w:right w:val="single" w:sz="18" w:space="0" w:color="auto"/>
            </w:tcBorders>
          </w:tcPr>
          <w:p w14:paraId="3E75E62F" w14:textId="77777777" w:rsidR="00640E94" w:rsidRDefault="00640E94">
            <w:pPr>
              <w:pStyle w:val="BodyText"/>
              <w:spacing w:before="0"/>
              <w:rPr>
                <w:rFonts w:ascii="Arial" w:hAnsi="Arial"/>
              </w:rPr>
            </w:pPr>
            <w:r>
              <w:rPr>
                <w:rFonts w:ascii="Arial" w:hAnsi="Arial"/>
              </w:rPr>
              <w:t>Contact Position</w:t>
            </w:r>
          </w:p>
          <w:p w14:paraId="143708F7" w14:textId="488A89D3" w:rsidR="00416C98" w:rsidRDefault="00416C98">
            <w:pPr>
              <w:pStyle w:val="BodyText"/>
              <w:spacing w:before="0"/>
              <w:rPr>
                <w:rFonts w:ascii="Arial" w:hAnsi="Arial"/>
              </w:rPr>
            </w:pPr>
            <w:r w:rsidRPr="00416C98">
              <w:rPr>
                <w:rFonts w:ascii="Arial" w:hAnsi="Arial"/>
                <w:color w:val="0070C0"/>
              </w:rPr>
              <w:t>CFO</w:t>
            </w:r>
          </w:p>
        </w:tc>
        <w:tc>
          <w:tcPr>
            <w:tcW w:w="2898" w:type="dxa"/>
            <w:tcBorders>
              <w:top w:val="single" w:sz="18" w:space="0" w:color="auto"/>
              <w:left w:val="single" w:sz="18" w:space="0" w:color="auto"/>
              <w:bottom w:val="single" w:sz="18" w:space="0" w:color="auto"/>
            </w:tcBorders>
          </w:tcPr>
          <w:p w14:paraId="5B2C9EC0" w14:textId="77777777" w:rsidR="00640E94" w:rsidRDefault="00640E94">
            <w:pPr>
              <w:pStyle w:val="BodyText"/>
              <w:spacing w:before="0"/>
              <w:rPr>
                <w:rFonts w:ascii="Arial" w:hAnsi="Arial"/>
              </w:rPr>
            </w:pPr>
            <w:r>
              <w:rPr>
                <w:rFonts w:ascii="Arial" w:hAnsi="Arial"/>
              </w:rPr>
              <w:t>Contact Telephone No.</w:t>
            </w:r>
          </w:p>
          <w:p w14:paraId="1E5FAFFE" w14:textId="7D41F4B7" w:rsidR="00416C98" w:rsidRDefault="00416C98">
            <w:pPr>
              <w:pStyle w:val="BodyText"/>
              <w:spacing w:before="0"/>
              <w:rPr>
                <w:rFonts w:ascii="Arial" w:hAnsi="Arial"/>
              </w:rPr>
            </w:pPr>
            <w:r w:rsidRPr="00416C98">
              <w:rPr>
                <w:rFonts w:ascii="Arial" w:hAnsi="Arial"/>
                <w:color w:val="0070C0"/>
              </w:rPr>
              <w:t>(855) 837 7295</w:t>
            </w:r>
          </w:p>
        </w:tc>
      </w:tr>
      <w:tr w:rsidR="00640E94" w14:paraId="7935C704" w14:textId="77777777">
        <w:trPr>
          <w:cantSplit/>
        </w:trPr>
        <w:tc>
          <w:tcPr>
            <w:tcW w:w="4878" w:type="dxa"/>
            <w:tcBorders>
              <w:top w:val="single" w:sz="18" w:space="0" w:color="auto"/>
              <w:bottom w:val="single" w:sz="18" w:space="0" w:color="auto"/>
              <w:right w:val="single" w:sz="18" w:space="0" w:color="auto"/>
            </w:tcBorders>
          </w:tcPr>
          <w:p w14:paraId="169A5600" w14:textId="77777777" w:rsidR="00640E94" w:rsidRDefault="00640E94">
            <w:pPr>
              <w:pStyle w:val="BodyText"/>
              <w:spacing w:before="0"/>
              <w:rPr>
                <w:rFonts w:ascii="Arial" w:hAnsi="Arial"/>
              </w:rPr>
            </w:pPr>
            <w:r>
              <w:rPr>
                <w:rFonts w:ascii="Arial" w:hAnsi="Arial"/>
              </w:rPr>
              <w:t>Contact Email Address</w:t>
            </w:r>
          </w:p>
          <w:p w14:paraId="39E1ED0E" w14:textId="1AE617B3" w:rsidR="00640E94" w:rsidRPr="00416C98" w:rsidRDefault="004B4450">
            <w:pPr>
              <w:pStyle w:val="BodyText"/>
              <w:spacing w:before="0"/>
              <w:rPr>
                <w:rFonts w:ascii="Arial" w:hAnsi="Arial"/>
                <w:color w:val="0070C0"/>
              </w:rPr>
            </w:pPr>
            <w:r>
              <w:rPr>
                <w:rFonts w:ascii="Arial" w:hAnsi="Arial"/>
                <w:color w:val="0070C0"/>
              </w:rPr>
              <w:t>kstauffer</w:t>
            </w:r>
            <w:r w:rsidR="00416C98">
              <w:rPr>
                <w:rFonts w:ascii="Arial" w:hAnsi="Arial"/>
                <w:color w:val="0070C0"/>
              </w:rPr>
              <w:t>@terrascend.com</w:t>
            </w:r>
          </w:p>
        </w:tc>
        <w:tc>
          <w:tcPr>
            <w:tcW w:w="4698" w:type="dxa"/>
            <w:gridSpan w:val="2"/>
            <w:tcBorders>
              <w:top w:val="single" w:sz="18" w:space="0" w:color="auto"/>
              <w:left w:val="single" w:sz="18" w:space="0" w:color="auto"/>
              <w:bottom w:val="single" w:sz="18" w:space="0" w:color="auto"/>
            </w:tcBorders>
          </w:tcPr>
          <w:p w14:paraId="2B500EA0" w14:textId="77777777" w:rsidR="00640E94" w:rsidRDefault="00640E94">
            <w:pPr>
              <w:pStyle w:val="BodyText"/>
              <w:spacing w:before="0"/>
              <w:rPr>
                <w:rFonts w:ascii="Arial" w:hAnsi="Arial"/>
              </w:rPr>
            </w:pPr>
            <w:r>
              <w:rPr>
                <w:rFonts w:ascii="Arial" w:hAnsi="Arial"/>
              </w:rPr>
              <w:t>Web Site Address</w:t>
            </w:r>
          </w:p>
          <w:p w14:paraId="394DD01D" w14:textId="508F6758" w:rsidR="00640E94" w:rsidRDefault="00416C98">
            <w:pPr>
              <w:pStyle w:val="BodyText"/>
              <w:spacing w:before="0"/>
              <w:rPr>
                <w:rFonts w:ascii="Arial" w:hAnsi="Arial"/>
              </w:rPr>
            </w:pPr>
            <w:r w:rsidRPr="00416C98">
              <w:rPr>
                <w:rFonts w:ascii="Arial" w:hAnsi="Arial"/>
                <w:color w:val="0070C0"/>
              </w:rPr>
              <w:t>www.terrascend.com</w:t>
            </w:r>
          </w:p>
        </w:tc>
      </w:tr>
    </w:tbl>
    <w:p w14:paraId="1F20E688"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A0F9" w14:textId="77777777" w:rsidR="00DF3849" w:rsidRDefault="00DF3849">
      <w:r>
        <w:separator/>
      </w:r>
    </w:p>
  </w:endnote>
  <w:endnote w:type="continuationSeparator" w:id="0">
    <w:p w14:paraId="1DB576B2" w14:textId="77777777" w:rsidR="00DF3849" w:rsidRDefault="00DF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1FB2" w14:textId="77777777" w:rsidR="00640E94" w:rsidRDefault="00640E94">
    <w:pPr>
      <w:pStyle w:val="Footer"/>
      <w:tabs>
        <w:tab w:val="clear" w:pos="4320"/>
        <w:tab w:val="clear" w:pos="8640"/>
        <w:tab w:val="center" w:pos="4680"/>
        <w:tab w:val="right" w:pos="9360"/>
      </w:tabs>
      <w:rPr>
        <w:b/>
      </w:rPr>
    </w:pPr>
  </w:p>
  <w:p w14:paraId="6766D650"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C9AC6DC" wp14:editId="18CBC01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DA9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F38B591"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D9A7B3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F455" w14:textId="77777777" w:rsidR="00640E94" w:rsidRDefault="00640E94">
    <w:pPr>
      <w:pStyle w:val="Footer"/>
      <w:tabs>
        <w:tab w:val="clear" w:pos="4320"/>
        <w:tab w:val="clear" w:pos="8640"/>
        <w:tab w:val="center" w:pos="4680"/>
        <w:tab w:val="right" w:pos="9360"/>
      </w:tabs>
      <w:rPr>
        <w:b/>
      </w:rPr>
    </w:pPr>
  </w:p>
  <w:p w14:paraId="104D50D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B93ECFE" wp14:editId="54F7BB8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D846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122705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3D8517"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93A33" w14:textId="77777777" w:rsidR="00DF3849" w:rsidRDefault="00DF3849">
      <w:r>
        <w:separator/>
      </w:r>
    </w:p>
  </w:footnote>
  <w:footnote w:type="continuationSeparator" w:id="0">
    <w:p w14:paraId="4F0272CB" w14:textId="77777777" w:rsidR="00DF3849" w:rsidRDefault="00DF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865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88DD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30E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C472D1B"/>
    <w:multiLevelType w:val="multilevel"/>
    <w:tmpl w:val="1BC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0E0C44"/>
    <w:multiLevelType w:val="hybridMultilevel"/>
    <w:tmpl w:val="984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2444241"/>
    <w:multiLevelType w:val="hybridMultilevel"/>
    <w:tmpl w:val="EAEC0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5473CC6"/>
    <w:multiLevelType w:val="multilevel"/>
    <w:tmpl w:val="55F0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96078"/>
    <w:multiLevelType w:val="hybridMultilevel"/>
    <w:tmpl w:val="30F21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E764A6"/>
    <w:multiLevelType w:val="hybridMultilevel"/>
    <w:tmpl w:val="13D8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C03737B"/>
    <w:multiLevelType w:val="hybridMultilevel"/>
    <w:tmpl w:val="1FE63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4FF51F54"/>
    <w:multiLevelType w:val="hybridMultilevel"/>
    <w:tmpl w:val="143ED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42272DC"/>
    <w:multiLevelType w:val="hybridMultilevel"/>
    <w:tmpl w:val="6164C87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6"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7"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8" w15:restartNumberingAfterBreak="0">
    <w:nsid w:val="59A96D05"/>
    <w:multiLevelType w:val="hybridMultilevel"/>
    <w:tmpl w:val="2AD0C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1" w15:restartNumberingAfterBreak="0">
    <w:nsid w:val="5C2542F7"/>
    <w:multiLevelType w:val="multilevel"/>
    <w:tmpl w:val="A108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65F253C2"/>
    <w:multiLevelType w:val="multilevel"/>
    <w:tmpl w:val="09A8A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820F00"/>
    <w:multiLevelType w:val="hybridMultilevel"/>
    <w:tmpl w:val="511E6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7" w15:restartNumberingAfterBreak="0">
    <w:nsid w:val="73D32970"/>
    <w:multiLevelType w:val="hybridMultilevel"/>
    <w:tmpl w:val="6A5C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9" w15:restartNumberingAfterBreak="0">
    <w:nsid w:val="7AC24777"/>
    <w:multiLevelType w:val="hybridMultilevel"/>
    <w:tmpl w:val="A468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15575"/>
    <w:multiLevelType w:val="hybridMultilevel"/>
    <w:tmpl w:val="42D2C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2" w15:restartNumberingAfterBreak="0">
    <w:nsid w:val="7D3F2D9C"/>
    <w:multiLevelType w:val="hybridMultilevel"/>
    <w:tmpl w:val="D92C2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30"/>
  </w:num>
  <w:num w:numId="3">
    <w:abstractNumId w:val="22"/>
  </w:num>
  <w:num w:numId="4">
    <w:abstractNumId w:val="18"/>
  </w:num>
  <w:num w:numId="5">
    <w:abstractNumId w:val="4"/>
  </w:num>
  <w:num w:numId="6">
    <w:abstractNumId w:val="33"/>
  </w:num>
  <w:num w:numId="7">
    <w:abstractNumId w:val="14"/>
  </w:num>
  <w:num w:numId="8">
    <w:abstractNumId w:val="38"/>
  </w:num>
  <w:num w:numId="9">
    <w:abstractNumId w:val="29"/>
  </w:num>
  <w:num w:numId="10">
    <w:abstractNumId w:val="16"/>
  </w:num>
  <w:num w:numId="11">
    <w:abstractNumId w:val="19"/>
  </w:num>
  <w:num w:numId="12">
    <w:abstractNumId w:val="21"/>
  </w:num>
  <w:num w:numId="13">
    <w:abstractNumId w:val="43"/>
  </w:num>
  <w:num w:numId="14">
    <w:abstractNumId w:val="9"/>
  </w:num>
  <w:num w:numId="15">
    <w:abstractNumId w:val="15"/>
  </w:num>
  <w:num w:numId="16">
    <w:abstractNumId w:val="17"/>
  </w:num>
  <w:num w:numId="17">
    <w:abstractNumId w:val="26"/>
  </w:num>
  <w:num w:numId="18">
    <w:abstractNumId w:val="3"/>
  </w:num>
  <w:num w:numId="19">
    <w:abstractNumId w:val="10"/>
  </w:num>
  <w:num w:numId="20">
    <w:abstractNumId w:val="36"/>
  </w:num>
  <w:num w:numId="21">
    <w:abstractNumId w:val="1"/>
  </w:num>
  <w:num w:numId="22">
    <w:abstractNumId w:val="0"/>
  </w:num>
  <w:num w:numId="23">
    <w:abstractNumId w:val="32"/>
  </w:num>
  <w:num w:numId="24">
    <w:abstractNumId w:val="27"/>
  </w:num>
  <w:num w:numId="25">
    <w:abstractNumId w:val="5"/>
  </w:num>
  <w:num w:numId="26">
    <w:abstractNumId w:val="41"/>
  </w:num>
  <w:num w:numId="27">
    <w:abstractNumId w:val="44"/>
  </w:num>
  <w:num w:numId="28">
    <w:abstractNumId w:val="7"/>
  </w:num>
  <w:num w:numId="29">
    <w:abstractNumId w:val="39"/>
  </w:num>
  <w:num w:numId="30">
    <w:abstractNumId w:val="6"/>
  </w:num>
  <w:num w:numId="31">
    <w:abstractNumId w:val="2"/>
  </w:num>
  <w:num w:numId="32">
    <w:abstractNumId w:val="8"/>
  </w:num>
  <w:num w:numId="33">
    <w:abstractNumId w:val="20"/>
  </w:num>
  <w:num w:numId="34">
    <w:abstractNumId w:val="13"/>
  </w:num>
  <w:num w:numId="35">
    <w:abstractNumId w:val="25"/>
  </w:num>
  <w:num w:numId="36">
    <w:abstractNumId w:val="31"/>
  </w:num>
  <w:num w:numId="37">
    <w:abstractNumId w:val="11"/>
  </w:num>
  <w:num w:numId="38">
    <w:abstractNumId w:val="37"/>
  </w:num>
  <w:num w:numId="39">
    <w:abstractNumId w:val="28"/>
  </w:num>
  <w:num w:numId="40">
    <w:abstractNumId w:val="35"/>
  </w:num>
  <w:num w:numId="41">
    <w:abstractNumId w:val="23"/>
  </w:num>
  <w:num w:numId="42">
    <w:abstractNumId w:val="12"/>
  </w:num>
  <w:num w:numId="43">
    <w:abstractNumId w:val="34"/>
  </w:num>
  <w:num w:numId="44">
    <w:abstractNumId w:val="4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96C"/>
    <w:rsid w:val="000155BF"/>
    <w:rsid w:val="00016873"/>
    <w:rsid w:val="000305ED"/>
    <w:rsid w:val="0004654B"/>
    <w:rsid w:val="00050C58"/>
    <w:rsid w:val="00051241"/>
    <w:rsid w:val="00052EB0"/>
    <w:rsid w:val="00053E73"/>
    <w:rsid w:val="00055D31"/>
    <w:rsid w:val="00057BF2"/>
    <w:rsid w:val="00066D7F"/>
    <w:rsid w:val="000749B0"/>
    <w:rsid w:val="0008045A"/>
    <w:rsid w:val="00081C78"/>
    <w:rsid w:val="0008345D"/>
    <w:rsid w:val="00090B89"/>
    <w:rsid w:val="00091F1F"/>
    <w:rsid w:val="000A1AB1"/>
    <w:rsid w:val="000B349C"/>
    <w:rsid w:val="000B35AC"/>
    <w:rsid w:val="000C15ED"/>
    <w:rsid w:val="000C2981"/>
    <w:rsid w:val="000C32EF"/>
    <w:rsid w:val="000C35C1"/>
    <w:rsid w:val="000D41A0"/>
    <w:rsid w:val="000E1F51"/>
    <w:rsid w:val="000E2785"/>
    <w:rsid w:val="000E3430"/>
    <w:rsid w:val="000F4F6A"/>
    <w:rsid w:val="0011144B"/>
    <w:rsid w:val="001119EA"/>
    <w:rsid w:val="001123DE"/>
    <w:rsid w:val="00112A29"/>
    <w:rsid w:val="00125F6E"/>
    <w:rsid w:val="00130F8A"/>
    <w:rsid w:val="001373C7"/>
    <w:rsid w:val="0014089D"/>
    <w:rsid w:val="001431E5"/>
    <w:rsid w:val="001441FC"/>
    <w:rsid w:val="00144E4D"/>
    <w:rsid w:val="00147910"/>
    <w:rsid w:val="0015021D"/>
    <w:rsid w:val="0016363E"/>
    <w:rsid w:val="00173BC2"/>
    <w:rsid w:val="00181B6E"/>
    <w:rsid w:val="001826A1"/>
    <w:rsid w:val="00192683"/>
    <w:rsid w:val="00193B15"/>
    <w:rsid w:val="00195DCE"/>
    <w:rsid w:val="001A0C03"/>
    <w:rsid w:val="001A0FB6"/>
    <w:rsid w:val="001A2305"/>
    <w:rsid w:val="001A310C"/>
    <w:rsid w:val="001A4585"/>
    <w:rsid w:val="001B4CBF"/>
    <w:rsid w:val="001C40AD"/>
    <w:rsid w:val="001D00D6"/>
    <w:rsid w:val="001D18D9"/>
    <w:rsid w:val="001D33DC"/>
    <w:rsid w:val="001D6AB8"/>
    <w:rsid w:val="001D6B7C"/>
    <w:rsid w:val="001D6B93"/>
    <w:rsid w:val="001E0CED"/>
    <w:rsid w:val="001F011B"/>
    <w:rsid w:val="001F7740"/>
    <w:rsid w:val="001F7EEA"/>
    <w:rsid w:val="00201481"/>
    <w:rsid w:val="002074EA"/>
    <w:rsid w:val="00215B88"/>
    <w:rsid w:val="00217D1B"/>
    <w:rsid w:val="00224AD9"/>
    <w:rsid w:val="00225205"/>
    <w:rsid w:val="002263A2"/>
    <w:rsid w:val="00231E64"/>
    <w:rsid w:val="00241043"/>
    <w:rsid w:val="00245E26"/>
    <w:rsid w:val="00252C6D"/>
    <w:rsid w:val="0025574B"/>
    <w:rsid w:val="00271BEE"/>
    <w:rsid w:val="00272337"/>
    <w:rsid w:val="0027326A"/>
    <w:rsid w:val="00274A86"/>
    <w:rsid w:val="002759F7"/>
    <w:rsid w:val="002905A7"/>
    <w:rsid w:val="002921C4"/>
    <w:rsid w:val="00294117"/>
    <w:rsid w:val="00296FB7"/>
    <w:rsid w:val="002C281E"/>
    <w:rsid w:val="002C4AC9"/>
    <w:rsid w:val="002C5C64"/>
    <w:rsid w:val="002C7382"/>
    <w:rsid w:val="002C766C"/>
    <w:rsid w:val="002C79E0"/>
    <w:rsid w:val="002D1CC3"/>
    <w:rsid w:val="002D6519"/>
    <w:rsid w:val="002E4B21"/>
    <w:rsid w:val="002E7D7C"/>
    <w:rsid w:val="002F00EB"/>
    <w:rsid w:val="002F78EA"/>
    <w:rsid w:val="00302A32"/>
    <w:rsid w:val="00306219"/>
    <w:rsid w:val="003125A0"/>
    <w:rsid w:val="0031638A"/>
    <w:rsid w:val="00323858"/>
    <w:rsid w:val="0032550F"/>
    <w:rsid w:val="00330451"/>
    <w:rsid w:val="00332786"/>
    <w:rsid w:val="00333DFD"/>
    <w:rsid w:val="00355DA0"/>
    <w:rsid w:val="00365C35"/>
    <w:rsid w:val="00366643"/>
    <w:rsid w:val="00366723"/>
    <w:rsid w:val="003669A9"/>
    <w:rsid w:val="00371A64"/>
    <w:rsid w:val="00371B97"/>
    <w:rsid w:val="00374B90"/>
    <w:rsid w:val="00376970"/>
    <w:rsid w:val="0038211A"/>
    <w:rsid w:val="00383D79"/>
    <w:rsid w:val="003861BE"/>
    <w:rsid w:val="00387FA8"/>
    <w:rsid w:val="00393F29"/>
    <w:rsid w:val="00395B6E"/>
    <w:rsid w:val="003B5564"/>
    <w:rsid w:val="003C7697"/>
    <w:rsid w:val="003D4B01"/>
    <w:rsid w:val="003D4EBF"/>
    <w:rsid w:val="003D59D9"/>
    <w:rsid w:val="003D7E2E"/>
    <w:rsid w:val="003E2BCD"/>
    <w:rsid w:val="003E7B85"/>
    <w:rsid w:val="003F521C"/>
    <w:rsid w:val="003F558E"/>
    <w:rsid w:val="00405FDB"/>
    <w:rsid w:val="00406B67"/>
    <w:rsid w:val="00407F25"/>
    <w:rsid w:val="00411170"/>
    <w:rsid w:val="00414665"/>
    <w:rsid w:val="00415245"/>
    <w:rsid w:val="00416017"/>
    <w:rsid w:val="00416C98"/>
    <w:rsid w:val="0042644F"/>
    <w:rsid w:val="004303D1"/>
    <w:rsid w:val="00430823"/>
    <w:rsid w:val="00431F1A"/>
    <w:rsid w:val="00433878"/>
    <w:rsid w:val="00434D83"/>
    <w:rsid w:val="00437C28"/>
    <w:rsid w:val="004449ED"/>
    <w:rsid w:val="0045007A"/>
    <w:rsid w:val="004624ED"/>
    <w:rsid w:val="00464486"/>
    <w:rsid w:val="00471CB8"/>
    <w:rsid w:val="00474D64"/>
    <w:rsid w:val="004944A6"/>
    <w:rsid w:val="004963CB"/>
    <w:rsid w:val="004A317D"/>
    <w:rsid w:val="004A539A"/>
    <w:rsid w:val="004B4450"/>
    <w:rsid w:val="004B64B7"/>
    <w:rsid w:val="004B6D71"/>
    <w:rsid w:val="004C1E4B"/>
    <w:rsid w:val="004C3CA6"/>
    <w:rsid w:val="004D3F41"/>
    <w:rsid w:val="004D448D"/>
    <w:rsid w:val="00500726"/>
    <w:rsid w:val="005024F1"/>
    <w:rsid w:val="00504CA5"/>
    <w:rsid w:val="00514728"/>
    <w:rsid w:val="00516B95"/>
    <w:rsid w:val="0052662F"/>
    <w:rsid w:val="00532A07"/>
    <w:rsid w:val="00535AF6"/>
    <w:rsid w:val="00537EC9"/>
    <w:rsid w:val="005453C8"/>
    <w:rsid w:val="005461C6"/>
    <w:rsid w:val="005527C4"/>
    <w:rsid w:val="00555890"/>
    <w:rsid w:val="0056170A"/>
    <w:rsid w:val="0057742F"/>
    <w:rsid w:val="005819CE"/>
    <w:rsid w:val="00581A89"/>
    <w:rsid w:val="00585190"/>
    <w:rsid w:val="00586C82"/>
    <w:rsid w:val="005877FB"/>
    <w:rsid w:val="00590A28"/>
    <w:rsid w:val="00594274"/>
    <w:rsid w:val="005A264F"/>
    <w:rsid w:val="005A70E5"/>
    <w:rsid w:val="005B30F0"/>
    <w:rsid w:val="005C3FF3"/>
    <w:rsid w:val="005D59DB"/>
    <w:rsid w:val="005D695D"/>
    <w:rsid w:val="005E44EA"/>
    <w:rsid w:val="005E6A9A"/>
    <w:rsid w:val="005F02E8"/>
    <w:rsid w:val="005F1238"/>
    <w:rsid w:val="005F36FD"/>
    <w:rsid w:val="005F6D8F"/>
    <w:rsid w:val="005F7E57"/>
    <w:rsid w:val="00612B11"/>
    <w:rsid w:val="00620E7F"/>
    <w:rsid w:val="00630D5C"/>
    <w:rsid w:val="00633ED3"/>
    <w:rsid w:val="00635E9A"/>
    <w:rsid w:val="00640E94"/>
    <w:rsid w:val="00650CA3"/>
    <w:rsid w:val="00650DD5"/>
    <w:rsid w:val="00651DA9"/>
    <w:rsid w:val="00652352"/>
    <w:rsid w:val="00655DF4"/>
    <w:rsid w:val="00666382"/>
    <w:rsid w:val="00667CE5"/>
    <w:rsid w:val="00673DA7"/>
    <w:rsid w:val="0067569B"/>
    <w:rsid w:val="0067579E"/>
    <w:rsid w:val="0068778E"/>
    <w:rsid w:val="00691A94"/>
    <w:rsid w:val="006928AD"/>
    <w:rsid w:val="006A08DD"/>
    <w:rsid w:val="006A4F26"/>
    <w:rsid w:val="006A5F3C"/>
    <w:rsid w:val="006B137B"/>
    <w:rsid w:val="006B6CCE"/>
    <w:rsid w:val="006C1E3F"/>
    <w:rsid w:val="006C64BA"/>
    <w:rsid w:val="006D1659"/>
    <w:rsid w:val="006D1A06"/>
    <w:rsid w:val="006D2454"/>
    <w:rsid w:val="006E3A85"/>
    <w:rsid w:val="006F41E7"/>
    <w:rsid w:val="006F76E3"/>
    <w:rsid w:val="00704FBD"/>
    <w:rsid w:val="00705277"/>
    <w:rsid w:val="007110A6"/>
    <w:rsid w:val="00711F5B"/>
    <w:rsid w:val="00716EA5"/>
    <w:rsid w:val="00717910"/>
    <w:rsid w:val="00724E4C"/>
    <w:rsid w:val="00731B24"/>
    <w:rsid w:val="00734BE3"/>
    <w:rsid w:val="00744C40"/>
    <w:rsid w:val="00746D51"/>
    <w:rsid w:val="007501AD"/>
    <w:rsid w:val="00752DB2"/>
    <w:rsid w:val="00753785"/>
    <w:rsid w:val="0075461D"/>
    <w:rsid w:val="00756EDA"/>
    <w:rsid w:val="007605B3"/>
    <w:rsid w:val="00765CD5"/>
    <w:rsid w:val="007717FD"/>
    <w:rsid w:val="00772797"/>
    <w:rsid w:val="00777B41"/>
    <w:rsid w:val="007805C6"/>
    <w:rsid w:val="00784A8D"/>
    <w:rsid w:val="0079716D"/>
    <w:rsid w:val="007A44AC"/>
    <w:rsid w:val="007A60D9"/>
    <w:rsid w:val="007B1FD3"/>
    <w:rsid w:val="007B3CE2"/>
    <w:rsid w:val="007B4D2D"/>
    <w:rsid w:val="007B6F47"/>
    <w:rsid w:val="007C44DC"/>
    <w:rsid w:val="007C49B1"/>
    <w:rsid w:val="007D2F1E"/>
    <w:rsid w:val="007E5D1F"/>
    <w:rsid w:val="007E6C9F"/>
    <w:rsid w:val="007E70F5"/>
    <w:rsid w:val="007F4C8A"/>
    <w:rsid w:val="007F7B71"/>
    <w:rsid w:val="00803F08"/>
    <w:rsid w:val="0080507D"/>
    <w:rsid w:val="00805C09"/>
    <w:rsid w:val="00807A6F"/>
    <w:rsid w:val="00812079"/>
    <w:rsid w:val="00814477"/>
    <w:rsid w:val="00817500"/>
    <w:rsid w:val="0082083D"/>
    <w:rsid w:val="008233BF"/>
    <w:rsid w:val="0083533E"/>
    <w:rsid w:val="00836519"/>
    <w:rsid w:val="00843168"/>
    <w:rsid w:val="00855C5A"/>
    <w:rsid w:val="00863F3A"/>
    <w:rsid w:val="008730F7"/>
    <w:rsid w:val="008735B5"/>
    <w:rsid w:val="00880071"/>
    <w:rsid w:val="00881147"/>
    <w:rsid w:val="00887BD0"/>
    <w:rsid w:val="008B1FF0"/>
    <w:rsid w:val="008B698D"/>
    <w:rsid w:val="008B7E92"/>
    <w:rsid w:val="008D2DD4"/>
    <w:rsid w:val="008D7FF0"/>
    <w:rsid w:val="008E07D1"/>
    <w:rsid w:val="008E74EF"/>
    <w:rsid w:val="008F09EE"/>
    <w:rsid w:val="008F74FA"/>
    <w:rsid w:val="00904540"/>
    <w:rsid w:val="009048C0"/>
    <w:rsid w:val="0090651B"/>
    <w:rsid w:val="00907236"/>
    <w:rsid w:val="00922A46"/>
    <w:rsid w:val="00924E7C"/>
    <w:rsid w:val="0092707E"/>
    <w:rsid w:val="00942C79"/>
    <w:rsid w:val="00944382"/>
    <w:rsid w:val="009522DB"/>
    <w:rsid w:val="00953A97"/>
    <w:rsid w:val="0096105C"/>
    <w:rsid w:val="0096116D"/>
    <w:rsid w:val="0096151E"/>
    <w:rsid w:val="00961546"/>
    <w:rsid w:val="0097603F"/>
    <w:rsid w:val="009764BC"/>
    <w:rsid w:val="009800B3"/>
    <w:rsid w:val="009823B1"/>
    <w:rsid w:val="0098669F"/>
    <w:rsid w:val="00995BFD"/>
    <w:rsid w:val="0099704A"/>
    <w:rsid w:val="009A0EFD"/>
    <w:rsid w:val="009A1D1E"/>
    <w:rsid w:val="009A4D72"/>
    <w:rsid w:val="009B26C9"/>
    <w:rsid w:val="009B3C54"/>
    <w:rsid w:val="009B4FBC"/>
    <w:rsid w:val="009B6E2C"/>
    <w:rsid w:val="009C3DAD"/>
    <w:rsid w:val="009C70A7"/>
    <w:rsid w:val="009D6A43"/>
    <w:rsid w:val="009E1822"/>
    <w:rsid w:val="009E5815"/>
    <w:rsid w:val="009E67A5"/>
    <w:rsid w:val="009E7820"/>
    <w:rsid w:val="009F29D3"/>
    <w:rsid w:val="009F41AA"/>
    <w:rsid w:val="009F6888"/>
    <w:rsid w:val="00A048FD"/>
    <w:rsid w:val="00A0506F"/>
    <w:rsid w:val="00A1541D"/>
    <w:rsid w:val="00A1662C"/>
    <w:rsid w:val="00A227EB"/>
    <w:rsid w:val="00A269F4"/>
    <w:rsid w:val="00A35FB9"/>
    <w:rsid w:val="00A40F4E"/>
    <w:rsid w:val="00A4258D"/>
    <w:rsid w:val="00A47914"/>
    <w:rsid w:val="00A54642"/>
    <w:rsid w:val="00A56C41"/>
    <w:rsid w:val="00A701FD"/>
    <w:rsid w:val="00A71A7F"/>
    <w:rsid w:val="00A8575D"/>
    <w:rsid w:val="00A87222"/>
    <w:rsid w:val="00A9448D"/>
    <w:rsid w:val="00AA35E9"/>
    <w:rsid w:val="00AA6426"/>
    <w:rsid w:val="00AB2E8E"/>
    <w:rsid w:val="00AB4D43"/>
    <w:rsid w:val="00AB59C3"/>
    <w:rsid w:val="00AC2542"/>
    <w:rsid w:val="00AC5551"/>
    <w:rsid w:val="00AD4CFC"/>
    <w:rsid w:val="00AE080B"/>
    <w:rsid w:val="00AE64B4"/>
    <w:rsid w:val="00AF2295"/>
    <w:rsid w:val="00AF302C"/>
    <w:rsid w:val="00B00220"/>
    <w:rsid w:val="00B02918"/>
    <w:rsid w:val="00B102A9"/>
    <w:rsid w:val="00B24B86"/>
    <w:rsid w:val="00B255A7"/>
    <w:rsid w:val="00B30B0C"/>
    <w:rsid w:val="00B60F5A"/>
    <w:rsid w:val="00B61B4E"/>
    <w:rsid w:val="00B62370"/>
    <w:rsid w:val="00B677BC"/>
    <w:rsid w:val="00B741F4"/>
    <w:rsid w:val="00B751BC"/>
    <w:rsid w:val="00B76464"/>
    <w:rsid w:val="00B77115"/>
    <w:rsid w:val="00B80797"/>
    <w:rsid w:val="00B80C76"/>
    <w:rsid w:val="00B81EA0"/>
    <w:rsid w:val="00B821B8"/>
    <w:rsid w:val="00B842EB"/>
    <w:rsid w:val="00B97A20"/>
    <w:rsid w:val="00BA1011"/>
    <w:rsid w:val="00BA38DD"/>
    <w:rsid w:val="00BB2BD3"/>
    <w:rsid w:val="00BB3D4A"/>
    <w:rsid w:val="00BB4DB7"/>
    <w:rsid w:val="00BC2B65"/>
    <w:rsid w:val="00BC4C98"/>
    <w:rsid w:val="00BD23BB"/>
    <w:rsid w:val="00BD25F2"/>
    <w:rsid w:val="00BD6DA8"/>
    <w:rsid w:val="00BE527E"/>
    <w:rsid w:val="00C00EC4"/>
    <w:rsid w:val="00C04C94"/>
    <w:rsid w:val="00C053BA"/>
    <w:rsid w:val="00C06E17"/>
    <w:rsid w:val="00C277F1"/>
    <w:rsid w:val="00C27A18"/>
    <w:rsid w:val="00C347B2"/>
    <w:rsid w:val="00C402AA"/>
    <w:rsid w:val="00C42257"/>
    <w:rsid w:val="00C450BE"/>
    <w:rsid w:val="00C46C7C"/>
    <w:rsid w:val="00C5538C"/>
    <w:rsid w:val="00C627AE"/>
    <w:rsid w:val="00C6383E"/>
    <w:rsid w:val="00C658C6"/>
    <w:rsid w:val="00C72352"/>
    <w:rsid w:val="00C804E8"/>
    <w:rsid w:val="00C80EB0"/>
    <w:rsid w:val="00C81CAF"/>
    <w:rsid w:val="00C827F3"/>
    <w:rsid w:val="00C83EE3"/>
    <w:rsid w:val="00C8478E"/>
    <w:rsid w:val="00C878C1"/>
    <w:rsid w:val="00C91882"/>
    <w:rsid w:val="00C95C8B"/>
    <w:rsid w:val="00CA101E"/>
    <w:rsid w:val="00CA29F0"/>
    <w:rsid w:val="00CA74C1"/>
    <w:rsid w:val="00CA789F"/>
    <w:rsid w:val="00CB4B38"/>
    <w:rsid w:val="00CB638A"/>
    <w:rsid w:val="00CB67D7"/>
    <w:rsid w:val="00CC4B11"/>
    <w:rsid w:val="00CD5A5C"/>
    <w:rsid w:val="00CD5F22"/>
    <w:rsid w:val="00CF07A3"/>
    <w:rsid w:val="00CF7558"/>
    <w:rsid w:val="00D05929"/>
    <w:rsid w:val="00D064DF"/>
    <w:rsid w:val="00D12217"/>
    <w:rsid w:val="00D2027F"/>
    <w:rsid w:val="00D21751"/>
    <w:rsid w:val="00D22CCC"/>
    <w:rsid w:val="00D270CA"/>
    <w:rsid w:val="00D32043"/>
    <w:rsid w:val="00D362EF"/>
    <w:rsid w:val="00D50C94"/>
    <w:rsid w:val="00D5237A"/>
    <w:rsid w:val="00D628EF"/>
    <w:rsid w:val="00D653E6"/>
    <w:rsid w:val="00D72265"/>
    <w:rsid w:val="00D72E69"/>
    <w:rsid w:val="00D767FD"/>
    <w:rsid w:val="00D94C55"/>
    <w:rsid w:val="00D9698F"/>
    <w:rsid w:val="00DA4179"/>
    <w:rsid w:val="00DA500C"/>
    <w:rsid w:val="00DA61FC"/>
    <w:rsid w:val="00DA7FA7"/>
    <w:rsid w:val="00DB0A97"/>
    <w:rsid w:val="00DB225B"/>
    <w:rsid w:val="00DB4FDB"/>
    <w:rsid w:val="00DB5AE7"/>
    <w:rsid w:val="00DC39DB"/>
    <w:rsid w:val="00DD0CEA"/>
    <w:rsid w:val="00DD3A3F"/>
    <w:rsid w:val="00DE6A43"/>
    <w:rsid w:val="00DF3849"/>
    <w:rsid w:val="00DF4F41"/>
    <w:rsid w:val="00DF5D3F"/>
    <w:rsid w:val="00E00B59"/>
    <w:rsid w:val="00E031E7"/>
    <w:rsid w:val="00E040EC"/>
    <w:rsid w:val="00E07168"/>
    <w:rsid w:val="00E10841"/>
    <w:rsid w:val="00E34BF6"/>
    <w:rsid w:val="00E34DB0"/>
    <w:rsid w:val="00E36141"/>
    <w:rsid w:val="00E36976"/>
    <w:rsid w:val="00E37CF9"/>
    <w:rsid w:val="00E37F99"/>
    <w:rsid w:val="00E406DA"/>
    <w:rsid w:val="00E45466"/>
    <w:rsid w:val="00E523D9"/>
    <w:rsid w:val="00E52632"/>
    <w:rsid w:val="00E542AA"/>
    <w:rsid w:val="00E5487C"/>
    <w:rsid w:val="00E73A2D"/>
    <w:rsid w:val="00E83E58"/>
    <w:rsid w:val="00E83F99"/>
    <w:rsid w:val="00E940EA"/>
    <w:rsid w:val="00EA79FD"/>
    <w:rsid w:val="00EB6DA1"/>
    <w:rsid w:val="00ED29B7"/>
    <w:rsid w:val="00EE03FB"/>
    <w:rsid w:val="00EE38B3"/>
    <w:rsid w:val="00EE759A"/>
    <w:rsid w:val="00EF6B8C"/>
    <w:rsid w:val="00F02FE3"/>
    <w:rsid w:val="00F165FE"/>
    <w:rsid w:val="00F30F7B"/>
    <w:rsid w:val="00F476B3"/>
    <w:rsid w:val="00F532CF"/>
    <w:rsid w:val="00F6014E"/>
    <w:rsid w:val="00F618CF"/>
    <w:rsid w:val="00F61CED"/>
    <w:rsid w:val="00F738A2"/>
    <w:rsid w:val="00F8637D"/>
    <w:rsid w:val="00FA428F"/>
    <w:rsid w:val="00FB0BCC"/>
    <w:rsid w:val="00FB2335"/>
    <w:rsid w:val="00FB50D4"/>
    <w:rsid w:val="00FD14EB"/>
    <w:rsid w:val="00FD4107"/>
    <w:rsid w:val="00FD4BB9"/>
    <w:rsid w:val="00FE2C66"/>
    <w:rsid w:val="00FE7DAA"/>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536AF60"/>
  <w15:docId w15:val="{CCE4BCEC-9A45-4370-B2E7-BF53AC38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A539A"/>
    <w:pPr>
      <w:ind w:left="720"/>
      <w:contextualSpacing/>
    </w:pPr>
  </w:style>
  <w:style w:type="character" w:styleId="CommentReference">
    <w:name w:val="annotation reference"/>
    <w:basedOn w:val="DefaultParagraphFont"/>
    <w:uiPriority w:val="99"/>
    <w:semiHidden/>
    <w:unhideWhenUsed/>
    <w:rsid w:val="00D94C55"/>
    <w:rPr>
      <w:sz w:val="16"/>
      <w:szCs w:val="16"/>
    </w:rPr>
  </w:style>
  <w:style w:type="paragraph" w:styleId="CommentText">
    <w:name w:val="annotation text"/>
    <w:basedOn w:val="Normal"/>
    <w:link w:val="CommentTextChar"/>
    <w:uiPriority w:val="99"/>
    <w:semiHidden/>
    <w:unhideWhenUsed/>
    <w:rsid w:val="00D94C55"/>
  </w:style>
  <w:style w:type="character" w:customStyle="1" w:styleId="CommentTextChar">
    <w:name w:val="Comment Text Char"/>
    <w:basedOn w:val="DefaultParagraphFont"/>
    <w:link w:val="CommentText"/>
    <w:uiPriority w:val="99"/>
    <w:semiHidden/>
    <w:rsid w:val="00D94C55"/>
  </w:style>
  <w:style w:type="paragraph" w:styleId="CommentSubject">
    <w:name w:val="annotation subject"/>
    <w:basedOn w:val="CommentText"/>
    <w:next w:val="CommentText"/>
    <w:link w:val="CommentSubjectChar"/>
    <w:uiPriority w:val="99"/>
    <w:semiHidden/>
    <w:unhideWhenUsed/>
    <w:rsid w:val="00D94C55"/>
    <w:rPr>
      <w:b/>
      <w:bCs/>
    </w:rPr>
  </w:style>
  <w:style w:type="character" w:customStyle="1" w:styleId="CommentSubjectChar">
    <w:name w:val="Comment Subject Char"/>
    <w:basedOn w:val="CommentTextChar"/>
    <w:link w:val="CommentSubject"/>
    <w:uiPriority w:val="99"/>
    <w:semiHidden/>
    <w:rsid w:val="00D94C55"/>
    <w:rPr>
      <w:b/>
      <w:bCs/>
    </w:rPr>
  </w:style>
  <w:style w:type="paragraph" w:styleId="Revision">
    <w:name w:val="Revision"/>
    <w:hidden/>
    <w:uiPriority w:val="99"/>
    <w:semiHidden/>
    <w:rsid w:val="00D94C55"/>
  </w:style>
  <w:style w:type="paragraph" w:styleId="NormalWeb">
    <w:name w:val="Normal (Web)"/>
    <w:basedOn w:val="Normal"/>
    <w:uiPriority w:val="99"/>
    <w:semiHidden/>
    <w:unhideWhenUsed/>
    <w:rsid w:val="00DC39DB"/>
    <w:rPr>
      <w:sz w:val="24"/>
      <w:szCs w:val="24"/>
    </w:rPr>
  </w:style>
  <w:style w:type="character" w:styleId="Hyperlink">
    <w:name w:val="Hyperlink"/>
    <w:basedOn w:val="DefaultParagraphFont"/>
    <w:uiPriority w:val="99"/>
    <w:unhideWhenUsed/>
    <w:rsid w:val="00746D51"/>
    <w:rPr>
      <w:color w:val="0000FF" w:themeColor="hyperlink"/>
      <w:u w:val="single"/>
    </w:rPr>
  </w:style>
  <w:style w:type="character" w:styleId="UnresolvedMention">
    <w:name w:val="Unresolved Mention"/>
    <w:basedOn w:val="DefaultParagraphFont"/>
    <w:uiPriority w:val="99"/>
    <w:semiHidden/>
    <w:unhideWhenUsed/>
    <w:rsid w:val="00746D51"/>
    <w:rPr>
      <w:color w:val="605E5C"/>
      <w:shd w:val="clear" w:color="auto" w:fill="E1DFDD"/>
    </w:rPr>
  </w:style>
  <w:style w:type="character" w:styleId="Strong">
    <w:name w:val="Strong"/>
    <w:basedOn w:val="DefaultParagraphFont"/>
    <w:uiPriority w:val="22"/>
    <w:qFormat/>
    <w:rsid w:val="00724E4C"/>
    <w:rPr>
      <w:b/>
      <w:bCs/>
    </w:rPr>
  </w:style>
  <w:style w:type="character" w:customStyle="1" w:styleId="fontstyle01">
    <w:name w:val="fontstyle01"/>
    <w:basedOn w:val="DefaultParagraphFont"/>
    <w:rsid w:val="002F78EA"/>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50315">
      <w:bodyDiv w:val="1"/>
      <w:marLeft w:val="0"/>
      <w:marRight w:val="0"/>
      <w:marTop w:val="0"/>
      <w:marBottom w:val="0"/>
      <w:divBdr>
        <w:top w:val="none" w:sz="0" w:space="0" w:color="auto"/>
        <w:left w:val="none" w:sz="0" w:space="0" w:color="auto"/>
        <w:bottom w:val="none" w:sz="0" w:space="0" w:color="auto"/>
        <w:right w:val="none" w:sz="0" w:space="0" w:color="auto"/>
      </w:divBdr>
    </w:div>
    <w:div w:id="118305574">
      <w:bodyDiv w:val="1"/>
      <w:marLeft w:val="0"/>
      <w:marRight w:val="0"/>
      <w:marTop w:val="0"/>
      <w:marBottom w:val="0"/>
      <w:divBdr>
        <w:top w:val="none" w:sz="0" w:space="0" w:color="auto"/>
        <w:left w:val="none" w:sz="0" w:space="0" w:color="auto"/>
        <w:bottom w:val="none" w:sz="0" w:space="0" w:color="auto"/>
        <w:right w:val="none" w:sz="0" w:space="0" w:color="auto"/>
      </w:divBdr>
    </w:div>
    <w:div w:id="202596455">
      <w:bodyDiv w:val="1"/>
      <w:marLeft w:val="0"/>
      <w:marRight w:val="0"/>
      <w:marTop w:val="0"/>
      <w:marBottom w:val="0"/>
      <w:divBdr>
        <w:top w:val="none" w:sz="0" w:space="0" w:color="auto"/>
        <w:left w:val="none" w:sz="0" w:space="0" w:color="auto"/>
        <w:bottom w:val="none" w:sz="0" w:space="0" w:color="auto"/>
        <w:right w:val="none" w:sz="0" w:space="0" w:color="auto"/>
      </w:divBdr>
    </w:div>
    <w:div w:id="574247975">
      <w:bodyDiv w:val="1"/>
      <w:marLeft w:val="0"/>
      <w:marRight w:val="0"/>
      <w:marTop w:val="0"/>
      <w:marBottom w:val="0"/>
      <w:divBdr>
        <w:top w:val="none" w:sz="0" w:space="0" w:color="auto"/>
        <w:left w:val="none" w:sz="0" w:space="0" w:color="auto"/>
        <w:bottom w:val="none" w:sz="0" w:space="0" w:color="auto"/>
        <w:right w:val="none" w:sz="0" w:space="0" w:color="auto"/>
      </w:divBdr>
    </w:div>
    <w:div w:id="908733304">
      <w:bodyDiv w:val="1"/>
      <w:marLeft w:val="0"/>
      <w:marRight w:val="0"/>
      <w:marTop w:val="0"/>
      <w:marBottom w:val="0"/>
      <w:divBdr>
        <w:top w:val="none" w:sz="0" w:space="0" w:color="auto"/>
        <w:left w:val="none" w:sz="0" w:space="0" w:color="auto"/>
        <w:bottom w:val="none" w:sz="0" w:space="0" w:color="auto"/>
        <w:right w:val="none" w:sz="0" w:space="0" w:color="auto"/>
      </w:divBdr>
    </w:div>
    <w:div w:id="1623226655">
      <w:bodyDiv w:val="1"/>
      <w:marLeft w:val="0"/>
      <w:marRight w:val="0"/>
      <w:marTop w:val="0"/>
      <w:marBottom w:val="0"/>
      <w:divBdr>
        <w:top w:val="none" w:sz="0" w:space="0" w:color="auto"/>
        <w:left w:val="none" w:sz="0" w:space="0" w:color="auto"/>
        <w:bottom w:val="none" w:sz="0" w:space="0" w:color="auto"/>
        <w:right w:val="none" w:sz="0" w:space="0" w:color="auto"/>
      </w:divBdr>
    </w:div>
    <w:div w:id="1664161950">
      <w:bodyDiv w:val="1"/>
      <w:marLeft w:val="0"/>
      <w:marRight w:val="0"/>
      <w:marTop w:val="0"/>
      <w:marBottom w:val="0"/>
      <w:divBdr>
        <w:top w:val="none" w:sz="0" w:space="0" w:color="auto"/>
        <w:left w:val="none" w:sz="0" w:space="0" w:color="auto"/>
        <w:bottom w:val="none" w:sz="0" w:space="0" w:color="auto"/>
        <w:right w:val="none" w:sz="0" w:space="0" w:color="auto"/>
      </w:divBdr>
    </w:div>
    <w:div w:id="17113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1351A7-7414-41F1-BFFB-B13555F556B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1B5FFCC2363046B09FCF42C6434A09" ma:contentTypeVersion="10" ma:contentTypeDescription="Create a new document." ma:contentTypeScope="" ma:versionID="79ec031c214e74f63b6fcba82b5236f8">
  <xsd:schema xmlns:xsd="http://www.w3.org/2001/XMLSchema" xmlns:xs="http://www.w3.org/2001/XMLSchema" xmlns:p="http://schemas.microsoft.com/office/2006/metadata/properties" xmlns:ns3="142c42e0-7947-414f-a6f5-4c5baffece05" xmlns:ns4="e65c996d-3d20-4dba-86d6-61f64ce92129" targetNamespace="http://schemas.microsoft.com/office/2006/metadata/properties" ma:root="true" ma:fieldsID="ea9308a3144dbb7634a4fffb651d9dc3" ns3:_="" ns4:_="">
    <xsd:import namespace="142c42e0-7947-414f-a6f5-4c5baffece05"/>
    <xsd:import namespace="e65c996d-3d20-4dba-86d6-61f64ce921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c42e0-7947-414f-a6f5-4c5baffec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c996d-3d20-4dba-86d6-61f64ce921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D4665-9E8F-4D0F-8BEC-36785AD52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ED3D0-12F4-48C2-9458-66BF263336A5}">
  <ds:schemaRefs>
    <ds:schemaRef ds:uri="http://schemas.openxmlformats.org/officeDocument/2006/bibliography"/>
  </ds:schemaRefs>
</ds:datastoreItem>
</file>

<file path=customXml/itemProps3.xml><?xml version="1.0" encoding="utf-8"?>
<ds:datastoreItem xmlns:ds="http://schemas.openxmlformats.org/officeDocument/2006/customXml" ds:itemID="{574BFFE6-B696-419D-93C3-9DE0B841A055}">
  <ds:schemaRefs>
    <ds:schemaRef ds:uri="http://schemas.microsoft.com/sharepoint/v3/contenttype/forms"/>
  </ds:schemaRefs>
</ds:datastoreItem>
</file>

<file path=customXml/itemProps4.xml><?xml version="1.0" encoding="utf-8"?>
<ds:datastoreItem xmlns:ds="http://schemas.openxmlformats.org/officeDocument/2006/customXml" ds:itemID="{8305BD55-0886-4B4F-8434-29D8FC0FC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c42e0-7947-414f-a6f5-4c5baffece05"/>
    <ds:schemaRef ds:uri="e65c996d-3d20-4dba-86d6-61f64ce92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2589</Words>
  <Characters>14270</Characters>
  <Application>Microsoft Office Word</Application>
  <DocSecurity>0</DocSecurity>
  <Lines>303</Lines>
  <Paragraphs>131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Jordan Ingster</cp:lastModifiedBy>
  <cp:revision>3</cp:revision>
  <cp:lastPrinted>2020-09-04T17:24:00Z</cp:lastPrinted>
  <dcterms:created xsi:type="dcterms:W3CDTF">2021-02-05T01:01:00Z</dcterms:created>
  <dcterms:modified xsi:type="dcterms:W3CDTF">2021-02-05T01:02:00Z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0x010100961B5FFCC2363046B09FCF42C6434A09</vt:lpwstr>
  </property>
</Properties>
</file>