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523F" w14:textId="77777777" w:rsidR="00640E94" w:rsidRDefault="00947A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7BE5BF" w14:textId="77777777" w:rsidR="00640E94" w:rsidRDefault="00947AB3">
      <w:pPr>
        <w:pStyle w:val="BodyText"/>
        <w:tabs>
          <w:tab w:val="left" w:pos="0"/>
        </w:tabs>
        <w:rPr>
          <w:rFonts w:ascii="Arial" w:hAnsi="Arial"/>
          <w:color w:val="000000"/>
        </w:rPr>
      </w:pPr>
      <w:r>
        <w:rPr>
          <w:rFonts w:ascii="Arial" w:hAnsi="Arial"/>
          <w:color w:val="000000"/>
        </w:rPr>
        <w:t xml:space="preserve">Name of Listed Issuer: </w:t>
      </w:r>
      <w:r w:rsidRPr="00D136A8">
        <w:rPr>
          <w:rFonts w:ascii="Arial" w:hAnsi="Arial"/>
          <w:b/>
          <w:color w:val="000000"/>
        </w:rPr>
        <w:t>NetCents Technology Inc</w:t>
      </w:r>
      <w:r>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29A655" w14:textId="77777777" w:rsidR="00640E94" w:rsidRDefault="00947AB3">
      <w:pPr>
        <w:pStyle w:val="BodyText"/>
        <w:tabs>
          <w:tab w:val="left" w:pos="7920"/>
          <w:tab w:val="left" w:pos="9180"/>
        </w:tabs>
        <w:rPr>
          <w:rFonts w:ascii="Arial" w:hAnsi="Arial"/>
          <w:color w:val="000000"/>
        </w:rPr>
      </w:pPr>
      <w:r>
        <w:rPr>
          <w:rFonts w:ascii="Arial" w:hAnsi="Arial"/>
          <w:color w:val="000000"/>
        </w:rPr>
        <w:t xml:space="preserve">Trading Symbol: </w:t>
      </w:r>
      <w:r w:rsidRPr="00D136A8">
        <w:rPr>
          <w:rFonts w:ascii="Arial" w:hAnsi="Arial"/>
          <w:b/>
          <w:color w:val="000000"/>
        </w:rPr>
        <w:t>NC</w:t>
      </w:r>
      <w:r>
        <w:rPr>
          <w:rFonts w:ascii="Arial" w:hAnsi="Arial"/>
          <w:color w:val="000000"/>
          <w:u w:val="single"/>
        </w:rPr>
        <w:tab/>
      </w:r>
      <w:r>
        <w:rPr>
          <w:rFonts w:ascii="Arial" w:hAnsi="Arial"/>
          <w:color w:val="000000"/>
          <w:u w:val="single"/>
        </w:rPr>
        <w:tab/>
      </w:r>
    </w:p>
    <w:p w14:paraId="60DECB77" w14:textId="77777777" w:rsidR="00640E94" w:rsidRDefault="00947AB3">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Pr>
          <w:rFonts w:ascii="Arial" w:hAnsi="Arial"/>
          <w:b/>
          <w:color w:val="000000"/>
        </w:rPr>
        <w:t>42,445,467</w:t>
      </w:r>
      <w:r>
        <w:rPr>
          <w:rFonts w:ascii="Arial" w:hAnsi="Arial"/>
          <w:color w:val="000000"/>
          <w:u w:val="single"/>
        </w:rPr>
        <w:tab/>
      </w:r>
      <w:r>
        <w:rPr>
          <w:rFonts w:ascii="Arial" w:hAnsi="Arial"/>
          <w:color w:val="000000"/>
          <w:u w:val="single"/>
        </w:rPr>
        <w:tab/>
      </w:r>
    </w:p>
    <w:p w14:paraId="5E308419" w14:textId="5455FE02" w:rsidR="00640E94" w:rsidRDefault="00947AB3">
      <w:pPr>
        <w:pStyle w:val="BodyText"/>
        <w:tabs>
          <w:tab w:val="left" w:pos="7920"/>
          <w:tab w:val="left" w:pos="9180"/>
        </w:tabs>
        <w:rPr>
          <w:rFonts w:ascii="Arial" w:hAnsi="Arial"/>
          <w:color w:val="000000"/>
        </w:rPr>
      </w:pPr>
      <w:r>
        <w:rPr>
          <w:rFonts w:ascii="Arial" w:hAnsi="Arial"/>
          <w:color w:val="000000"/>
        </w:rPr>
        <w:t>Date</w:t>
      </w:r>
      <w:r w:rsidRPr="0058034B">
        <w:rPr>
          <w:rFonts w:ascii="Arial" w:hAnsi="Arial"/>
          <w:b/>
          <w:color w:val="000000"/>
        </w:rPr>
        <w:t xml:space="preserve">: </w:t>
      </w:r>
      <w:r w:rsidR="00C462D6">
        <w:rPr>
          <w:rFonts w:ascii="Arial" w:hAnsi="Arial"/>
          <w:b/>
          <w:color w:val="000000"/>
        </w:rPr>
        <w:t>July 6</w:t>
      </w:r>
      <w:r>
        <w:rPr>
          <w:rFonts w:ascii="Arial" w:hAnsi="Arial"/>
          <w:color w:val="000000"/>
        </w:rPr>
        <w:t xml:space="preserve">, </w:t>
      </w:r>
      <w:r w:rsidRPr="00417886">
        <w:rPr>
          <w:rFonts w:ascii="Arial" w:hAnsi="Arial"/>
          <w:b/>
          <w:color w:val="000000"/>
        </w:rPr>
        <w:t>201</w:t>
      </w:r>
      <w:r>
        <w:rPr>
          <w:rFonts w:ascii="Arial" w:hAnsi="Arial"/>
          <w:b/>
          <w:color w:val="000000"/>
        </w:rPr>
        <w:t>8</w:t>
      </w:r>
      <w:r>
        <w:rPr>
          <w:rFonts w:ascii="Arial" w:hAnsi="Arial"/>
          <w:color w:val="000000"/>
          <w:u w:val="single"/>
        </w:rPr>
        <w:tab/>
      </w:r>
      <w:r>
        <w:rPr>
          <w:rFonts w:ascii="Arial" w:hAnsi="Arial"/>
          <w:color w:val="000000"/>
          <w:u w:val="single"/>
        </w:rPr>
        <w:tab/>
      </w:r>
    </w:p>
    <w:p w14:paraId="06489431" w14:textId="77777777" w:rsidR="00640E94" w:rsidRDefault="00947AB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969DEDD" w14:textId="77777777" w:rsidR="00640E94" w:rsidRDefault="00947AB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5D978D90" w14:textId="77777777" w:rsidR="00640E94" w:rsidRDefault="00947AB3">
      <w:pPr>
        <w:pStyle w:val="BodyText"/>
        <w:tabs>
          <w:tab w:val="left" w:pos="7920"/>
          <w:tab w:val="left" w:pos="9180"/>
        </w:tabs>
        <w:rPr>
          <w:rFonts w:ascii="Arial" w:hAnsi="Arial"/>
          <w:color w:val="000000"/>
        </w:rPr>
      </w:pPr>
      <w:r>
        <w:rPr>
          <w:rFonts w:ascii="Arial" w:hAnsi="Arial"/>
          <w:b/>
          <w:color w:val="000000"/>
        </w:rPr>
        <w:t>General Instructions</w:t>
      </w:r>
    </w:p>
    <w:p w14:paraId="1A1EBFE1" w14:textId="77777777" w:rsidR="00640E94" w:rsidRDefault="00947AB3">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8B3EA2A" w14:textId="77777777" w:rsidR="00640E94" w:rsidRDefault="00947AB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92B156B" w14:textId="77777777" w:rsidR="00640E94" w:rsidRDefault="00947AB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E15A47" w14:textId="77777777" w:rsidR="00640E94" w:rsidRDefault="00947AB3">
      <w:pPr>
        <w:pStyle w:val="List"/>
        <w:keepLines/>
        <w:spacing w:before="120"/>
        <w:ind w:left="0" w:firstLine="0"/>
        <w:rPr>
          <w:rFonts w:ascii="Arial" w:hAnsi="Arial"/>
          <w:b/>
        </w:rPr>
      </w:pPr>
      <w:r>
        <w:rPr>
          <w:rFonts w:ascii="Arial" w:hAnsi="Arial"/>
          <w:b/>
        </w:rPr>
        <w:t>Report on Business</w:t>
      </w:r>
    </w:p>
    <w:p w14:paraId="7451164E" w14:textId="77777777" w:rsidR="00640E94" w:rsidRDefault="00947AB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5D1973C" w14:textId="068BD670" w:rsidR="0094235D" w:rsidRDefault="00947AB3" w:rsidP="00C40057">
      <w:pPr>
        <w:pStyle w:val="List"/>
        <w:spacing w:before="120"/>
        <w:ind w:left="720" w:firstLine="0"/>
        <w:jc w:val="both"/>
        <w:rPr>
          <w:rFonts w:ascii="Arial" w:hAnsi="Arial"/>
          <w:b/>
        </w:rPr>
      </w:pPr>
      <w:r>
        <w:rPr>
          <w:rFonts w:ascii="Arial" w:hAnsi="Arial"/>
          <w:b/>
        </w:rPr>
        <w:t xml:space="preserve">The Issuer continued to build its business: </w:t>
      </w:r>
    </w:p>
    <w:p w14:paraId="18AB31A3" w14:textId="52C7E7AB" w:rsidR="00C462D6" w:rsidRPr="00C462D6" w:rsidRDefault="00C462D6" w:rsidP="00C462D6">
      <w:pPr>
        <w:pStyle w:val="List"/>
        <w:spacing w:before="120"/>
        <w:ind w:left="720" w:firstLine="0"/>
        <w:jc w:val="both"/>
        <w:rPr>
          <w:rFonts w:ascii="Arial" w:hAnsi="Arial"/>
          <w:b/>
          <w:lang w:val="en-CA"/>
        </w:rPr>
      </w:pPr>
      <w:r>
        <w:rPr>
          <w:rFonts w:ascii="Arial" w:hAnsi="Arial"/>
          <w:b/>
          <w:lang w:val="en-CA"/>
        </w:rPr>
        <w:t>On June 4</w:t>
      </w:r>
      <w:r w:rsidRPr="00C462D6">
        <w:rPr>
          <w:rFonts w:ascii="Arial" w:hAnsi="Arial"/>
          <w:b/>
          <w:vertAlign w:val="superscript"/>
          <w:lang w:val="en-CA"/>
        </w:rPr>
        <w:t>th</w:t>
      </w:r>
      <w:r>
        <w:rPr>
          <w:rFonts w:ascii="Arial" w:hAnsi="Arial"/>
          <w:b/>
          <w:lang w:val="en-CA"/>
        </w:rPr>
        <w:t xml:space="preserve">, </w:t>
      </w:r>
      <w:proofErr w:type="spellStart"/>
      <w:r>
        <w:rPr>
          <w:rFonts w:ascii="Arial" w:hAnsi="Arial"/>
          <w:b/>
          <w:lang w:val="en-CA"/>
        </w:rPr>
        <w:t>N</w:t>
      </w:r>
      <w:r w:rsidRPr="00C462D6">
        <w:rPr>
          <w:rFonts w:ascii="Arial" w:hAnsi="Arial"/>
          <w:b/>
          <w:lang w:val="en-CA"/>
        </w:rPr>
        <w:t>etCents</w:t>
      </w:r>
      <w:proofErr w:type="spellEnd"/>
      <w:r w:rsidRPr="00C462D6">
        <w:rPr>
          <w:rFonts w:ascii="Arial" w:hAnsi="Arial"/>
          <w:b/>
          <w:lang w:val="en-CA"/>
        </w:rPr>
        <w:t xml:space="preserve"> announce</w:t>
      </w:r>
      <w:r>
        <w:rPr>
          <w:rFonts w:ascii="Arial" w:hAnsi="Arial"/>
          <w:b/>
          <w:lang w:val="en-CA"/>
        </w:rPr>
        <w:t>d</w:t>
      </w:r>
      <w:r w:rsidRPr="00C462D6">
        <w:rPr>
          <w:rFonts w:ascii="Arial" w:hAnsi="Arial"/>
          <w:b/>
          <w:lang w:val="en-CA"/>
        </w:rPr>
        <w:t xml:space="preserve"> that it has entered into a merchant and reseller agreement with </w:t>
      </w:r>
      <w:proofErr w:type="spellStart"/>
      <w:r w:rsidRPr="00C462D6">
        <w:rPr>
          <w:rFonts w:ascii="Arial" w:hAnsi="Arial"/>
          <w:b/>
          <w:lang w:val="en-CA"/>
        </w:rPr>
        <w:t>HubNet</w:t>
      </w:r>
      <w:proofErr w:type="spellEnd"/>
      <w:r w:rsidRPr="00C462D6">
        <w:rPr>
          <w:rFonts w:ascii="Arial" w:hAnsi="Arial"/>
          <w:b/>
          <w:lang w:val="en-CA"/>
        </w:rPr>
        <w:t xml:space="preserve"> Media (HNM).</w:t>
      </w:r>
    </w:p>
    <w:p w14:paraId="7A9BEAEA" w14:textId="1F1C1AF3" w:rsidR="00C462D6" w:rsidRDefault="00C462D6" w:rsidP="00C462D6">
      <w:pPr>
        <w:pStyle w:val="List"/>
        <w:spacing w:before="120"/>
        <w:ind w:left="720" w:firstLine="0"/>
        <w:jc w:val="both"/>
        <w:rPr>
          <w:rFonts w:ascii="Arial" w:hAnsi="Arial"/>
          <w:b/>
          <w:lang w:val="en-CA"/>
        </w:rPr>
      </w:pPr>
      <w:r w:rsidRPr="00C462D6">
        <w:rPr>
          <w:rFonts w:ascii="Arial" w:hAnsi="Arial"/>
          <w:b/>
          <w:lang w:val="en-CA"/>
        </w:rPr>
        <w:lastRenderedPageBreak/>
        <w:t xml:space="preserve">Through this agreement, </w:t>
      </w:r>
      <w:proofErr w:type="spellStart"/>
      <w:r w:rsidRPr="00C462D6">
        <w:rPr>
          <w:rFonts w:ascii="Arial" w:hAnsi="Arial"/>
          <w:b/>
          <w:lang w:val="en-CA"/>
        </w:rPr>
        <w:t>NetCents</w:t>
      </w:r>
      <w:proofErr w:type="spellEnd"/>
      <w:r w:rsidRPr="00C462D6">
        <w:rPr>
          <w:rFonts w:ascii="Arial" w:hAnsi="Arial"/>
          <w:b/>
          <w:lang w:val="en-CA"/>
        </w:rPr>
        <w:t xml:space="preserve"> will be processing all cryptocurrency transactions for HNM’s four main online properties (TradeThirsty.com, StealthSignals.com, SeasonalSwingTrader.com, and MarketFest.com) and their network of clients.  </w:t>
      </w:r>
    </w:p>
    <w:p w14:paraId="1442AA21" w14:textId="00BA461D" w:rsidR="00C462D6" w:rsidRPr="00C462D6" w:rsidRDefault="00C462D6" w:rsidP="00C462D6">
      <w:pPr>
        <w:pStyle w:val="List"/>
        <w:spacing w:before="120"/>
        <w:ind w:left="720" w:firstLine="0"/>
        <w:jc w:val="both"/>
        <w:rPr>
          <w:rFonts w:ascii="Arial" w:hAnsi="Arial"/>
          <w:b/>
          <w:lang w:val="en-CA"/>
        </w:rPr>
      </w:pPr>
      <w:r>
        <w:rPr>
          <w:rFonts w:ascii="Arial" w:hAnsi="Arial"/>
          <w:b/>
          <w:lang w:val="en-CA"/>
        </w:rPr>
        <w:t>On June 6</w:t>
      </w:r>
      <w:r w:rsidRPr="00C462D6">
        <w:rPr>
          <w:rFonts w:ascii="Arial" w:hAnsi="Arial"/>
          <w:b/>
          <w:vertAlign w:val="superscript"/>
          <w:lang w:val="en-CA"/>
        </w:rPr>
        <w:t>th</w:t>
      </w:r>
      <w:r>
        <w:rPr>
          <w:rFonts w:ascii="Arial" w:hAnsi="Arial"/>
          <w:b/>
          <w:lang w:val="en-CA"/>
        </w:rPr>
        <w:t xml:space="preserve"> </w:t>
      </w:r>
      <w:proofErr w:type="spellStart"/>
      <w:r>
        <w:rPr>
          <w:rFonts w:ascii="Arial" w:hAnsi="Arial"/>
          <w:b/>
          <w:lang w:val="en-CA"/>
        </w:rPr>
        <w:t>NetCents</w:t>
      </w:r>
      <w:proofErr w:type="spellEnd"/>
      <w:r>
        <w:rPr>
          <w:rFonts w:ascii="Arial" w:hAnsi="Arial"/>
          <w:b/>
          <w:lang w:val="en-CA"/>
        </w:rPr>
        <w:t xml:space="preserve"> announced the addition of Justin Lofton to the Business Development Team.</w:t>
      </w:r>
    </w:p>
    <w:p w14:paraId="75AA053B" w14:textId="77777777" w:rsidR="0094235D" w:rsidRDefault="005419DA" w:rsidP="00C40057">
      <w:pPr>
        <w:pStyle w:val="List"/>
        <w:spacing w:before="120"/>
        <w:ind w:left="720" w:firstLine="0"/>
        <w:jc w:val="both"/>
        <w:rPr>
          <w:rFonts w:ascii="Arial" w:hAnsi="Arial"/>
          <w:b/>
        </w:rPr>
      </w:pPr>
    </w:p>
    <w:p w14:paraId="1697AF9B" w14:textId="49C004AC" w:rsidR="000C42CC" w:rsidRDefault="00947AB3" w:rsidP="00C40057">
      <w:pPr>
        <w:pStyle w:val="List"/>
        <w:spacing w:before="120"/>
        <w:ind w:left="720" w:firstLine="0"/>
        <w:jc w:val="both"/>
        <w:rPr>
          <w:rFonts w:ascii="Arial" w:hAnsi="Arial"/>
          <w:b/>
        </w:rPr>
      </w:pPr>
      <w:r>
        <w:rPr>
          <w:rFonts w:ascii="Arial" w:hAnsi="Arial"/>
          <w:b/>
        </w:rPr>
        <w:t xml:space="preserve">On April 23, 2018 the CSE issued the following statement: </w:t>
      </w:r>
      <w:r w:rsidRPr="000C42CC">
        <w:rPr>
          <w:rFonts w:ascii="Arial" w:hAnsi="Arial"/>
          <w:b/>
          <w:i/>
          <w:iCs/>
          <w:lang w:val="en-US"/>
        </w:rPr>
        <w:t>NetCents Technology Inc. is in default of CSE requirements. Effective immediately, NetCents Technology will be suspended pursuant to CSE Policy 3. The suspension is considered a Regulatory Halt as defined in National Instrument 23-101 Trading Rules.</w:t>
      </w:r>
      <w:r>
        <w:rPr>
          <w:rFonts w:ascii="Arial" w:hAnsi="Arial"/>
          <w:b/>
        </w:rPr>
        <w:t>the CSE halted trading in the securities of the Issuer because the British Columbia Securities Commission (BCSC) had advised the CSE that the Issuer was in default of continuous disclosure reporting requirements.  On May 24, 2018 the Issuer issued a news release advising of the nature of the additional disclosure sought by the BCSC in its annual MD&amp;A and first quarter MD&amp;A and financial statements.  The halt is expected to remain in place until the Issuer has satisfied the BCSC’s continuous disclosure review</w:t>
      </w:r>
      <w:r w:rsidRPr="00DC1802">
        <w:rPr>
          <w:rFonts w:ascii="Arial" w:hAnsi="Arial"/>
          <w:b/>
        </w:rPr>
        <w:t xml:space="preserve"> </w:t>
      </w:r>
      <w:r>
        <w:rPr>
          <w:rFonts w:ascii="Arial" w:hAnsi="Arial"/>
          <w:b/>
        </w:rPr>
        <w:t xml:space="preserve">and is removed from the list of reporting issuers in default...  The Issuer is working diligently to satisfy the comments of the BCSC </w:t>
      </w:r>
    </w:p>
    <w:p w14:paraId="54389ADC" w14:textId="279028CE" w:rsidR="000C42CC" w:rsidRDefault="005419DA" w:rsidP="00C40057">
      <w:pPr>
        <w:pStyle w:val="List"/>
        <w:spacing w:before="120"/>
        <w:ind w:left="720" w:firstLine="0"/>
        <w:jc w:val="both"/>
        <w:rPr>
          <w:rFonts w:ascii="Arial" w:hAnsi="Arial"/>
          <w:b/>
        </w:rPr>
      </w:pPr>
    </w:p>
    <w:p w14:paraId="1A99C3B0" w14:textId="77777777" w:rsidR="00640E94" w:rsidRDefault="00947AB3" w:rsidP="009C7C33">
      <w:pPr>
        <w:pStyle w:val="List"/>
        <w:spacing w:before="120"/>
        <w:ind w:left="720" w:firstLine="0"/>
        <w:jc w:val="both"/>
        <w:rPr>
          <w:rFonts w:ascii="Arial" w:hAnsi="Arial"/>
        </w:rPr>
      </w:pPr>
      <w:r>
        <w:rPr>
          <w:rFonts w:ascii="Arial" w:hAnsi="Arial"/>
        </w:rPr>
        <w:t>Provide a general overview and discussion of the activities of management.</w:t>
      </w:r>
    </w:p>
    <w:p w14:paraId="17F501A5" w14:textId="77777777" w:rsidR="000C42CC" w:rsidRDefault="00947AB3" w:rsidP="00CA11BB">
      <w:pPr>
        <w:pStyle w:val="List"/>
        <w:spacing w:before="120"/>
        <w:ind w:left="720" w:firstLine="0"/>
        <w:jc w:val="both"/>
        <w:rPr>
          <w:rFonts w:ascii="Arial" w:hAnsi="Arial"/>
        </w:rPr>
      </w:pPr>
      <w:r w:rsidRPr="004D4D36">
        <w:rPr>
          <w:rFonts w:ascii="Arial" w:hAnsi="Arial"/>
          <w:b/>
        </w:rPr>
        <w:t xml:space="preserve">Over the past month, management has </w:t>
      </w:r>
      <w:r>
        <w:rPr>
          <w:rFonts w:ascii="Arial" w:hAnsi="Arial"/>
          <w:b/>
        </w:rPr>
        <w:t xml:space="preserve">continued to </w:t>
      </w:r>
      <w:r w:rsidRPr="004D4D36">
        <w:rPr>
          <w:rFonts w:ascii="Arial" w:hAnsi="Arial"/>
          <w:b/>
        </w:rPr>
        <w:t xml:space="preserve">focus on expanding the company’s global reach </w:t>
      </w:r>
      <w:r>
        <w:rPr>
          <w:rFonts w:ascii="Arial" w:hAnsi="Arial"/>
          <w:b/>
        </w:rPr>
        <w:t>working to build a pipeline of new potential partners to further increase revenue of the business</w:t>
      </w:r>
      <w:r w:rsidRPr="004D4D36">
        <w:rPr>
          <w:rFonts w:ascii="Arial" w:hAnsi="Arial"/>
          <w:b/>
        </w:rPr>
        <w:t>. Refer to Item 1 above</w:t>
      </w:r>
      <w:r>
        <w:rPr>
          <w:rFonts w:ascii="Arial" w:hAnsi="Arial"/>
        </w:rPr>
        <w:t xml:space="preserve">.  </w:t>
      </w:r>
    </w:p>
    <w:p w14:paraId="2D4CCE17" w14:textId="264D3775" w:rsidR="00CA11BB" w:rsidRPr="000C42CC" w:rsidRDefault="00947AB3" w:rsidP="00CA11BB">
      <w:pPr>
        <w:pStyle w:val="List"/>
        <w:spacing w:before="120"/>
        <w:ind w:left="720" w:firstLine="0"/>
        <w:jc w:val="both"/>
        <w:rPr>
          <w:rFonts w:ascii="Arial" w:hAnsi="Arial"/>
          <w:b/>
        </w:rPr>
      </w:pPr>
      <w:r w:rsidRPr="000C42CC">
        <w:rPr>
          <w:rFonts w:ascii="Arial" w:hAnsi="Arial"/>
          <w:b/>
        </w:rPr>
        <w:t xml:space="preserve">Management has </w:t>
      </w:r>
      <w:r>
        <w:rPr>
          <w:rFonts w:ascii="Arial" w:hAnsi="Arial"/>
          <w:b/>
        </w:rPr>
        <w:t xml:space="preserve">also </w:t>
      </w:r>
      <w:r w:rsidRPr="000C42CC">
        <w:rPr>
          <w:rFonts w:ascii="Arial" w:hAnsi="Arial"/>
          <w:b/>
        </w:rPr>
        <w:t>been focused on providing all the required information to have the Regulatory Halt lifted.</w:t>
      </w:r>
      <w:r>
        <w:rPr>
          <w:rFonts w:ascii="Arial" w:hAnsi="Arial"/>
          <w:b/>
        </w:rPr>
        <w:t xml:space="preserve"> There are ongoing discussions with the BCSC with respect to the accounting treatment of the NetCents Coin and the valuation and presentation on the Company’s financial statements. Until these discussions are concluded, and a decision is made on proper treatment, the stock is at risk of continuing to be halted. Certain management personnel are focused on this accounting issue and working diligently to resolve this issue as soon as possible.</w:t>
      </w:r>
      <w:r w:rsidR="00B91920">
        <w:rPr>
          <w:rFonts w:ascii="Arial" w:hAnsi="Arial"/>
          <w:b/>
        </w:rPr>
        <w:t xml:space="preserve"> </w:t>
      </w:r>
      <w:bookmarkStart w:id="5" w:name="_GoBack"/>
      <w:bookmarkEnd w:id="5"/>
    </w:p>
    <w:p w14:paraId="768B1634" w14:textId="77777777" w:rsidR="00640E94" w:rsidRDefault="00947AB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0DFBE87" w14:textId="77777777" w:rsidR="00C40057" w:rsidRPr="00C40057" w:rsidRDefault="00947AB3" w:rsidP="00C40057">
      <w:pPr>
        <w:pStyle w:val="List"/>
        <w:spacing w:before="120"/>
        <w:ind w:left="720" w:firstLine="0"/>
        <w:jc w:val="both"/>
        <w:rPr>
          <w:rFonts w:ascii="Arial" w:hAnsi="Arial"/>
          <w:b/>
        </w:rPr>
      </w:pPr>
      <w:r w:rsidRPr="00C40057">
        <w:rPr>
          <w:rFonts w:ascii="Arial" w:hAnsi="Arial"/>
          <w:b/>
        </w:rPr>
        <w:t>Refer to Item 1 above</w:t>
      </w:r>
    </w:p>
    <w:p w14:paraId="329D21C7" w14:textId="77777777" w:rsidR="00640E94" w:rsidRDefault="00947AB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12595E0" w14:textId="66511863" w:rsidR="005E7B2A" w:rsidRPr="005E7B2A" w:rsidRDefault="00947AB3" w:rsidP="005E7B2A">
      <w:pPr>
        <w:pStyle w:val="List"/>
        <w:spacing w:before="120"/>
        <w:ind w:left="720" w:firstLine="0"/>
        <w:jc w:val="both"/>
        <w:rPr>
          <w:rFonts w:ascii="Arial" w:hAnsi="Arial"/>
          <w:b/>
        </w:rPr>
      </w:pPr>
      <w:r w:rsidRPr="005E7B2A">
        <w:rPr>
          <w:rFonts w:ascii="Arial" w:hAnsi="Arial"/>
          <w:b/>
        </w:rPr>
        <w:lastRenderedPageBreak/>
        <w:t>None</w:t>
      </w:r>
      <w:r>
        <w:rPr>
          <w:rFonts w:ascii="Arial" w:hAnsi="Arial"/>
          <w:b/>
        </w:rPr>
        <w:t xml:space="preserve"> </w:t>
      </w:r>
    </w:p>
    <w:p w14:paraId="29F39043" w14:textId="77777777" w:rsidR="00640E94" w:rsidRDefault="00947AB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FF224AA" w14:textId="1F4B934F" w:rsidR="00152086" w:rsidRPr="00152086" w:rsidRDefault="00947AB3" w:rsidP="00152086">
      <w:pPr>
        <w:pStyle w:val="List"/>
        <w:spacing w:before="120"/>
        <w:ind w:left="720" w:firstLine="0"/>
        <w:jc w:val="both"/>
        <w:rPr>
          <w:rFonts w:ascii="Arial" w:hAnsi="Arial"/>
          <w:b/>
        </w:rPr>
      </w:pPr>
      <w:r w:rsidRPr="00152086">
        <w:rPr>
          <w:rFonts w:ascii="Arial" w:hAnsi="Arial"/>
          <w:b/>
        </w:rPr>
        <w:t>Refer to Item 1 above</w:t>
      </w:r>
    </w:p>
    <w:p w14:paraId="07759528" w14:textId="77777777" w:rsidR="00640E94" w:rsidRDefault="00947AB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4E7DBB3" w14:textId="7A6EFA7A" w:rsidR="005E7B2A" w:rsidRPr="005E7B2A" w:rsidRDefault="00F4447C" w:rsidP="00F4447C">
      <w:pPr>
        <w:pStyle w:val="List"/>
        <w:spacing w:before="120"/>
        <w:ind w:left="720" w:firstLine="0"/>
        <w:jc w:val="both"/>
        <w:rPr>
          <w:rFonts w:ascii="Arial" w:hAnsi="Arial"/>
          <w:b/>
        </w:rPr>
      </w:pPr>
      <w:r w:rsidRPr="00F4447C">
        <w:rPr>
          <w:rFonts w:ascii="Arial" w:hAnsi="Arial"/>
          <w:b/>
        </w:rPr>
        <w:t>On June 26</w:t>
      </w:r>
      <w:r w:rsidRPr="00F4447C">
        <w:rPr>
          <w:rFonts w:ascii="Arial" w:hAnsi="Arial"/>
          <w:b/>
          <w:vertAlign w:val="superscript"/>
        </w:rPr>
        <w:t>th</w:t>
      </w:r>
      <w:r w:rsidRPr="00F4447C">
        <w:rPr>
          <w:rFonts w:ascii="Arial" w:hAnsi="Arial"/>
          <w:b/>
        </w:rPr>
        <w:t xml:space="preserve">, 2018, the Company and Aliant Payment Systems, Inc. mutually agreed to terminate the Reseller Agreement. </w:t>
      </w:r>
    </w:p>
    <w:p w14:paraId="0DE43666" w14:textId="77777777" w:rsidR="00640E94" w:rsidRDefault="00947AB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707AEC4" w14:textId="77777777" w:rsidR="00FA24A1" w:rsidRPr="00FA24A1" w:rsidRDefault="00947AB3" w:rsidP="00FA24A1">
      <w:pPr>
        <w:pStyle w:val="List"/>
        <w:spacing w:before="120"/>
        <w:ind w:left="720" w:firstLine="0"/>
        <w:jc w:val="both"/>
        <w:rPr>
          <w:rFonts w:ascii="Arial" w:hAnsi="Arial"/>
          <w:b/>
        </w:rPr>
      </w:pPr>
      <w:r w:rsidRPr="00FA24A1">
        <w:rPr>
          <w:rFonts w:ascii="Arial" w:hAnsi="Arial"/>
          <w:b/>
        </w:rPr>
        <w:t>None</w:t>
      </w:r>
    </w:p>
    <w:p w14:paraId="4CC84229" w14:textId="77777777" w:rsidR="00640E94" w:rsidRDefault="00947AB3">
      <w:pPr>
        <w:pStyle w:val="List"/>
        <w:numPr>
          <w:ilvl w:val="0"/>
          <w:numId w:val="28"/>
        </w:numPr>
        <w:spacing w:before="120"/>
        <w:jc w:val="both"/>
        <w:rPr>
          <w:rFonts w:ascii="Arial" w:hAnsi="Arial"/>
        </w:rPr>
      </w:pPr>
      <w:r>
        <w:rPr>
          <w:rFonts w:ascii="Arial" w:hAnsi="Arial"/>
        </w:rPr>
        <w:t>Describe the acquisition of new customers or loss of customers.</w:t>
      </w:r>
    </w:p>
    <w:p w14:paraId="399EF823" w14:textId="46D7F57C" w:rsidR="00D136A8" w:rsidRPr="00D136A8" w:rsidRDefault="00947AB3" w:rsidP="00D136A8">
      <w:pPr>
        <w:pStyle w:val="List"/>
        <w:spacing w:before="120"/>
        <w:ind w:left="720" w:firstLine="0"/>
        <w:jc w:val="both"/>
        <w:rPr>
          <w:rFonts w:ascii="Arial" w:hAnsi="Arial"/>
          <w:b/>
        </w:rPr>
      </w:pPr>
      <w:r>
        <w:rPr>
          <w:rFonts w:ascii="Arial" w:hAnsi="Arial"/>
          <w:b/>
        </w:rPr>
        <w:t>See Item 1 above</w:t>
      </w:r>
    </w:p>
    <w:p w14:paraId="22A21701" w14:textId="77777777" w:rsidR="00640E94" w:rsidRDefault="00947AB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F59555C" w14:textId="0872C7B4" w:rsidR="00D136A8" w:rsidRDefault="00947AB3" w:rsidP="00D136A8">
      <w:pPr>
        <w:pStyle w:val="List"/>
        <w:spacing w:before="120"/>
        <w:ind w:left="720" w:firstLine="0"/>
        <w:jc w:val="both"/>
        <w:rPr>
          <w:rFonts w:ascii="Arial" w:hAnsi="Arial"/>
        </w:rPr>
      </w:pPr>
      <w:r w:rsidRPr="00D136A8">
        <w:rPr>
          <w:rFonts w:ascii="Arial" w:hAnsi="Arial"/>
          <w:b/>
        </w:rPr>
        <w:t>Refer to item 1 above</w:t>
      </w:r>
      <w:r>
        <w:rPr>
          <w:rFonts w:ascii="Arial" w:hAnsi="Arial"/>
        </w:rPr>
        <w:t>.</w:t>
      </w:r>
    </w:p>
    <w:p w14:paraId="612C75A6" w14:textId="2267E129" w:rsidR="00640E94" w:rsidRDefault="00947AB3">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Pr>
          <w:rFonts w:ascii="Arial" w:hAnsi="Arial"/>
          <w:b/>
        </w:rPr>
        <w:t xml:space="preserve"> </w:t>
      </w:r>
      <w:r w:rsidR="005045E1">
        <w:rPr>
          <w:rFonts w:ascii="Arial" w:hAnsi="Arial"/>
          <w:b/>
        </w:rPr>
        <w:t>None</w:t>
      </w:r>
    </w:p>
    <w:p w14:paraId="01AA493C" w14:textId="77777777" w:rsidR="00640E94" w:rsidRDefault="00947AB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CC833CC" w14:textId="77777777" w:rsidR="005E7B2A" w:rsidRPr="005E7B2A" w:rsidRDefault="00947AB3" w:rsidP="005E7B2A">
      <w:pPr>
        <w:pStyle w:val="List"/>
        <w:spacing w:before="120"/>
        <w:ind w:left="720" w:firstLine="0"/>
        <w:jc w:val="both"/>
        <w:rPr>
          <w:rFonts w:ascii="Arial" w:hAnsi="Arial"/>
          <w:b/>
        </w:rPr>
      </w:pPr>
      <w:r w:rsidRPr="005E7B2A">
        <w:rPr>
          <w:rFonts w:ascii="Arial" w:hAnsi="Arial"/>
          <w:b/>
        </w:rPr>
        <w:t>None</w:t>
      </w:r>
    </w:p>
    <w:p w14:paraId="2778115F" w14:textId="77777777" w:rsidR="00640E94" w:rsidRDefault="00947AB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542E80" w14:textId="0B929BEA" w:rsidR="0005251E" w:rsidRDefault="00947AB3" w:rsidP="00CD2031">
      <w:pPr>
        <w:pStyle w:val="List"/>
        <w:spacing w:before="120"/>
        <w:ind w:left="720" w:firstLine="0"/>
        <w:jc w:val="both"/>
        <w:rPr>
          <w:rFonts w:ascii="Arial" w:hAnsi="Arial"/>
          <w:b/>
        </w:rPr>
      </w:pPr>
      <w:r>
        <w:rPr>
          <w:rFonts w:ascii="Arial" w:hAnsi="Arial"/>
          <w:b/>
        </w:rPr>
        <w:t xml:space="preserve">The issuer is currently in a legal dispute with an unrelated third party over the issuance of shares and warrants and is working to resolve this matter. </w:t>
      </w:r>
      <w:r w:rsidR="0005251E">
        <w:rPr>
          <w:rFonts w:ascii="Arial" w:hAnsi="Arial"/>
          <w:b/>
        </w:rPr>
        <w:t>A writ was filed by the party claiming damages for non-delivery of share and warrant certificates. The Issuer is working through legal counsel to resolve this issue.</w:t>
      </w:r>
      <w:r w:rsidR="005045E1">
        <w:rPr>
          <w:rFonts w:ascii="Arial" w:hAnsi="Arial"/>
          <w:b/>
        </w:rPr>
        <w:t xml:space="preserve"> No change from prior month.</w:t>
      </w:r>
    </w:p>
    <w:p w14:paraId="443F3D0F" w14:textId="3330A864" w:rsidR="00CD2031" w:rsidRDefault="00947AB3" w:rsidP="00CD2031">
      <w:pPr>
        <w:pStyle w:val="List"/>
        <w:spacing w:before="120"/>
        <w:ind w:left="720" w:firstLine="0"/>
        <w:jc w:val="both"/>
        <w:rPr>
          <w:rFonts w:ascii="Arial" w:hAnsi="Arial"/>
          <w:b/>
        </w:rPr>
      </w:pPr>
      <w:r>
        <w:rPr>
          <w:rFonts w:ascii="Arial" w:hAnsi="Arial"/>
          <w:b/>
        </w:rPr>
        <w:lastRenderedPageBreak/>
        <w:t xml:space="preserve">The issuer is also in a legal dispute with a merchant regarding the advancement of funds which the issuer has not </w:t>
      </w:r>
      <w:proofErr w:type="gramStart"/>
      <w:r>
        <w:rPr>
          <w:rFonts w:ascii="Arial" w:hAnsi="Arial"/>
          <w:b/>
        </w:rPr>
        <w:t>as yet</w:t>
      </w:r>
      <w:proofErr w:type="gramEnd"/>
      <w:r>
        <w:rPr>
          <w:rFonts w:ascii="Arial" w:hAnsi="Arial"/>
          <w:b/>
        </w:rPr>
        <w:t xml:space="preserve"> received.  </w:t>
      </w:r>
      <w:r w:rsidR="005045E1">
        <w:rPr>
          <w:rFonts w:ascii="Arial" w:hAnsi="Arial"/>
          <w:b/>
        </w:rPr>
        <w:t>No change from prior month.</w:t>
      </w:r>
    </w:p>
    <w:p w14:paraId="4916303B" w14:textId="77777777" w:rsidR="00640E94" w:rsidRDefault="00947AB3" w:rsidP="00CD2031">
      <w:pPr>
        <w:pStyle w:val="List"/>
        <w:spacing w:before="120"/>
        <w:ind w:left="720" w:firstLine="0"/>
        <w:jc w:val="both"/>
        <w:rPr>
          <w:rFonts w:ascii="Arial" w:hAnsi="Arial"/>
        </w:rPr>
      </w:pPr>
      <w:r>
        <w:rPr>
          <w:rFonts w:ascii="Arial" w:hAnsi="Arial"/>
        </w:rPr>
        <w:t>Provide details of any indebtedness incurred or repaid by the Issuer together with the terms of such indebtedness.</w:t>
      </w:r>
    </w:p>
    <w:p w14:paraId="734521B8" w14:textId="77777777" w:rsidR="007C2A26" w:rsidRDefault="005419DA" w:rsidP="007C2A26">
      <w:pPr>
        <w:pStyle w:val="List"/>
        <w:spacing w:before="120"/>
        <w:ind w:left="720" w:firstLine="0"/>
        <w:jc w:val="both"/>
        <w:rPr>
          <w:rFonts w:ascii="Arial" w:hAnsi="Arial"/>
        </w:rPr>
      </w:pPr>
    </w:p>
    <w:tbl>
      <w:tblPr>
        <w:tblW w:w="105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494"/>
        <w:gridCol w:w="1258"/>
        <w:gridCol w:w="1100"/>
      </w:tblGrid>
      <w:tr w:rsidR="00DF7D9F" w14:paraId="325AB3BE" w14:textId="77777777" w:rsidTr="00FD59F4">
        <w:trPr>
          <w:trHeight w:val="1296"/>
        </w:trPr>
        <w:tc>
          <w:tcPr>
            <w:tcW w:w="1394" w:type="dxa"/>
            <w:shd w:val="clear" w:color="auto" w:fill="F2F2F2" w:themeFill="background1" w:themeFillShade="F2"/>
            <w:vAlign w:val="bottom"/>
          </w:tcPr>
          <w:p w14:paraId="3E2B8B53" w14:textId="77777777" w:rsidR="007C2A26" w:rsidRPr="002E78CF" w:rsidRDefault="00947AB3" w:rsidP="00FD59F4">
            <w:pPr>
              <w:pStyle w:val="BodyText"/>
              <w:spacing w:before="0"/>
              <w:jc w:val="center"/>
              <w:rPr>
                <w:rFonts w:ascii="Verdana" w:hAnsi="Verdana"/>
                <w:b/>
                <w:sz w:val="16"/>
                <w:szCs w:val="16"/>
                <w:lang w:val="en-CA"/>
              </w:rPr>
            </w:pPr>
            <w:r w:rsidRPr="002E78CF">
              <w:rPr>
                <w:rFonts w:ascii="Verdana" w:hAnsi="Verdana"/>
                <w:b/>
                <w:sz w:val="16"/>
                <w:szCs w:val="16"/>
                <w:lang w:val="en-CA"/>
              </w:rPr>
              <w:t>Full Name &amp; Residential Address of Placee</w:t>
            </w:r>
          </w:p>
        </w:tc>
        <w:tc>
          <w:tcPr>
            <w:tcW w:w="1376" w:type="dxa"/>
            <w:shd w:val="clear" w:color="auto" w:fill="F2F2F2" w:themeFill="background1" w:themeFillShade="F2"/>
            <w:vAlign w:val="bottom"/>
          </w:tcPr>
          <w:p w14:paraId="278CD62E" w14:textId="77777777" w:rsidR="007C2A26" w:rsidRPr="002E78CF" w:rsidRDefault="00947AB3" w:rsidP="00FD59F4">
            <w:pPr>
              <w:pStyle w:val="BodyText"/>
              <w:spacing w:before="0"/>
              <w:jc w:val="center"/>
              <w:rPr>
                <w:rFonts w:ascii="Verdana" w:hAnsi="Verdana"/>
                <w:b/>
                <w:sz w:val="16"/>
                <w:szCs w:val="16"/>
                <w:lang w:val="en-CA"/>
              </w:rPr>
            </w:pPr>
            <w:r w:rsidRPr="002E78CF">
              <w:rPr>
                <w:rFonts w:ascii="Verdana" w:hAnsi="Verdana"/>
                <w:b/>
                <w:sz w:val="16"/>
                <w:szCs w:val="16"/>
                <w:lang w:val="en-CA"/>
              </w:rPr>
              <w:t>Number of Securities Purchased or to be Purchased</w:t>
            </w:r>
          </w:p>
        </w:tc>
        <w:tc>
          <w:tcPr>
            <w:tcW w:w="1192" w:type="dxa"/>
            <w:shd w:val="clear" w:color="auto" w:fill="F2F2F2" w:themeFill="background1" w:themeFillShade="F2"/>
            <w:vAlign w:val="bottom"/>
          </w:tcPr>
          <w:p w14:paraId="6101732F" w14:textId="77777777" w:rsidR="007C2A26" w:rsidRPr="009758F1" w:rsidRDefault="00947AB3" w:rsidP="00FD59F4">
            <w:pPr>
              <w:pStyle w:val="BodyText"/>
              <w:spacing w:before="0"/>
              <w:jc w:val="center"/>
              <w:rPr>
                <w:rFonts w:ascii="Verdana" w:hAnsi="Verdana"/>
                <w:b/>
                <w:sz w:val="16"/>
                <w:szCs w:val="16"/>
                <w:lang w:val="en-CA"/>
              </w:rPr>
            </w:pPr>
            <w:r w:rsidRPr="009758F1">
              <w:rPr>
                <w:rFonts w:ascii="Verdana" w:hAnsi="Verdana"/>
                <w:b/>
                <w:sz w:val="16"/>
                <w:szCs w:val="16"/>
                <w:lang w:val="en-CA"/>
              </w:rPr>
              <w:t>Purchase price per Security (CDN$)</w:t>
            </w:r>
          </w:p>
        </w:tc>
        <w:tc>
          <w:tcPr>
            <w:tcW w:w="1376" w:type="dxa"/>
            <w:shd w:val="clear" w:color="auto" w:fill="F2F2F2" w:themeFill="background1" w:themeFillShade="F2"/>
            <w:vAlign w:val="bottom"/>
          </w:tcPr>
          <w:p w14:paraId="0FACAF10" w14:textId="77777777" w:rsidR="007C2A26" w:rsidRPr="009758F1" w:rsidRDefault="00947AB3" w:rsidP="00FD59F4">
            <w:pPr>
              <w:pStyle w:val="BodyText"/>
              <w:spacing w:before="0"/>
              <w:jc w:val="center"/>
              <w:rPr>
                <w:rFonts w:ascii="Verdana" w:hAnsi="Verdana"/>
                <w:b/>
                <w:sz w:val="16"/>
                <w:szCs w:val="16"/>
                <w:lang w:val="en-CA"/>
              </w:rPr>
            </w:pPr>
            <w:r w:rsidRPr="009758F1">
              <w:rPr>
                <w:rFonts w:ascii="Verdana" w:hAnsi="Verdana"/>
                <w:b/>
                <w:sz w:val="16"/>
                <w:szCs w:val="16"/>
                <w:lang w:val="en-CA"/>
              </w:rPr>
              <w:t>Conversion</w:t>
            </w:r>
          </w:p>
          <w:p w14:paraId="6EC4BC3F" w14:textId="77777777" w:rsidR="007C2A26" w:rsidRPr="009758F1" w:rsidRDefault="00947AB3" w:rsidP="00FD59F4">
            <w:pPr>
              <w:pStyle w:val="BodyText"/>
              <w:spacing w:before="0"/>
              <w:jc w:val="center"/>
              <w:rPr>
                <w:rFonts w:ascii="Verdana" w:hAnsi="Verdana"/>
                <w:b/>
                <w:sz w:val="16"/>
                <w:szCs w:val="16"/>
                <w:lang w:val="en-CA"/>
              </w:rPr>
            </w:pPr>
            <w:r w:rsidRPr="009758F1">
              <w:rPr>
                <w:rFonts w:ascii="Verdana" w:hAnsi="Verdana"/>
                <w:b/>
                <w:sz w:val="16"/>
                <w:szCs w:val="16"/>
                <w:lang w:val="en-CA"/>
              </w:rPr>
              <w:t>Price (if</w:t>
            </w:r>
          </w:p>
          <w:p w14:paraId="0C76A903" w14:textId="77777777" w:rsidR="007C2A26" w:rsidRPr="009758F1" w:rsidRDefault="00947AB3" w:rsidP="00FD59F4">
            <w:pPr>
              <w:pStyle w:val="BodyText"/>
              <w:spacing w:before="0"/>
              <w:jc w:val="center"/>
              <w:rPr>
                <w:rFonts w:ascii="Verdana" w:hAnsi="Verdana"/>
                <w:b/>
                <w:sz w:val="16"/>
                <w:szCs w:val="16"/>
                <w:lang w:val="en-CA"/>
              </w:rPr>
            </w:pPr>
            <w:r w:rsidRPr="009758F1">
              <w:rPr>
                <w:rFonts w:ascii="Verdana" w:hAnsi="Verdana"/>
                <w:b/>
                <w:sz w:val="16"/>
                <w:szCs w:val="16"/>
                <w:lang w:val="en-CA"/>
              </w:rPr>
              <w:t>Applicable)</w:t>
            </w:r>
          </w:p>
        </w:tc>
        <w:tc>
          <w:tcPr>
            <w:tcW w:w="1376" w:type="dxa"/>
            <w:shd w:val="clear" w:color="auto" w:fill="F2F2F2" w:themeFill="background1" w:themeFillShade="F2"/>
            <w:vAlign w:val="bottom"/>
          </w:tcPr>
          <w:p w14:paraId="3F3E8FC3" w14:textId="77777777" w:rsidR="007C2A26" w:rsidRPr="00711A95" w:rsidRDefault="00947AB3" w:rsidP="00FD59F4">
            <w:pPr>
              <w:pStyle w:val="BodyText"/>
              <w:spacing w:before="0"/>
              <w:jc w:val="center"/>
              <w:rPr>
                <w:rFonts w:ascii="Verdana" w:hAnsi="Verdana"/>
                <w:b/>
                <w:sz w:val="16"/>
                <w:szCs w:val="16"/>
                <w:lang w:val="en-CA"/>
              </w:rPr>
            </w:pPr>
            <w:r w:rsidRPr="00711A95">
              <w:rPr>
                <w:rFonts w:ascii="Verdana" w:hAnsi="Verdana"/>
                <w:b/>
                <w:sz w:val="16"/>
                <w:szCs w:val="16"/>
                <w:lang w:val="en-CA"/>
              </w:rPr>
              <w:t>Prospectus Exemption</w:t>
            </w:r>
          </w:p>
        </w:tc>
        <w:tc>
          <w:tcPr>
            <w:tcW w:w="1494" w:type="dxa"/>
            <w:shd w:val="clear" w:color="auto" w:fill="F2F2F2" w:themeFill="background1" w:themeFillShade="F2"/>
            <w:vAlign w:val="bottom"/>
          </w:tcPr>
          <w:p w14:paraId="5E1E041B" w14:textId="77777777" w:rsidR="007C2A26" w:rsidRPr="00711A95" w:rsidRDefault="00947AB3" w:rsidP="00FD59F4">
            <w:pPr>
              <w:pStyle w:val="BodyText"/>
              <w:spacing w:before="0"/>
              <w:jc w:val="center"/>
              <w:rPr>
                <w:rFonts w:ascii="Verdana" w:hAnsi="Verdana"/>
                <w:b/>
                <w:sz w:val="16"/>
                <w:szCs w:val="16"/>
                <w:lang w:val="en-CA"/>
              </w:rPr>
            </w:pPr>
            <w:r w:rsidRPr="00711A95">
              <w:rPr>
                <w:rFonts w:ascii="Verdana" w:hAnsi="Verdana"/>
                <w:b/>
                <w:sz w:val="16"/>
                <w:szCs w:val="16"/>
              </w:rPr>
              <w:t>No. of Securities, directly or indirectly, Owned, Controlled or Directed</w:t>
            </w:r>
          </w:p>
        </w:tc>
        <w:tc>
          <w:tcPr>
            <w:tcW w:w="1258" w:type="dxa"/>
            <w:shd w:val="clear" w:color="auto" w:fill="F2F2F2" w:themeFill="background1" w:themeFillShade="F2"/>
            <w:vAlign w:val="bottom"/>
          </w:tcPr>
          <w:p w14:paraId="40905899" w14:textId="77777777" w:rsidR="007C2A26" w:rsidRPr="00711A95" w:rsidRDefault="00947AB3" w:rsidP="00FD59F4">
            <w:pPr>
              <w:pStyle w:val="BodyText"/>
              <w:spacing w:before="0"/>
              <w:jc w:val="center"/>
              <w:rPr>
                <w:rFonts w:ascii="Verdana" w:hAnsi="Verdana"/>
                <w:b/>
                <w:sz w:val="16"/>
                <w:szCs w:val="16"/>
                <w:lang w:val="en-CA"/>
              </w:rPr>
            </w:pPr>
            <w:r w:rsidRPr="00711A95">
              <w:rPr>
                <w:rFonts w:ascii="Verdana" w:hAnsi="Verdana"/>
                <w:b/>
                <w:sz w:val="16"/>
                <w:szCs w:val="16"/>
                <w:lang w:val="en-CA"/>
              </w:rPr>
              <w:t xml:space="preserve">Payment </w:t>
            </w:r>
            <w:proofErr w:type="gramStart"/>
            <w:r w:rsidRPr="00711A95">
              <w:rPr>
                <w:rFonts w:ascii="Verdana" w:hAnsi="Verdana"/>
                <w:b/>
                <w:sz w:val="16"/>
                <w:szCs w:val="16"/>
                <w:lang w:val="en-CA"/>
              </w:rPr>
              <w:t>Date(</w:t>
            </w:r>
            <w:proofErr w:type="gramEnd"/>
            <w:r w:rsidRPr="00711A95">
              <w:rPr>
                <w:rFonts w:ascii="Verdana" w:hAnsi="Verdana"/>
                <w:b/>
                <w:sz w:val="16"/>
                <w:szCs w:val="16"/>
                <w:lang w:val="en-CA"/>
              </w:rPr>
              <w:t>1)</w:t>
            </w:r>
          </w:p>
        </w:tc>
        <w:tc>
          <w:tcPr>
            <w:tcW w:w="1100" w:type="dxa"/>
            <w:shd w:val="clear" w:color="auto" w:fill="F2F2F2" w:themeFill="background1" w:themeFillShade="F2"/>
            <w:vAlign w:val="bottom"/>
          </w:tcPr>
          <w:p w14:paraId="7CA3C8C9" w14:textId="77777777" w:rsidR="007C2A26" w:rsidRPr="00711A95" w:rsidRDefault="00947AB3" w:rsidP="00FD59F4">
            <w:pPr>
              <w:pStyle w:val="BodyText"/>
              <w:spacing w:before="0"/>
              <w:jc w:val="center"/>
              <w:rPr>
                <w:rFonts w:ascii="Verdana" w:hAnsi="Verdana"/>
                <w:b/>
                <w:color w:val="000000"/>
                <w:sz w:val="16"/>
                <w:szCs w:val="16"/>
                <w:lang w:val="en-CA"/>
              </w:rPr>
            </w:pPr>
            <w:r w:rsidRPr="00711A95">
              <w:rPr>
                <w:rFonts w:ascii="Verdana" w:hAnsi="Verdana"/>
                <w:b/>
                <w:color w:val="000000"/>
                <w:sz w:val="16"/>
                <w:szCs w:val="16"/>
                <w:lang w:val="en-CA"/>
              </w:rPr>
              <w:t>Describe relations-hip to Issuer (2)</w:t>
            </w:r>
          </w:p>
        </w:tc>
      </w:tr>
      <w:tr w:rsidR="00DF7D9F" w14:paraId="030FADB4" w14:textId="77777777" w:rsidTr="00FD59F4">
        <w:trPr>
          <w:trHeight w:val="864"/>
        </w:trPr>
        <w:tc>
          <w:tcPr>
            <w:tcW w:w="1394" w:type="dxa"/>
          </w:tcPr>
          <w:p w14:paraId="5CAE4914" w14:textId="77777777" w:rsidR="007C2A26" w:rsidRPr="002E6583" w:rsidRDefault="005419DA" w:rsidP="00FD59F4">
            <w:pPr>
              <w:pStyle w:val="BodyText"/>
              <w:spacing w:before="0"/>
              <w:rPr>
                <w:color w:val="000000"/>
                <w:sz w:val="20"/>
                <w:lang w:val="en-CA"/>
              </w:rPr>
            </w:pPr>
          </w:p>
        </w:tc>
        <w:tc>
          <w:tcPr>
            <w:tcW w:w="1376" w:type="dxa"/>
          </w:tcPr>
          <w:p w14:paraId="253661EE" w14:textId="77777777" w:rsidR="007C2A26" w:rsidRPr="00AB72EB" w:rsidRDefault="005419DA" w:rsidP="00FD59F4">
            <w:pPr>
              <w:pStyle w:val="BodyText"/>
              <w:spacing w:before="0"/>
              <w:jc w:val="center"/>
              <w:rPr>
                <w:color w:val="000000"/>
                <w:sz w:val="20"/>
                <w:lang w:val="en-CA"/>
              </w:rPr>
            </w:pPr>
          </w:p>
        </w:tc>
        <w:tc>
          <w:tcPr>
            <w:tcW w:w="1192" w:type="dxa"/>
          </w:tcPr>
          <w:p w14:paraId="32579CE3" w14:textId="77777777" w:rsidR="007C2A26" w:rsidRPr="00AB72EB" w:rsidRDefault="005419DA" w:rsidP="00FD59F4">
            <w:pPr>
              <w:pStyle w:val="BodyText"/>
              <w:spacing w:before="0"/>
              <w:jc w:val="center"/>
              <w:rPr>
                <w:color w:val="000000"/>
                <w:sz w:val="20"/>
                <w:lang w:val="en-CA"/>
              </w:rPr>
            </w:pPr>
          </w:p>
        </w:tc>
        <w:tc>
          <w:tcPr>
            <w:tcW w:w="1376" w:type="dxa"/>
          </w:tcPr>
          <w:p w14:paraId="662A777F" w14:textId="77777777" w:rsidR="007C2A26" w:rsidRPr="00AB72EB" w:rsidRDefault="005419DA" w:rsidP="00FD59F4">
            <w:pPr>
              <w:pStyle w:val="BodyText"/>
              <w:spacing w:before="0"/>
              <w:jc w:val="center"/>
              <w:rPr>
                <w:color w:val="000000"/>
                <w:sz w:val="20"/>
                <w:lang w:val="en-CA"/>
              </w:rPr>
            </w:pPr>
          </w:p>
        </w:tc>
        <w:tc>
          <w:tcPr>
            <w:tcW w:w="1376" w:type="dxa"/>
          </w:tcPr>
          <w:p w14:paraId="06372479" w14:textId="77777777" w:rsidR="007C2A26" w:rsidRPr="00AB72EB" w:rsidRDefault="005419DA" w:rsidP="00FD59F4">
            <w:pPr>
              <w:pStyle w:val="BodyText"/>
              <w:spacing w:before="0"/>
              <w:jc w:val="center"/>
              <w:rPr>
                <w:color w:val="000000"/>
                <w:sz w:val="20"/>
                <w:lang w:val="en-CA"/>
              </w:rPr>
            </w:pPr>
          </w:p>
        </w:tc>
        <w:tc>
          <w:tcPr>
            <w:tcW w:w="1494" w:type="dxa"/>
          </w:tcPr>
          <w:p w14:paraId="0C7EE790" w14:textId="77777777" w:rsidR="007C2A26" w:rsidRPr="00824402" w:rsidRDefault="005419DA" w:rsidP="00FD59F4">
            <w:pPr>
              <w:rPr>
                <w:color w:val="000000"/>
                <w:lang w:val="en-CA"/>
              </w:rPr>
            </w:pPr>
          </w:p>
        </w:tc>
        <w:tc>
          <w:tcPr>
            <w:tcW w:w="1258" w:type="dxa"/>
          </w:tcPr>
          <w:p w14:paraId="7B863C3A" w14:textId="77777777" w:rsidR="007C2A26" w:rsidRPr="00AB72EB" w:rsidRDefault="005419DA" w:rsidP="00FD59F4">
            <w:pPr>
              <w:pStyle w:val="BodyText"/>
              <w:spacing w:before="0"/>
              <w:jc w:val="center"/>
              <w:rPr>
                <w:color w:val="000000"/>
                <w:sz w:val="20"/>
                <w:lang w:val="en-CA"/>
              </w:rPr>
            </w:pPr>
          </w:p>
        </w:tc>
        <w:tc>
          <w:tcPr>
            <w:tcW w:w="1100" w:type="dxa"/>
          </w:tcPr>
          <w:p w14:paraId="67C170C2" w14:textId="77777777" w:rsidR="007C2A26" w:rsidRPr="00AB72EB" w:rsidRDefault="005419DA" w:rsidP="00FD59F4">
            <w:pPr>
              <w:pStyle w:val="BodyText"/>
              <w:spacing w:before="0"/>
              <w:jc w:val="center"/>
              <w:rPr>
                <w:color w:val="000000"/>
                <w:sz w:val="20"/>
                <w:lang w:val="en-CA"/>
              </w:rPr>
            </w:pPr>
          </w:p>
        </w:tc>
      </w:tr>
    </w:tbl>
    <w:p w14:paraId="0B878319" w14:textId="77777777" w:rsidR="002D0CD8" w:rsidRDefault="005419DA" w:rsidP="002D0CD8">
      <w:pPr>
        <w:pStyle w:val="List"/>
        <w:spacing w:before="120"/>
        <w:ind w:left="720" w:firstLine="0"/>
        <w:jc w:val="both"/>
        <w:rPr>
          <w:rFonts w:ascii="Arial" w:hAnsi="Arial"/>
          <w:color w:val="000000"/>
        </w:rPr>
      </w:pPr>
    </w:p>
    <w:p w14:paraId="68BD0C1B" w14:textId="77777777" w:rsidR="00640E94" w:rsidRPr="004F3B90" w:rsidRDefault="00947AB3">
      <w:pPr>
        <w:pStyle w:val="List"/>
        <w:numPr>
          <w:ilvl w:val="0"/>
          <w:numId w:val="28"/>
        </w:numPr>
        <w:spacing w:before="120"/>
        <w:jc w:val="both"/>
        <w:rPr>
          <w:rFonts w:ascii="Arial" w:hAnsi="Arial"/>
          <w:b/>
        </w:rPr>
      </w:pPr>
      <w:r>
        <w:rPr>
          <w:rFonts w:ascii="Arial" w:hAnsi="Arial"/>
        </w:rPr>
        <w:t xml:space="preserve">Provide details of any securities issued and options or warrants granted. </w:t>
      </w:r>
    </w:p>
    <w:p w14:paraId="37865738" w14:textId="77777777" w:rsidR="00640E94" w:rsidRPr="00A3776A" w:rsidRDefault="005419DA">
      <w:pPr>
        <w:pStyle w:val="List"/>
        <w:spacing w:before="120"/>
        <w:ind w:left="0" w:firstLine="0"/>
        <w:jc w:val="both"/>
        <w:rPr>
          <w:rFonts w:ascii="Arial" w:hAnsi="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DF7D9F" w14:paraId="4932CFB0" w14:textId="77777777" w:rsidTr="00D56139">
        <w:tc>
          <w:tcPr>
            <w:tcW w:w="2394" w:type="dxa"/>
          </w:tcPr>
          <w:p w14:paraId="37CCCDB8" w14:textId="77777777" w:rsidR="00640E94" w:rsidRPr="000A3150" w:rsidRDefault="00947AB3">
            <w:pPr>
              <w:pStyle w:val="List"/>
              <w:tabs>
                <w:tab w:val="left" w:pos="360"/>
              </w:tabs>
              <w:spacing w:before="0" w:line="280" w:lineRule="exact"/>
              <w:ind w:left="0" w:firstLine="0"/>
              <w:jc w:val="center"/>
              <w:rPr>
                <w:rFonts w:ascii="Arial" w:hAnsi="Arial"/>
                <w:b/>
              </w:rPr>
            </w:pPr>
            <w:r w:rsidRPr="000A3150">
              <w:rPr>
                <w:rFonts w:ascii="Arial" w:hAnsi="Arial"/>
                <w:b/>
              </w:rPr>
              <w:t>Security</w:t>
            </w:r>
          </w:p>
        </w:tc>
        <w:tc>
          <w:tcPr>
            <w:tcW w:w="2394" w:type="dxa"/>
          </w:tcPr>
          <w:p w14:paraId="46FCE588" w14:textId="77777777" w:rsidR="00640E94" w:rsidRPr="000A3150" w:rsidRDefault="00947AB3">
            <w:pPr>
              <w:pStyle w:val="List"/>
              <w:tabs>
                <w:tab w:val="left" w:pos="360"/>
              </w:tabs>
              <w:spacing w:before="0" w:line="280" w:lineRule="exact"/>
              <w:ind w:left="0" w:firstLine="0"/>
              <w:jc w:val="center"/>
              <w:rPr>
                <w:rFonts w:ascii="Arial" w:hAnsi="Arial"/>
                <w:b/>
              </w:rPr>
            </w:pPr>
            <w:r w:rsidRPr="000A3150">
              <w:rPr>
                <w:rFonts w:ascii="Arial" w:hAnsi="Arial"/>
                <w:b/>
              </w:rPr>
              <w:t>Number Issued</w:t>
            </w:r>
          </w:p>
        </w:tc>
        <w:tc>
          <w:tcPr>
            <w:tcW w:w="2394" w:type="dxa"/>
          </w:tcPr>
          <w:p w14:paraId="6EFE7C81" w14:textId="77777777" w:rsidR="00640E94" w:rsidRPr="000A3150" w:rsidRDefault="00947AB3">
            <w:pPr>
              <w:pStyle w:val="List"/>
              <w:tabs>
                <w:tab w:val="left" w:pos="360"/>
              </w:tabs>
              <w:spacing w:before="0" w:line="280" w:lineRule="exact"/>
              <w:ind w:left="0" w:firstLine="0"/>
              <w:jc w:val="center"/>
              <w:rPr>
                <w:rFonts w:ascii="Arial" w:hAnsi="Arial"/>
                <w:b/>
              </w:rPr>
            </w:pPr>
            <w:r w:rsidRPr="000A3150">
              <w:rPr>
                <w:rFonts w:ascii="Arial" w:hAnsi="Arial"/>
                <w:b/>
              </w:rPr>
              <w:t>Details of Issuance</w:t>
            </w:r>
          </w:p>
        </w:tc>
        <w:tc>
          <w:tcPr>
            <w:tcW w:w="2394" w:type="dxa"/>
          </w:tcPr>
          <w:p w14:paraId="33FB427F" w14:textId="77777777" w:rsidR="00640E94" w:rsidRPr="000A3150" w:rsidRDefault="00947AB3">
            <w:pPr>
              <w:pStyle w:val="List"/>
              <w:tabs>
                <w:tab w:val="left" w:pos="360"/>
              </w:tabs>
              <w:spacing w:before="0" w:line="280" w:lineRule="exact"/>
              <w:ind w:left="0" w:firstLine="0"/>
              <w:jc w:val="center"/>
              <w:rPr>
                <w:rFonts w:ascii="Arial" w:hAnsi="Arial"/>
                <w:b/>
              </w:rPr>
            </w:pPr>
            <w:r w:rsidRPr="000A3150">
              <w:rPr>
                <w:rFonts w:ascii="Arial" w:hAnsi="Arial"/>
                <w:b/>
              </w:rPr>
              <w:t xml:space="preserve">Use of </w:t>
            </w:r>
            <w:proofErr w:type="gramStart"/>
            <w:r w:rsidRPr="000A3150">
              <w:rPr>
                <w:rFonts w:ascii="Arial" w:hAnsi="Arial"/>
                <w:b/>
              </w:rPr>
              <w:t>Proceeds</w:t>
            </w:r>
            <w:r w:rsidRPr="000A3150">
              <w:rPr>
                <w:rFonts w:ascii="Arial" w:hAnsi="Arial"/>
                <w:b/>
                <w:vertAlign w:val="superscript"/>
              </w:rPr>
              <w:t>(</w:t>
            </w:r>
            <w:proofErr w:type="gramEnd"/>
            <w:r w:rsidRPr="000A3150">
              <w:rPr>
                <w:rFonts w:ascii="Arial" w:hAnsi="Arial"/>
                <w:b/>
                <w:vertAlign w:val="superscript"/>
              </w:rPr>
              <w:t>1)</w:t>
            </w:r>
          </w:p>
        </w:tc>
      </w:tr>
      <w:tr w:rsidR="00DF7D9F" w14:paraId="176656CC" w14:textId="77777777" w:rsidTr="00D56139">
        <w:tc>
          <w:tcPr>
            <w:tcW w:w="2394" w:type="dxa"/>
          </w:tcPr>
          <w:p w14:paraId="3D566CB4" w14:textId="77777777" w:rsidR="00640E94" w:rsidRPr="000A3150" w:rsidRDefault="005419DA" w:rsidP="00DF7AD7">
            <w:pPr>
              <w:pStyle w:val="List"/>
              <w:tabs>
                <w:tab w:val="left" w:pos="360"/>
              </w:tabs>
              <w:spacing w:before="0" w:line="280" w:lineRule="exact"/>
              <w:ind w:left="0" w:firstLine="0"/>
              <w:jc w:val="both"/>
              <w:rPr>
                <w:rFonts w:ascii="Arial" w:hAnsi="Arial"/>
              </w:rPr>
            </w:pPr>
          </w:p>
        </w:tc>
        <w:tc>
          <w:tcPr>
            <w:tcW w:w="2394" w:type="dxa"/>
          </w:tcPr>
          <w:p w14:paraId="37950018" w14:textId="77777777" w:rsidR="00640E94" w:rsidRPr="000A3150" w:rsidRDefault="005419DA" w:rsidP="00DF7AD7">
            <w:pPr>
              <w:pStyle w:val="List"/>
              <w:tabs>
                <w:tab w:val="left" w:pos="360"/>
              </w:tabs>
              <w:spacing w:before="0" w:line="280" w:lineRule="exact"/>
              <w:ind w:left="0" w:firstLine="0"/>
              <w:jc w:val="center"/>
              <w:rPr>
                <w:rFonts w:ascii="Arial" w:hAnsi="Arial"/>
              </w:rPr>
            </w:pPr>
          </w:p>
        </w:tc>
        <w:tc>
          <w:tcPr>
            <w:tcW w:w="2394" w:type="dxa"/>
          </w:tcPr>
          <w:p w14:paraId="6A31763A" w14:textId="77777777" w:rsidR="00640E94" w:rsidRPr="000A3150" w:rsidRDefault="005419DA" w:rsidP="00DF7AD7">
            <w:pPr>
              <w:pStyle w:val="List"/>
              <w:tabs>
                <w:tab w:val="left" w:pos="360"/>
              </w:tabs>
              <w:spacing w:before="0" w:line="280" w:lineRule="exact"/>
              <w:ind w:left="0" w:firstLine="0"/>
              <w:jc w:val="both"/>
              <w:rPr>
                <w:rFonts w:ascii="Arial" w:hAnsi="Arial"/>
              </w:rPr>
            </w:pPr>
          </w:p>
        </w:tc>
        <w:tc>
          <w:tcPr>
            <w:tcW w:w="2394" w:type="dxa"/>
          </w:tcPr>
          <w:p w14:paraId="0691834A" w14:textId="77777777" w:rsidR="00640E94" w:rsidRPr="000A3150" w:rsidRDefault="005419DA">
            <w:pPr>
              <w:pStyle w:val="List"/>
              <w:tabs>
                <w:tab w:val="left" w:pos="360"/>
              </w:tabs>
              <w:spacing w:before="0" w:line="280" w:lineRule="exact"/>
              <w:ind w:left="0" w:firstLine="0"/>
              <w:jc w:val="both"/>
              <w:rPr>
                <w:rFonts w:ascii="Arial" w:hAnsi="Arial"/>
              </w:rPr>
            </w:pPr>
          </w:p>
        </w:tc>
      </w:tr>
      <w:tr w:rsidR="00DF7D9F" w14:paraId="5EDBAD3D" w14:textId="77777777" w:rsidTr="005C5273">
        <w:trPr>
          <w:trHeight w:val="913"/>
        </w:trPr>
        <w:tc>
          <w:tcPr>
            <w:tcW w:w="2394" w:type="dxa"/>
          </w:tcPr>
          <w:p w14:paraId="4C1C8A54" w14:textId="77777777" w:rsidR="00D56139" w:rsidRPr="00B61D36" w:rsidRDefault="005419DA" w:rsidP="00D56139">
            <w:pPr>
              <w:pStyle w:val="List"/>
              <w:tabs>
                <w:tab w:val="left" w:pos="360"/>
              </w:tabs>
              <w:spacing w:before="0" w:line="280" w:lineRule="exact"/>
              <w:ind w:left="0" w:firstLine="0"/>
              <w:jc w:val="both"/>
              <w:rPr>
                <w:rFonts w:ascii="Arial" w:hAnsi="Arial"/>
                <w:highlight w:val="yellow"/>
              </w:rPr>
            </w:pPr>
          </w:p>
        </w:tc>
        <w:tc>
          <w:tcPr>
            <w:tcW w:w="2394" w:type="dxa"/>
          </w:tcPr>
          <w:p w14:paraId="7DF39785" w14:textId="77777777" w:rsidR="00D56139" w:rsidRPr="00D74002" w:rsidRDefault="005419DA" w:rsidP="00D56139">
            <w:pPr>
              <w:pStyle w:val="List"/>
              <w:tabs>
                <w:tab w:val="left" w:pos="360"/>
              </w:tabs>
              <w:spacing w:before="0" w:line="280" w:lineRule="exact"/>
              <w:ind w:left="0" w:firstLine="0"/>
              <w:jc w:val="center"/>
              <w:rPr>
                <w:rFonts w:ascii="Arial" w:hAnsi="Arial"/>
              </w:rPr>
            </w:pPr>
          </w:p>
        </w:tc>
        <w:tc>
          <w:tcPr>
            <w:tcW w:w="2394" w:type="dxa"/>
          </w:tcPr>
          <w:p w14:paraId="0508D5D0" w14:textId="77777777" w:rsidR="00D56139" w:rsidRPr="00D74002" w:rsidRDefault="005419DA" w:rsidP="00D56139">
            <w:pPr>
              <w:pStyle w:val="List"/>
              <w:tabs>
                <w:tab w:val="left" w:pos="360"/>
              </w:tabs>
              <w:spacing w:before="0" w:line="280" w:lineRule="exact"/>
              <w:ind w:left="0" w:firstLine="0"/>
              <w:jc w:val="both"/>
              <w:rPr>
                <w:rFonts w:ascii="Arial" w:hAnsi="Arial"/>
              </w:rPr>
            </w:pPr>
          </w:p>
        </w:tc>
        <w:tc>
          <w:tcPr>
            <w:tcW w:w="2394" w:type="dxa"/>
          </w:tcPr>
          <w:p w14:paraId="3EFF2FDB" w14:textId="77777777" w:rsidR="00D56139" w:rsidRPr="00B61D36" w:rsidRDefault="005419DA" w:rsidP="00D56139">
            <w:pPr>
              <w:pStyle w:val="List"/>
              <w:tabs>
                <w:tab w:val="left" w:pos="360"/>
              </w:tabs>
              <w:spacing w:before="0" w:line="280" w:lineRule="exact"/>
              <w:ind w:left="0" w:firstLine="0"/>
              <w:jc w:val="both"/>
              <w:rPr>
                <w:rFonts w:ascii="Arial" w:hAnsi="Arial"/>
                <w:highlight w:val="yellow"/>
              </w:rPr>
            </w:pPr>
          </w:p>
        </w:tc>
      </w:tr>
      <w:tr w:rsidR="00DF7D9F" w14:paraId="1A7B27BC" w14:textId="77777777" w:rsidTr="00D56139">
        <w:tc>
          <w:tcPr>
            <w:tcW w:w="2394" w:type="dxa"/>
          </w:tcPr>
          <w:p w14:paraId="2C91DE58" w14:textId="77777777" w:rsidR="00D56139" w:rsidRDefault="005419DA" w:rsidP="00D56139">
            <w:pPr>
              <w:pStyle w:val="List"/>
              <w:tabs>
                <w:tab w:val="left" w:pos="360"/>
              </w:tabs>
              <w:spacing w:before="0" w:line="280" w:lineRule="exact"/>
              <w:ind w:left="0" w:firstLine="0"/>
              <w:jc w:val="both"/>
              <w:rPr>
                <w:rFonts w:ascii="Arial" w:hAnsi="Arial"/>
              </w:rPr>
            </w:pPr>
          </w:p>
        </w:tc>
        <w:tc>
          <w:tcPr>
            <w:tcW w:w="2394" w:type="dxa"/>
          </w:tcPr>
          <w:p w14:paraId="730B9FFF" w14:textId="77777777" w:rsidR="00D56139" w:rsidRDefault="005419DA" w:rsidP="00D56139">
            <w:pPr>
              <w:pStyle w:val="List"/>
              <w:tabs>
                <w:tab w:val="left" w:pos="360"/>
              </w:tabs>
              <w:spacing w:before="0" w:line="280" w:lineRule="exact"/>
              <w:ind w:left="0" w:firstLine="0"/>
              <w:jc w:val="center"/>
              <w:rPr>
                <w:rFonts w:ascii="Arial" w:hAnsi="Arial"/>
              </w:rPr>
            </w:pPr>
          </w:p>
        </w:tc>
        <w:tc>
          <w:tcPr>
            <w:tcW w:w="2394" w:type="dxa"/>
          </w:tcPr>
          <w:p w14:paraId="2005E529" w14:textId="77777777" w:rsidR="00D56139" w:rsidRDefault="005419DA" w:rsidP="00D56139">
            <w:pPr>
              <w:pStyle w:val="List"/>
              <w:tabs>
                <w:tab w:val="left" w:pos="360"/>
              </w:tabs>
              <w:spacing w:before="0" w:line="280" w:lineRule="exact"/>
              <w:ind w:left="0" w:firstLine="0"/>
              <w:jc w:val="both"/>
              <w:rPr>
                <w:rFonts w:ascii="Arial" w:hAnsi="Arial"/>
              </w:rPr>
            </w:pPr>
          </w:p>
        </w:tc>
        <w:tc>
          <w:tcPr>
            <w:tcW w:w="2394" w:type="dxa"/>
          </w:tcPr>
          <w:p w14:paraId="1D35228C" w14:textId="77777777" w:rsidR="00D56139" w:rsidRDefault="005419DA" w:rsidP="00D56139">
            <w:pPr>
              <w:pStyle w:val="List"/>
              <w:tabs>
                <w:tab w:val="left" w:pos="360"/>
              </w:tabs>
              <w:spacing w:before="0" w:line="280" w:lineRule="exact"/>
              <w:ind w:left="0" w:firstLine="0"/>
              <w:jc w:val="both"/>
              <w:rPr>
                <w:rFonts w:ascii="Arial" w:hAnsi="Arial"/>
              </w:rPr>
            </w:pPr>
          </w:p>
        </w:tc>
      </w:tr>
    </w:tbl>
    <w:p w14:paraId="01B006BB" w14:textId="77777777" w:rsidR="00640E94" w:rsidRDefault="00947AB3" w:rsidP="00E96864">
      <w:pPr>
        <w:pStyle w:val="List"/>
        <w:numPr>
          <w:ilvl w:val="0"/>
          <w:numId w:val="29"/>
        </w:numPr>
        <w:tabs>
          <w:tab w:val="left" w:pos="360"/>
        </w:tabs>
        <w:spacing w:before="120"/>
        <w:jc w:val="both"/>
        <w:rPr>
          <w:rFonts w:ascii="Arial" w:hAnsi="Arial"/>
          <w:b/>
        </w:rPr>
      </w:pPr>
      <w:r>
        <w:rPr>
          <w:rFonts w:ascii="Arial" w:hAnsi="Arial"/>
          <w:i/>
        </w:rPr>
        <w:t xml:space="preserve">State aggregate proceeds and intended allocation of proceeds. </w:t>
      </w:r>
      <w:r w:rsidRPr="008C24A0">
        <w:rPr>
          <w:rFonts w:ascii="Arial" w:hAnsi="Arial"/>
          <w:b/>
          <w:i/>
        </w:rPr>
        <w:t>N/A</w:t>
      </w:r>
      <w:r w:rsidRPr="008C24A0">
        <w:rPr>
          <w:rFonts w:ascii="Arial" w:hAnsi="Arial"/>
          <w:b/>
        </w:rPr>
        <w:t>.</w:t>
      </w:r>
    </w:p>
    <w:p w14:paraId="58FEE695" w14:textId="77777777" w:rsidR="00640E94" w:rsidRDefault="00947AB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5E0DA3E" w14:textId="77777777" w:rsidR="005E7B2A" w:rsidRPr="005E7B2A" w:rsidRDefault="00947AB3" w:rsidP="005E7B2A">
      <w:pPr>
        <w:pStyle w:val="List"/>
        <w:keepNext/>
        <w:keepLines/>
        <w:spacing w:before="120"/>
        <w:ind w:left="720" w:firstLine="0"/>
        <w:jc w:val="both"/>
        <w:rPr>
          <w:rFonts w:ascii="Arial" w:hAnsi="Arial"/>
          <w:b/>
        </w:rPr>
      </w:pPr>
      <w:r w:rsidRPr="005E7B2A">
        <w:rPr>
          <w:rFonts w:ascii="Arial" w:hAnsi="Arial"/>
          <w:b/>
        </w:rPr>
        <w:t>None</w:t>
      </w:r>
    </w:p>
    <w:p w14:paraId="5E214D85" w14:textId="77777777" w:rsidR="00640E94" w:rsidRDefault="00947AB3">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A7CEB8" w14:textId="77777777" w:rsidR="00F248CB" w:rsidRPr="00717945" w:rsidRDefault="00947AB3" w:rsidP="00F248CB">
      <w:pPr>
        <w:pStyle w:val="List"/>
        <w:spacing w:before="120"/>
        <w:ind w:left="720" w:firstLine="0"/>
        <w:jc w:val="both"/>
        <w:rPr>
          <w:rFonts w:ascii="Arial" w:hAnsi="Arial"/>
          <w:b/>
        </w:rPr>
      </w:pPr>
      <w:r w:rsidRPr="00717945">
        <w:rPr>
          <w:rFonts w:ascii="Arial" w:hAnsi="Arial"/>
          <w:b/>
        </w:rPr>
        <w:t>N/A</w:t>
      </w:r>
    </w:p>
    <w:p w14:paraId="46B235CC" w14:textId="77777777" w:rsidR="00640E94" w:rsidRDefault="00947AB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DC69B7E" w14:textId="77777777" w:rsidR="00C25401" w:rsidRPr="00C25401" w:rsidRDefault="00947AB3" w:rsidP="00C25401">
      <w:pPr>
        <w:pStyle w:val="BodyText"/>
        <w:ind w:left="720" w:right="11"/>
        <w:rPr>
          <w:rFonts w:ascii="Arial" w:hAnsi="Arial" w:cs="Arial"/>
          <w:b/>
          <w:szCs w:val="24"/>
        </w:rPr>
      </w:pPr>
      <w:r w:rsidRPr="00C25401">
        <w:rPr>
          <w:rFonts w:ascii="Arial" w:hAnsi="Arial" w:cs="Arial"/>
          <w:b/>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w:t>
      </w:r>
      <w:r w:rsidRPr="00C25401">
        <w:rPr>
          <w:rFonts w:ascii="Arial" w:hAnsi="Arial" w:cs="Arial"/>
          <w:b/>
          <w:szCs w:val="24"/>
        </w:rPr>
        <w:lastRenderedPageBreak/>
        <w:t xml:space="preserve">and </w:t>
      </w:r>
      <w:proofErr w:type="gramStart"/>
      <w:r w:rsidRPr="00C25401">
        <w:rPr>
          <w:rFonts w:ascii="Arial" w:hAnsi="Arial" w:cs="Arial"/>
          <w:b/>
          <w:szCs w:val="24"/>
        </w:rPr>
        <w:t>limitations, and</w:t>
      </w:r>
      <w:proofErr w:type="gramEnd"/>
      <w:r w:rsidRPr="00C25401">
        <w:rPr>
          <w:rFonts w:ascii="Arial" w:hAnsi="Arial" w:cs="Arial"/>
          <w:b/>
          <w:szCs w:val="24"/>
        </w:rPr>
        <w:t xml:space="preserve"> could have an adverse impact on the Resulting Issuer’s business, results of operations and/or financial condition. </w:t>
      </w:r>
    </w:p>
    <w:p w14:paraId="0747F616" w14:textId="77777777" w:rsidR="00C25401" w:rsidRPr="00C25401" w:rsidRDefault="00947AB3" w:rsidP="00C25401">
      <w:pPr>
        <w:pStyle w:val="BodyText"/>
        <w:ind w:left="720" w:right="11"/>
        <w:rPr>
          <w:rFonts w:ascii="Arial" w:hAnsi="Arial" w:cs="Arial"/>
          <w:b/>
          <w:szCs w:val="24"/>
          <w:lang w:eastAsia="en-CA"/>
        </w:rPr>
      </w:pPr>
      <w:r w:rsidRPr="00C25401">
        <w:rPr>
          <w:rFonts w:ascii="Arial" w:hAnsi="Arial" w:cs="Arial"/>
          <w:b/>
          <w:szCs w:val="24"/>
          <w:lang w:eastAsia="en-CA"/>
        </w:rPr>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14:paraId="6EB85E24" w14:textId="77777777" w:rsidR="00C25401" w:rsidRPr="00C25401" w:rsidRDefault="00947AB3" w:rsidP="00C25401">
      <w:pPr>
        <w:pStyle w:val="BodyText"/>
        <w:ind w:left="720"/>
        <w:rPr>
          <w:rFonts w:ascii="Arial" w:hAnsi="Arial" w:cs="Arial"/>
          <w:b/>
          <w:i/>
          <w:szCs w:val="24"/>
        </w:rPr>
      </w:pPr>
      <w:r w:rsidRPr="00C25401">
        <w:rPr>
          <w:rFonts w:ascii="Arial" w:hAnsi="Arial" w:cs="Arial"/>
          <w:b/>
          <w:szCs w:val="24"/>
        </w:rPr>
        <w:t xml:space="preserve">The Issuer endeavours to offset or mitigates these potentialities by ensuring they are working in concert with the appropriate legal counsel and regulatory bodies. The Resulting Issuer believes that at this time it </w:t>
      </w:r>
      <w:proofErr w:type="gramStart"/>
      <w:r w:rsidRPr="00C25401">
        <w:rPr>
          <w:rFonts w:ascii="Arial" w:hAnsi="Arial" w:cs="Arial"/>
          <w:b/>
          <w:szCs w:val="24"/>
        </w:rPr>
        <w:t>is in compliance with</w:t>
      </w:r>
      <w:proofErr w:type="gramEnd"/>
      <w:r w:rsidRPr="00C25401">
        <w:rPr>
          <w:rFonts w:ascii="Arial" w:hAnsi="Arial" w:cs="Arial"/>
          <w:b/>
          <w:szCs w:val="24"/>
        </w:rPr>
        <w:t xml:space="preserve"> all laws and regulations although many of the rules that apply to it have only recently been implemented, are complex and sometimes ambiguous and, accordingly, the Resulting Issuer cannot assure that it is in 100% compliance with all applicable</w:t>
      </w:r>
      <w:r w:rsidRPr="002F3ED7">
        <w:rPr>
          <w:rFonts w:ascii="Arial" w:hAnsi="Arial" w:cs="Arial"/>
          <w:szCs w:val="24"/>
        </w:rPr>
        <w:t xml:space="preserve"> </w:t>
      </w:r>
      <w:r w:rsidRPr="00C25401">
        <w:rPr>
          <w:rFonts w:ascii="Arial" w:hAnsi="Arial" w:cs="Arial"/>
          <w:b/>
          <w:szCs w:val="24"/>
        </w:rPr>
        <w:t xml:space="preserve">laws, much less that all courts, arbitrators and regulators would agree that it is in 100% compliance. </w:t>
      </w:r>
    </w:p>
    <w:p w14:paraId="3200751A" w14:textId="77777777" w:rsidR="00C25401" w:rsidRPr="00C25401" w:rsidRDefault="00947AB3" w:rsidP="00C25401">
      <w:pPr>
        <w:pStyle w:val="BodyText"/>
        <w:ind w:left="720" w:right="11"/>
        <w:rPr>
          <w:rFonts w:ascii="Arial" w:hAnsi="Arial" w:cs="Arial"/>
          <w:b/>
          <w:szCs w:val="24"/>
        </w:rPr>
      </w:pPr>
      <w:r w:rsidRPr="00C25401">
        <w:rPr>
          <w:rFonts w:ascii="Arial" w:hAnsi="Arial" w:cs="Arial"/>
          <w:b/>
          <w:szCs w:val="24"/>
          <w:lang w:val="en-CA"/>
        </w:rPr>
        <w:t xml:space="preserve">The market for payment processing is rapidly evolving and intensely competitive, and </w:t>
      </w:r>
      <w:r>
        <w:rPr>
          <w:rFonts w:ascii="Arial" w:hAnsi="Arial" w:cs="Arial"/>
          <w:b/>
          <w:szCs w:val="24"/>
          <w:lang w:val="en-CA"/>
        </w:rPr>
        <w:t>the Issuer</w:t>
      </w:r>
      <w:r w:rsidRPr="00C25401">
        <w:rPr>
          <w:rFonts w:ascii="Arial" w:hAnsi="Arial" w:cs="Arial"/>
          <w:b/>
          <w:szCs w:val="24"/>
          <w:lang w:val="en-CA"/>
        </w:rPr>
        <w:t xml:space="preserve"> expects competition to intensify further in the future. </w:t>
      </w:r>
      <w:r w:rsidRPr="00C25401">
        <w:rPr>
          <w:rFonts w:ascii="Arial" w:hAnsi="Arial" w:cs="Arial"/>
          <w:b/>
          <w:spacing w:val="-1"/>
          <w:szCs w:val="24"/>
        </w:rPr>
        <w:t>There</w:t>
      </w:r>
      <w:r w:rsidRPr="00C25401">
        <w:rPr>
          <w:rFonts w:ascii="Arial" w:hAnsi="Arial" w:cs="Arial"/>
          <w:b/>
          <w:szCs w:val="24"/>
        </w:rPr>
        <w:t xml:space="preserve"> </w:t>
      </w:r>
      <w:r w:rsidRPr="00C25401">
        <w:rPr>
          <w:rFonts w:ascii="Arial" w:hAnsi="Arial" w:cs="Arial"/>
          <w:b/>
          <w:spacing w:val="-1"/>
          <w:szCs w:val="24"/>
        </w:rPr>
        <w:t>is</w:t>
      </w:r>
      <w:r w:rsidRPr="00C25401">
        <w:rPr>
          <w:rFonts w:ascii="Arial" w:hAnsi="Arial" w:cs="Arial"/>
          <w:b/>
          <w:szCs w:val="24"/>
        </w:rPr>
        <w:t xml:space="preserve"> high </w:t>
      </w:r>
      <w:r w:rsidRPr="00C25401">
        <w:rPr>
          <w:rFonts w:ascii="Arial" w:hAnsi="Arial" w:cs="Arial"/>
          <w:b/>
          <w:spacing w:val="-1"/>
          <w:szCs w:val="24"/>
        </w:rPr>
        <w:t>potential</w:t>
      </w:r>
      <w:r w:rsidRPr="00C25401">
        <w:rPr>
          <w:rFonts w:ascii="Arial" w:hAnsi="Arial" w:cs="Arial"/>
          <w:b/>
          <w:spacing w:val="1"/>
          <w:szCs w:val="24"/>
        </w:rPr>
        <w:t xml:space="preserve"> </w:t>
      </w:r>
      <w:r w:rsidRPr="00C25401">
        <w:rPr>
          <w:rFonts w:ascii="Arial" w:hAnsi="Arial" w:cs="Arial"/>
          <w:b/>
          <w:spacing w:val="-1"/>
          <w:szCs w:val="24"/>
        </w:rPr>
        <w:t>th</w:t>
      </w:r>
      <w:r>
        <w:rPr>
          <w:rFonts w:ascii="Arial" w:hAnsi="Arial" w:cs="Arial"/>
          <w:b/>
          <w:spacing w:val="-1"/>
          <w:szCs w:val="24"/>
        </w:rPr>
        <w:t>e Issuer</w:t>
      </w:r>
      <w:r w:rsidRPr="00C25401">
        <w:rPr>
          <w:rFonts w:ascii="Arial" w:hAnsi="Arial" w:cs="Arial"/>
          <w:b/>
          <w:spacing w:val="27"/>
          <w:szCs w:val="24"/>
        </w:rPr>
        <w:t xml:space="preserve"> </w:t>
      </w:r>
      <w:r w:rsidRPr="00C25401">
        <w:rPr>
          <w:rFonts w:ascii="Arial" w:hAnsi="Arial" w:cs="Arial"/>
          <w:b/>
          <w:spacing w:val="-1"/>
          <w:szCs w:val="24"/>
        </w:rPr>
        <w:t>will</w:t>
      </w:r>
      <w:r w:rsidRPr="00C25401">
        <w:rPr>
          <w:rFonts w:ascii="Arial" w:hAnsi="Arial" w:cs="Arial"/>
          <w:b/>
          <w:spacing w:val="1"/>
          <w:szCs w:val="24"/>
        </w:rPr>
        <w:t xml:space="preserve"> </w:t>
      </w:r>
      <w:r w:rsidRPr="00C25401">
        <w:rPr>
          <w:rFonts w:ascii="Arial" w:hAnsi="Arial" w:cs="Arial"/>
          <w:b/>
          <w:spacing w:val="-1"/>
          <w:szCs w:val="24"/>
        </w:rPr>
        <w:t>face</w:t>
      </w:r>
      <w:r w:rsidRPr="00C25401">
        <w:rPr>
          <w:rFonts w:ascii="Arial" w:hAnsi="Arial" w:cs="Arial"/>
          <w:b/>
          <w:spacing w:val="1"/>
          <w:szCs w:val="24"/>
        </w:rPr>
        <w:t xml:space="preserve"> </w:t>
      </w:r>
      <w:r w:rsidRPr="00C25401">
        <w:rPr>
          <w:rFonts w:ascii="Arial" w:hAnsi="Arial" w:cs="Arial"/>
          <w:b/>
          <w:spacing w:val="-1"/>
          <w:szCs w:val="24"/>
        </w:rPr>
        <w:t>competition</w:t>
      </w:r>
      <w:r w:rsidRPr="00C25401">
        <w:rPr>
          <w:rFonts w:ascii="Arial" w:hAnsi="Arial" w:cs="Arial"/>
          <w:b/>
          <w:szCs w:val="24"/>
        </w:rPr>
        <w:t xml:space="preserve"> </w:t>
      </w:r>
      <w:r w:rsidRPr="00C25401">
        <w:rPr>
          <w:rFonts w:ascii="Arial" w:hAnsi="Arial" w:cs="Arial"/>
          <w:b/>
          <w:spacing w:val="-2"/>
          <w:szCs w:val="24"/>
        </w:rPr>
        <w:t>from</w:t>
      </w:r>
      <w:r w:rsidRPr="00C25401">
        <w:rPr>
          <w:rFonts w:ascii="Arial" w:hAnsi="Arial" w:cs="Arial"/>
          <w:b/>
          <w:spacing w:val="-1"/>
          <w:szCs w:val="24"/>
        </w:rPr>
        <w:t xml:space="preserve"> other</w:t>
      </w:r>
      <w:r w:rsidRPr="00C25401">
        <w:rPr>
          <w:rFonts w:ascii="Arial" w:hAnsi="Arial" w:cs="Arial"/>
          <w:b/>
          <w:spacing w:val="1"/>
          <w:szCs w:val="24"/>
        </w:rPr>
        <w:t xml:space="preserve"> </w:t>
      </w:r>
      <w:r w:rsidRPr="00C25401">
        <w:rPr>
          <w:rFonts w:ascii="Arial" w:hAnsi="Arial" w:cs="Arial"/>
          <w:b/>
          <w:spacing w:val="-1"/>
          <w:szCs w:val="24"/>
        </w:rPr>
        <w:t>companies,</w:t>
      </w:r>
      <w:r w:rsidRPr="00C25401">
        <w:rPr>
          <w:rFonts w:ascii="Arial" w:hAnsi="Arial" w:cs="Arial"/>
          <w:b/>
          <w:spacing w:val="1"/>
          <w:szCs w:val="24"/>
        </w:rPr>
        <w:t xml:space="preserve"> </w:t>
      </w:r>
      <w:r w:rsidRPr="00C25401">
        <w:rPr>
          <w:rFonts w:ascii="Arial" w:hAnsi="Arial" w:cs="Arial"/>
          <w:b/>
          <w:spacing w:val="-1"/>
          <w:szCs w:val="24"/>
        </w:rPr>
        <w:t>some</w:t>
      </w:r>
      <w:r w:rsidRPr="00C25401">
        <w:rPr>
          <w:rFonts w:ascii="Arial" w:hAnsi="Arial" w:cs="Arial"/>
          <w:b/>
          <w:spacing w:val="1"/>
          <w:szCs w:val="24"/>
        </w:rPr>
        <w:t xml:space="preserve"> </w:t>
      </w:r>
      <w:r w:rsidRPr="00C25401">
        <w:rPr>
          <w:rFonts w:ascii="Arial" w:hAnsi="Arial" w:cs="Arial"/>
          <w:b/>
          <w:spacing w:val="-1"/>
          <w:szCs w:val="24"/>
        </w:rPr>
        <w:t>of</w:t>
      </w:r>
      <w:r w:rsidRPr="00C25401">
        <w:rPr>
          <w:rFonts w:ascii="Arial" w:hAnsi="Arial" w:cs="Arial"/>
          <w:b/>
          <w:szCs w:val="24"/>
        </w:rPr>
        <w:t xml:space="preserve"> </w:t>
      </w:r>
      <w:r w:rsidRPr="00C25401">
        <w:rPr>
          <w:rFonts w:ascii="Arial" w:hAnsi="Arial" w:cs="Arial"/>
          <w:b/>
          <w:spacing w:val="-1"/>
          <w:szCs w:val="24"/>
        </w:rPr>
        <w:t>which</w:t>
      </w:r>
      <w:r w:rsidRPr="00C25401">
        <w:rPr>
          <w:rFonts w:ascii="Arial" w:hAnsi="Arial" w:cs="Arial"/>
          <w:b/>
          <w:spacing w:val="1"/>
          <w:szCs w:val="24"/>
        </w:rPr>
        <w:t xml:space="preserve"> </w:t>
      </w:r>
      <w:r w:rsidRPr="00C25401">
        <w:rPr>
          <w:rFonts w:ascii="Arial" w:hAnsi="Arial" w:cs="Arial"/>
          <w:b/>
          <w:spacing w:val="-1"/>
          <w:szCs w:val="24"/>
        </w:rPr>
        <w:t>can</w:t>
      </w:r>
      <w:r w:rsidRPr="00C25401">
        <w:rPr>
          <w:rFonts w:ascii="Arial" w:hAnsi="Arial" w:cs="Arial"/>
          <w:b/>
          <w:szCs w:val="24"/>
        </w:rPr>
        <w:t xml:space="preserve"> </w:t>
      </w:r>
      <w:r w:rsidRPr="00C25401">
        <w:rPr>
          <w:rFonts w:ascii="Arial" w:hAnsi="Arial" w:cs="Arial"/>
          <w:b/>
          <w:spacing w:val="-1"/>
          <w:szCs w:val="24"/>
        </w:rPr>
        <w:t>be</w:t>
      </w:r>
      <w:r w:rsidRPr="00C25401">
        <w:rPr>
          <w:rFonts w:ascii="Arial" w:hAnsi="Arial" w:cs="Arial"/>
          <w:b/>
          <w:spacing w:val="1"/>
          <w:szCs w:val="24"/>
        </w:rPr>
        <w:t xml:space="preserve"> </w:t>
      </w:r>
      <w:r w:rsidRPr="00C25401">
        <w:rPr>
          <w:rFonts w:ascii="Arial" w:hAnsi="Arial" w:cs="Arial"/>
          <w:b/>
          <w:spacing w:val="-1"/>
          <w:szCs w:val="24"/>
        </w:rPr>
        <w:t>expected</w:t>
      </w:r>
      <w:r w:rsidRPr="00C25401">
        <w:rPr>
          <w:rFonts w:ascii="Arial" w:hAnsi="Arial" w:cs="Arial"/>
          <w:b/>
          <w:spacing w:val="1"/>
          <w:szCs w:val="24"/>
        </w:rPr>
        <w:t xml:space="preserve"> </w:t>
      </w:r>
      <w:r w:rsidRPr="00C25401">
        <w:rPr>
          <w:rFonts w:ascii="Arial" w:hAnsi="Arial" w:cs="Arial"/>
          <w:b/>
          <w:spacing w:val="-1"/>
          <w:szCs w:val="24"/>
        </w:rPr>
        <w:t>to</w:t>
      </w:r>
      <w:r w:rsidRPr="00C25401">
        <w:rPr>
          <w:rFonts w:ascii="Arial" w:hAnsi="Arial" w:cs="Arial"/>
          <w:b/>
          <w:spacing w:val="27"/>
          <w:szCs w:val="24"/>
        </w:rPr>
        <w:t xml:space="preserve"> </w:t>
      </w:r>
      <w:r w:rsidRPr="00C25401">
        <w:rPr>
          <w:rFonts w:ascii="Arial" w:hAnsi="Arial" w:cs="Arial"/>
          <w:b/>
          <w:szCs w:val="24"/>
        </w:rPr>
        <w:t>have</w:t>
      </w:r>
      <w:r w:rsidRPr="00C25401">
        <w:rPr>
          <w:rFonts w:ascii="Arial" w:hAnsi="Arial" w:cs="Arial"/>
          <w:b/>
          <w:spacing w:val="41"/>
          <w:szCs w:val="24"/>
        </w:rPr>
        <w:t xml:space="preserve"> </w:t>
      </w:r>
      <w:r w:rsidRPr="00C25401">
        <w:rPr>
          <w:rFonts w:ascii="Arial" w:hAnsi="Arial" w:cs="Arial"/>
          <w:b/>
          <w:spacing w:val="-1"/>
          <w:szCs w:val="24"/>
        </w:rPr>
        <w:t>longer</w:t>
      </w:r>
      <w:r w:rsidRPr="00C25401">
        <w:rPr>
          <w:rFonts w:ascii="Arial" w:hAnsi="Arial" w:cs="Arial"/>
          <w:b/>
          <w:spacing w:val="40"/>
          <w:szCs w:val="24"/>
        </w:rPr>
        <w:t xml:space="preserve"> </w:t>
      </w:r>
      <w:r w:rsidRPr="00C25401">
        <w:rPr>
          <w:rFonts w:ascii="Arial" w:hAnsi="Arial" w:cs="Arial"/>
          <w:b/>
          <w:spacing w:val="-1"/>
          <w:szCs w:val="24"/>
        </w:rPr>
        <w:t>operating</w:t>
      </w:r>
      <w:r w:rsidRPr="00C25401">
        <w:rPr>
          <w:rFonts w:ascii="Arial" w:hAnsi="Arial" w:cs="Arial"/>
          <w:b/>
          <w:spacing w:val="41"/>
          <w:szCs w:val="24"/>
        </w:rPr>
        <w:t xml:space="preserve"> </w:t>
      </w:r>
      <w:r w:rsidRPr="00C25401">
        <w:rPr>
          <w:rFonts w:ascii="Arial" w:hAnsi="Arial" w:cs="Arial"/>
          <w:b/>
          <w:spacing w:val="-1"/>
          <w:szCs w:val="24"/>
        </w:rPr>
        <w:t>histories</w:t>
      </w:r>
      <w:r w:rsidRPr="00C25401">
        <w:rPr>
          <w:rFonts w:ascii="Arial" w:hAnsi="Arial" w:cs="Arial"/>
          <w:b/>
          <w:spacing w:val="41"/>
          <w:szCs w:val="24"/>
        </w:rPr>
        <w:t xml:space="preserve"> </w:t>
      </w:r>
      <w:r w:rsidRPr="00C25401">
        <w:rPr>
          <w:rFonts w:ascii="Arial" w:hAnsi="Arial" w:cs="Arial"/>
          <w:b/>
          <w:szCs w:val="24"/>
        </w:rPr>
        <w:t>and</w:t>
      </w:r>
      <w:r w:rsidRPr="00C25401">
        <w:rPr>
          <w:rFonts w:ascii="Arial" w:hAnsi="Arial" w:cs="Arial"/>
          <w:b/>
          <w:spacing w:val="41"/>
          <w:szCs w:val="24"/>
        </w:rPr>
        <w:t xml:space="preserve"> </w:t>
      </w:r>
      <w:r w:rsidRPr="00C25401">
        <w:rPr>
          <w:rFonts w:ascii="Arial" w:hAnsi="Arial" w:cs="Arial"/>
          <w:b/>
          <w:spacing w:val="-1"/>
          <w:szCs w:val="24"/>
        </w:rPr>
        <w:t>more</w:t>
      </w:r>
      <w:r w:rsidRPr="00C25401">
        <w:rPr>
          <w:rFonts w:ascii="Arial" w:hAnsi="Arial" w:cs="Arial"/>
          <w:b/>
          <w:spacing w:val="41"/>
          <w:szCs w:val="24"/>
        </w:rPr>
        <w:t xml:space="preserve"> </w:t>
      </w:r>
      <w:r w:rsidRPr="00C25401">
        <w:rPr>
          <w:rFonts w:ascii="Arial" w:hAnsi="Arial" w:cs="Arial"/>
          <w:b/>
          <w:spacing w:val="-1"/>
          <w:szCs w:val="24"/>
        </w:rPr>
        <w:t>financial</w:t>
      </w:r>
      <w:r w:rsidRPr="00C25401">
        <w:rPr>
          <w:rFonts w:ascii="Arial" w:hAnsi="Arial" w:cs="Arial"/>
          <w:b/>
          <w:spacing w:val="40"/>
          <w:szCs w:val="24"/>
        </w:rPr>
        <w:t xml:space="preserve"> </w:t>
      </w:r>
      <w:r w:rsidRPr="00C25401">
        <w:rPr>
          <w:rFonts w:ascii="Arial" w:hAnsi="Arial" w:cs="Arial"/>
          <w:b/>
          <w:spacing w:val="-1"/>
          <w:szCs w:val="24"/>
        </w:rPr>
        <w:t>resources</w:t>
      </w:r>
      <w:r w:rsidRPr="00C25401">
        <w:rPr>
          <w:rFonts w:ascii="Arial" w:hAnsi="Arial" w:cs="Arial"/>
          <w:b/>
          <w:spacing w:val="41"/>
          <w:szCs w:val="24"/>
        </w:rPr>
        <w:t xml:space="preserve"> </w:t>
      </w:r>
      <w:r w:rsidRPr="00C25401">
        <w:rPr>
          <w:rFonts w:ascii="Arial" w:hAnsi="Arial" w:cs="Arial"/>
          <w:b/>
          <w:spacing w:val="-1"/>
          <w:szCs w:val="24"/>
        </w:rPr>
        <w:t>and</w:t>
      </w:r>
      <w:r w:rsidRPr="00C25401">
        <w:rPr>
          <w:rFonts w:ascii="Arial" w:hAnsi="Arial" w:cs="Arial"/>
          <w:b/>
          <w:spacing w:val="41"/>
          <w:szCs w:val="24"/>
        </w:rPr>
        <w:t xml:space="preserve"> </w:t>
      </w:r>
      <w:r w:rsidRPr="00C25401">
        <w:rPr>
          <w:rFonts w:ascii="Arial" w:hAnsi="Arial" w:cs="Arial"/>
          <w:b/>
          <w:spacing w:val="-1"/>
          <w:szCs w:val="24"/>
        </w:rPr>
        <w:t>marketing</w:t>
      </w:r>
      <w:r w:rsidRPr="00C25401">
        <w:rPr>
          <w:rFonts w:ascii="Arial" w:hAnsi="Arial" w:cs="Arial"/>
          <w:b/>
          <w:spacing w:val="41"/>
          <w:szCs w:val="24"/>
        </w:rPr>
        <w:t xml:space="preserve"> </w:t>
      </w:r>
      <w:r w:rsidRPr="00C25401">
        <w:rPr>
          <w:rFonts w:ascii="Arial" w:hAnsi="Arial" w:cs="Arial"/>
          <w:b/>
          <w:spacing w:val="-1"/>
          <w:szCs w:val="24"/>
        </w:rPr>
        <w:t>experience</w:t>
      </w:r>
      <w:r>
        <w:rPr>
          <w:rFonts w:ascii="Arial" w:hAnsi="Arial" w:cs="Arial"/>
          <w:b/>
          <w:spacing w:val="-1"/>
          <w:szCs w:val="24"/>
        </w:rPr>
        <w:t>.</w:t>
      </w:r>
      <w:r w:rsidRPr="00C25401">
        <w:rPr>
          <w:rFonts w:ascii="Arial" w:hAnsi="Arial" w:cs="Arial"/>
          <w:b/>
          <w:spacing w:val="3"/>
          <w:szCs w:val="24"/>
        </w:rPr>
        <w:t xml:space="preserve"> </w:t>
      </w:r>
      <w:r w:rsidRPr="00C25401">
        <w:rPr>
          <w:rFonts w:ascii="Arial" w:hAnsi="Arial" w:cs="Arial"/>
          <w:b/>
          <w:spacing w:val="-1"/>
          <w:szCs w:val="24"/>
        </w:rPr>
        <w:t>Increased</w:t>
      </w:r>
      <w:r w:rsidRPr="00C25401">
        <w:rPr>
          <w:rFonts w:ascii="Arial" w:hAnsi="Arial" w:cs="Arial"/>
          <w:b/>
          <w:spacing w:val="5"/>
          <w:szCs w:val="24"/>
        </w:rPr>
        <w:t xml:space="preserve"> </w:t>
      </w:r>
      <w:r w:rsidRPr="00C25401">
        <w:rPr>
          <w:rFonts w:ascii="Arial" w:hAnsi="Arial" w:cs="Arial"/>
          <w:b/>
          <w:spacing w:val="-1"/>
          <w:szCs w:val="24"/>
        </w:rPr>
        <w:t>competition</w:t>
      </w:r>
      <w:r w:rsidRPr="00C25401">
        <w:rPr>
          <w:rFonts w:ascii="Arial" w:hAnsi="Arial" w:cs="Arial"/>
          <w:b/>
          <w:spacing w:val="5"/>
          <w:szCs w:val="24"/>
        </w:rPr>
        <w:t xml:space="preserve"> </w:t>
      </w:r>
      <w:r w:rsidRPr="00C25401">
        <w:rPr>
          <w:rFonts w:ascii="Arial" w:hAnsi="Arial" w:cs="Arial"/>
          <w:b/>
          <w:szCs w:val="24"/>
        </w:rPr>
        <w:t>by</w:t>
      </w:r>
      <w:r w:rsidRPr="00C25401">
        <w:rPr>
          <w:rFonts w:ascii="Arial" w:hAnsi="Arial" w:cs="Arial"/>
          <w:b/>
          <w:spacing w:val="5"/>
          <w:szCs w:val="24"/>
        </w:rPr>
        <w:t xml:space="preserve"> </w:t>
      </w:r>
      <w:r w:rsidRPr="00C25401">
        <w:rPr>
          <w:rFonts w:ascii="Arial" w:hAnsi="Arial" w:cs="Arial"/>
          <w:b/>
          <w:spacing w:val="-1"/>
          <w:szCs w:val="24"/>
        </w:rPr>
        <w:t>larger</w:t>
      </w:r>
      <w:r w:rsidRPr="00C25401">
        <w:rPr>
          <w:rFonts w:ascii="Arial" w:hAnsi="Arial" w:cs="Arial"/>
          <w:b/>
          <w:spacing w:val="5"/>
          <w:szCs w:val="24"/>
        </w:rPr>
        <w:t xml:space="preserve"> </w:t>
      </w:r>
      <w:r w:rsidRPr="00C25401">
        <w:rPr>
          <w:rFonts w:ascii="Arial" w:hAnsi="Arial" w:cs="Arial"/>
          <w:b/>
          <w:szCs w:val="24"/>
        </w:rPr>
        <w:t>and</w:t>
      </w:r>
      <w:r w:rsidRPr="00C25401">
        <w:rPr>
          <w:rFonts w:ascii="Arial" w:hAnsi="Arial" w:cs="Arial"/>
          <w:b/>
          <w:spacing w:val="5"/>
          <w:szCs w:val="24"/>
        </w:rPr>
        <w:t xml:space="preserve"> </w:t>
      </w:r>
      <w:r w:rsidRPr="00C25401">
        <w:rPr>
          <w:rFonts w:ascii="Arial" w:hAnsi="Arial" w:cs="Arial"/>
          <w:b/>
          <w:szCs w:val="24"/>
        </w:rPr>
        <w:t>better</w:t>
      </w:r>
      <w:r w:rsidRPr="00C25401">
        <w:rPr>
          <w:rFonts w:ascii="Arial" w:hAnsi="Arial" w:cs="Arial"/>
          <w:b/>
          <w:spacing w:val="5"/>
          <w:szCs w:val="24"/>
        </w:rPr>
        <w:t xml:space="preserve"> </w:t>
      </w:r>
      <w:r w:rsidRPr="00C25401">
        <w:rPr>
          <w:rFonts w:ascii="Arial" w:hAnsi="Arial" w:cs="Arial"/>
          <w:b/>
          <w:spacing w:val="-1"/>
          <w:szCs w:val="24"/>
        </w:rPr>
        <w:t>financed</w:t>
      </w:r>
      <w:r w:rsidRPr="00C25401">
        <w:rPr>
          <w:rFonts w:ascii="Arial" w:hAnsi="Arial" w:cs="Arial"/>
          <w:b/>
          <w:spacing w:val="5"/>
          <w:szCs w:val="24"/>
        </w:rPr>
        <w:t xml:space="preserve"> </w:t>
      </w:r>
      <w:r w:rsidRPr="00C25401">
        <w:rPr>
          <w:rFonts w:ascii="Arial" w:hAnsi="Arial" w:cs="Arial"/>
          <w:b/>
          <w:spacing w:val="-1"/>
          <w:szCs w:val="24"/>
        </w:rPr>
        <w:t>competitors</w:t>
      </w:r>
      <w:r w:rsidRPr="00C25401">
        <w:rPr>
          <w:rFonts w:ascii="Arial" w:hAnsi="Arial" w:cs="Arial"/>
          <w:b/>
          <w:spacing w:val="5"/>
          <w:szCs w:val="24"/>
        </w:rPr>
        <w:t xml:space="preserve"> </w:t>
      </w:r>
      <w:r w:rsidRPr="00C25401">
        <w:rPr>
          <w:rFonts w:ascii="Arial" w:hAnsi="Arial" w:cs="Arial"/>
          <w:b/>
          <w:spacing w:val="-1"/>
          <w:szCs w:val="24"/>
        </w:rPr>
        <w:t>could</w:t>
      </w:r>
      <w:r w:rsidRPr="00C25401">
        <w:rPr>
          <w:rFonts w:ascii="Arial" w:hAnsi="Arial" w:cs="Arial"/>
          <w:b/>
          <w:spacing w:val="85"/>
          <w:szCs w:val="24"/>
        </w:rPr>
        <w:t xml:space="preserve"> </w:t>
      </w:r>
      <w:r w:rsidRPr="00C25401">
        <w:rPr>
          <w:rFonts w:ascii="Arial" w:hAnsi="Arial" w:cs="Arial"/>
          <w:b/>
          <w:spacing w:val="-1"/>
          <w:szCs w:val="24"/>
        </w:rPr>
        <w:t xml:space="preserve">materially </w:t>
      </w:r>
      <w:r w:rsidRPr="00C25401">
        <w:rPr>
          <w:rFonts w:ascii="Arial" w:hAnsi="Arial" w:cs="Arial"/>
          <w:b/>
          <w:szCs w:val="24"/>
        </w:rPr>
        <w:t>and</w:t>
      </w:r>
      <w:r w:rsidRPr="00C25401">
        <w:rPr>
          <w:rFonts w:ascii="Arial" w:hAnsi="Arial" w:cs="Arial"/>
          <w:b/>
          <w:spacing w:val="-1"/>
          <w:szCs w:val="24"/>
        </w:rPr>
        <w:t xml:space="preserve"> adversely affect the</w:t>
      </w:r>
      <w:r w:rsidRPr="00C25401">
        <w:rPr>
          <w:rFonts w:ascii="Arial" w:hAnsi="Arial" w:cs="Arial"/>
          <w:b/>
          <w:szCs w:val="24"/>
        </w:rPr>
        <w:t xml:space="preserve"> </w:t>
      </w:r>
      <w:r w:rsidRPr="00C25401">
        <w:rPr>
          <w:rFonts w:ascii="Arial" w:hAnsi="Arial" w:cs="Arial"/>
          <w:b/>
          <w:spacing w:val="-1"/>
          <w:szCs w:val="24"/>
        </w:rPr>
        <w:t>business,</w:t>
      </w:r>
      <w:r w:rsidRPr="00C25401">
        <w:rPr>
          <w:rFonts w:ascii="Arial" w:hAnsi="Arial" w:cs="Arial"/>
          <w:b/>
          <w:spacing w:val="-2"/>
          <w:szCs w:val="24"/>
        </w:rPr>
        <w:t xml:space="preserve"> </w:t>
      </w:r>
      <w:r w:rsidRPr="00C25401">
        <w:rPr>
          <w:rFonts w:ascii="Arial" w:hAnsi="Arial" w:cs="Arial"/>
          <w:b/>
          <w:spacing w:val="-1"/>
          <w:szCs w:val="24"/>
        </w:rPr>
        <w:t>financial condition</w:t>
      </w:r>
      <w:r w:rsidRPr="00C25401">
        <w:rPr>
          <w:rFonts w:ascii="Arial" w:hAnsi="Arial" w:cs="Arial"/>
          <w:b/>
          <w:szCs w:val="24"/>
        </w:rPr>
        <w:t xml:space="preserve"> </w:t>
      </w:r>
      <w:r w:rsidRPr="00C25401">
        <w:rPr>
          <w:rFonts w:ascii="Arial" w:hAnsi="Arial" w:cs="Arial"/>
          <w:b/>
          <w:spacing w:val="-1"/>
          <w:szCs w:val="24"/>
        </w:rPr>
        <w:t xml:space="preserve">and results of operations </w:t>
      </w:r>
      <w:r w:rsidRPr="00C25401">
        <w:rPr>
          <w:rFonts w:ascii="Arial" w:hAnsi="Arial" w:cs="Arial"/>
          <w:b/>
          <w:szCs w:val="24"/>
        </w:rPr>
        <w:t>of</w:t>
      </w:r>
      <w:r w:rsidRPr="00C25401">
        <w:rPr>
          <w:rFonts w:ascii="Arial" w:hAnsi="Arial" w:cs="Arial"/>
          <w:b/>
          <w:spacing w:val="-1"/>
          <w:szCs w:val="24"/>
        </w:rPr>
        <w:t xml:space="preserve"> </w:t>
      </w:r>
      <w:r>
        <w:rPr>
          <w:rFonts w:ascii="Arial" w:hAnsi="Arial" w:cs="Arial"/>
          <w:b/>
          <w:spacing w:val="-1"/>
          <w:szCs w:val="24"/>
        </w:rPr>
        <w:t xml:space="preserve">the Issuer. </w:t>
      </w:r>
    </w:p>
    <w:p w14:paraId="5699412F" w14:textId="77777777" w:rsidR="00C25401" w:rsidRDefault="005419DA" w:rsidP="00C25401">
      <w:pPr>
        <w:pStyle w:val="List"/>
        <w:spacing w:before="120"/>
        <w:ind w:left="720" w:firstLine="0"/>
        <w:jc w:val="both"/>
        <w:rPr>
          <w:rFonts w:ascii="Arial" w:hAnsi="Arial"/>
        </w:rPr>
      </w:pPr>
    </w:p>
    <w:p w14:paraId="506680A4" w14:textId="77777777" w:rsidR="00640E94" w:rsidRDefault="00947AB3">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0761E1E2" w14:textId="77777777" w:rsidR="00640E94" w:rsidRDefault="00947AB3">
      <w:pPr>
        <w:pStyle w:val="BodyText"/>
        <w:keepNext/>
        <w:rPr>
          <w:rFonts w:ascii="Arial" w:hAnsi="Arial"/>
        </w:rPr>
      </w:pPr>
      <w:r>
        <w:rPr>
          <w:rFonts w:ascii="Arial" w:hAnsi="Arial"/>
        </w:rPr>
        <w:t>The undersigned hereby certifies that:</w:t>
      </w:r>
    </w:p>
    <w:p w14:paraId="51234775" w14:textId="77777777" w:rsidR="00640E94" w:rsidRDefault="00947AB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17941B9" w14:textId="77777777" w:rsidR="00640E94" w:rsidRDefault="00947AB3">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33DB3777" w14:textId="77777777" w:rsidR="00640E94" w:rsidRDefault="00947AB3">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w:t>
      </w:r>
      <w:r>
        <w:rPr>
          <w:rFonts w:ascii="Arial" w:hAnsi="Arial"/>
        </w:rPr>
        <w:lastRenderedPageBreak/>
        <w:t>in National Instrument 14-101) and all Exchange Requirements (as defined in CNSX Policy 1).</w:t>
      </w:r>
    </w:p>
    <w:p w14:paraId="7BEBA13A" w14:textId="77777777" w:rsidR="00640E94" w:rsidRDefault="00947AB3">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19951579" w14:textId="0FD36A23" w:rsidR="00640E94" w:rsidRDefault="00947AB3">
      <w:pPr>
        <w:pStyle w:val="BodyText"/>
        <w:tabs>
          <w:tab w:val="left" w:pos="4680"/>
          <w:tab w:val="left" w:pos="7200"/>
        </w:tabs>
        <w:spacing w:before="480"/>
        <w:jc w:val="both"/>
        <w:rPr>
          <w:rFonts w:ascii="Arial" w:hAnsi="Arial"/>
        </w:rPr>
      </w:pPr>
      <w:r>
        <w:rPr>
          <w:rFonts w:ascii="Arial" w:hAnsi="Arial"/>
        </w:rPr>
        <w:t xml:space="preserve">Dated: </w:t>
      </w:r>
      <w:r w:rsidR="00FD434A">
        <w:rPr>
          <w:rFonts w:ascii="Arial" w:hAnsi="Arial"/>
        </w:rPr>
        <w:t>July</w:t>
      </w:r>
      <w:r>
        <w:rPr>
          <w:rFonts w:ascii="Arial" w:hAnsi="Arial"/>
        </w:rPr>
        <w:t xml:space="preserve"> 6</w:t>
      </w:r>
      <w:r w:rsidRPr="003743C7">
        <w:rPr>
          <w:rFonts w:ascii="Arial" w:hAnsi="Arial"/>
          <w:vertAlign w:val="superscript"/>
        </w:rPr>
        <w:t>th</w:t>
      </w:r>
      <w:r>
        <w:rPr>
          <w:rFonts w:ascii="Arial" w:hAnsi="Arial"/>
        </w:rPr>
        <w:t>, 2018</w:t>
      </w:r>
    </w:p>
    <w:p w14:paraId="07658FEA" w14:textId="77777777" w:rsidR="005E7B2A" w:rsidRDefault="00947AB3">
      <w:pPr>
        <w:pStyle w:val="List"/>
        <w:tabs>
          <w:tab w:val="left" w:pos="9180"/>
        </w:tabs>
        <w:ind w:left="5760" w:hanging="5760"/>
        <w:rPr>
          <w:rFonts w:ascii="Arial" w:hAnsi="Arial"/>
        </w:rPr>
      </w:pPr>
      <w:r>
        <w:rPr>
          <w:rFonts w:ascii="Arial" w:hAnsi="Arial"/>
        </w:rPr>
        <w:tab/>
        <w:t>Gordon Jessop</w:t>
      </w:r>
    </w:p>
    <w:p w14:paraId="5E4EA606" w14:textId="77777777" w:rsidR="00640E94" w:rsidRDefault="00947AB3">
      <w:pPr>
        <w:pStyle w:val="List"/>
        <w:tabs>
          <w:tab w:val="left" w:pos="9180"/>
        </w:tabs>
        <w:ind w:left="5760" w:hanging="5760"/>
        <w:rPr>
          <w:rFonts w:ascii="Arial" w:hAnsi="Arial"/>
        </w:rPr>
      </w:pPr>
      <w:r>
        <w:rPr>
          <w:rFonts w:ascii="Arial" w:hAnsi="Arial"/>
        </w:rPr>
        <w:tab/>
        <w:t>Name of Director or Senior Officer</w:t>
      </w:r>
    </w:p>
    <w:p w14:paraId="0A441FDB" w14:textId="77777777" w:rsidR="00640E94" w:rsidRDefault="00947AB3">
      <w:pPr>
        <w:pStyle w:val="List"/>
        <w:tabs>
          <w:tab w:val="left" w:pos="9180"/>
          <w:tab w:val="left" w:pos="9360"/>
        </w:tabs>
        <w:ind w:left="5760" w:hanging="5760"/>
        <w:rPr>
          <w:rFonts w:ascii="Arial" w:hAnsi="Arial"/>
        </w:rPr>
      </w:pPr>
      <w:r>
        <w:rPr>
          <w:rFonts w:ascii="Arial" w:hAnsi="Arial"/>
        </w:rPr>
        <w:tab/>
      </w:r>
      <w:r>
        <w:rPr>
          <w:rFonts w:ascii="Arial" w:hAnsi="Arial"/>
          <w:noProof/>
          <w:lang w:val="en-CA" w:eastAsia="en-CA"/>
        </w:rPr>
        <w:drawing>
          <wp:inline distT="0" distB="0" distL="0" distR="0" wp14:anchorId="286AC03E" wp14:editId="225DC771">
            <wp:extent cx="1947973" cy="477853"/>
            <wp:effectExtent l="19050" t="0" r="0" b="0"/>
            <wp:docPr id="1" name="Picture 1" descr="E:\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026579" name="Picture 1" descr="E:\Esignatures\GJ Esignature.png"/>
                    <pic:cNvPicPr>
                      <a:picLocks noChangeAspect="1" noChangeArrowheads="1"/>
                    </pic:cNvPicPr>
                  </pic:nvPicPr>
                  <pic:blipFill>
                    <a:blip r:embed="rId7" cstate="print"/>
                    <a:stretch>
                      <a:fillRect/>
                    </a:stretch>
                  </pic:blipFill>
                  <pic:spPr bwMode="auto">
                    <a:xfrm>
                      <a:off x="0" y="0"/>
                      <a:ext cx="1947973" cy="477853"/>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14:paraId="7286C8B5" w14:textId="77777777" w:rsidR="00640E94" w:rsidRDefault="00947AB3">
      <w:pPr>
        <w:pStyle w:val="BodyText"/>
        <w:tabs>
          <w:tab w:val="left" w:pos="9180"/>
        </w:tabs>
        <w:spacing w:before="0"/>
        <w:ind w:left="5760"/>
        <w:rPr>
          <w:rFonts w:ascii="Arial" w:hAnsi="Arial"/>
        </w:rPr>
      </w:pPr>
      <w:r w:rsidRPr="005E7B2A">
        <w:rPr>
          <w:rFonts w:ascii="Arial" w:hAnsi="Arial"/>
        </w:rPr>
        <w:t>President COO</w:t>
      </w:r>
      <w:r w:rsidRPr="005E7B2A">
        <w:rPr>
          <w:rFonts w:ascii="Arial" w:hAnsi="Arial"/>
        </w:rPr>
        <w:tab/>
      </w:r>
      <w:r>
        <w:rPr>
          <w:rFonts w:ascii="Arial" w:hAnsi="Arial"/>
        </w:rPr>
        <w:br/>
        <w:t>Official Capacity</w:t>
      </w:r>
      <w:bookmarkEnd w:id="4"/>
    </w:p>
    <w:p w14:paraId="37CEB1C7" w14:textId="77777777" w:rsidR="00640E94" w:rsidRDefault="005419DA">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DF7D9F" w14:paraId="734EE861" w14:textId="77777777">
        <w:tc>
          <w:tcPr>
            <w:tcW w:w="4878" w:type="dxa"/>
            <w:tcBorders>
              <w:top w:val="single" w:sz="18" w:space="0" w:color="auto"/>
              <w:bottom w:val="nil"/>
              <w:right w:val="single" w:sz="18" w:space="0" w:color="auto"/>
            </w:tcBorders>
          </w:tcPr>
          <w:p w14:paraId="0F86FA09" w14:textId="77777777" w:rsidR="00640E94" w:rsidRDefault="00947AB3">
            <w:pPr>
              <w:pStyle w:val="BodyText"/>
              <w:spacing w:before="0"/>
              <w:rPr>
                <w:rFonts w:ascii="Arial" w:hAnsi="Arial"/>
                <w:b/>
                <w:i/>
              </w:rPr>
            </w:pPr>
            <w:r>
              <w:rPr>
                <w:rFonts w:ascii="Arial" w:hAnsi="Arial"/>
                <w:b/>
                <w:i/>
              </w:rPr>
              <w:t>Issuer Details</w:t>
            </w:r>
          </w:p>
          <w:p w14:paraId="4832DD79" w14:textId="77777777" w:rsidR="00640E94" w:rsidRDefault="00947AB3">
            <w:pPr>
              <w:pStyle w:val="BodyText"/>
              <w:spacing w:before="0"/>
              <w:rPr>
                <w:rFonts w:ascii="Arial" w:hAnsi="Arial"/>
              </w:rPr>
            </w:pPr>
            <w:r>
              <w:rPr>
                <w:rFonts w:ascii="Arial" w:hAnsi="Arial"/>
              </w:rPr>
              <w:t>Name of Issuer</w:t>
            </w:r>
          </w:p>
          <w:p w14:paraId="62673941" w14:textId="77777777" w:rsidR="00640E94" w:rsidRDefault="00947AB3">
            <w:pPr>
              <w:pStyle w:val="BodyText"/>
              <w:rPr>
                <w:rFonts w:ascii="Arial" w:hAnsi="Arial"/>
              </w:rPr>
            </w:pPr>
            <w:r>
              <w:rPr>
                <w:rFonts w:ascii="Arial" w:hAnsi="Arial"/>
              </w:rPr>
              <w:t>NetCents Technology Inc.</w:t>
            </w:r>
          </w:p>
        </w:tc>
        <w:tc>
          <w:tcPr>
            <w:tcW w:w="1800" w:type="dxa"/>
            <w:tcBorders>
              <w:top w:val="single" w:sz="18" w:space="0" w:color="auto"/>
              <w:left w:val="single" w:sz="18" w:space="0" w:color="auto"/>
              <w:bottom w:val="nil"/>
              <w:right w:val="single" w:sz="18" w:space="0" w:color="auto"/>
            </w:tcBorders>
          </w:tcPr>
          <w:p w14:paraId="2D0C6BB3" w14:textId="77777777" w:rsidR="00D95F93" w:rsidRDefault="00947AB3" w:rsidP="00417886">
            <w:pPr>
              <w:pStyle w:val="BodyText"/>
              <w:spacing w:before="0"/>
              <w:rPr>
                <w:rFonts w:ascii="Arial" w:hAnsi="Arial"/>
              </w:rPr>
            </w:pPr>
            <w:proofErr w:type="gramStart"/>
            <w:r>
              <w:rPr>
                <w:rFonts w:ascii="Arial" w:hAnsi="Arial"/>
              </w:rPr>
              <w:t>For  Month</w:t>
            </w:r>
            <w:proofErr w:type="gramEnd"/>
            <w:r>
              <w:rPr>
                <w:rFonts w:ascii="Arial" w:hAnsi="Arial"/>
              </w:rPr>
              <w:t xml:space="preserve"> End </w:t>
            </w:r>
          </w:p>
          <w:p w14:paraId="508C79E2" w14:textId="27E94C49" w:rsidR="00640E94" w:rsidRDefault="00C462D6" w:rsidP="00417886">
            <w:pPr>
              <w:pStyle w:val="BodyText"/>
              <w:spacing w:before="0"/>
              <w:rPr>
                <w:rFonts w:ascii="Arial" w:hAnsi="Arial"/>
              </w:rPr>
            </w:pPr>
            <w:r>
              <w:rPr>
                <w:rFonts w:ascii="Arial" w:hAnsi="Arial"/>
              </w:rPr>
              <w:t>June</w:t>
            </w:r>
            <w:r w:rsidR="00947AB3">
              <w:rPr>
                <w:rFonts w:ascii="Arial" w:hAnsi="Arial"/>
              </w:rPr>
              <w:t xml:space="preserve"> 2018</w:t>
            </w:r>
          </w:p>
        </w:tc>
        <w:tc>
          <w:tcPr>
            <w:tcW w:w="2898" w:type="dxa"/>
            <w:tcBorders>
              <w:top w:val="single" w:sz="18" w:space="0" w:color="auto"/>
              <w:left w:val="single" w:sz="18" w:space="0" w:color="auto"/>
              <w:bottom w:val="nil"/>
            </w:tcBorders>
          </w:tcPr>
          <w:p w14:paraId="382CB45C" w14:textId="77777777" w:rsidR="00640E94" w:rsidRDefault="00947AB3">
            <w:pPr>
              <w:pStyle w:val="BodyText"/>
              <w:spacing w:before="0"/>
              <w:rPr>
                <w:rFonts w:ascii="Arial" w:hAnsi="Arial"/>
              </w:rPr>
            </w:pPr>
            <w:r>
              <w:rPr>
                <w:rFonts w:ascii="Arial" w:hAnsi="Arial"/>
              </w:rPr>
              <w:t>Date of Report</w:t>
            </w:r>
          </w:p>
          <w:p w14:paraId="260FFE6C" w14:textId="77777777" w:rsidR="00640E94" w:rsidRDefault="00947AB3">
            <w:pPr>
              <w:pStyle w:val="BodyText"/>
              <w:spacing w:before="0"/>
              <w:rPr>
                <w:rFonts w:ascii="Arial" w:hAnsi="Arial"/>
              </w:rPr>
            </w:pPr>
            <w:r>
              <w:rPr>
                <w:rFonts w:ascii="Arial" w:hAnsi="Arial"/>
              </w:rPr>
              <w:t>YY/MM/D</w:t>
            </w:r>
          </w:p>
          <w:p w14:paraId="4EA03646" w14:textId="06879EE2" w:rsidR="00EE5310" w:rsidRDefault="00947AB3">
            <w:pPr>
              <w:pStyle w:val="BodyText"/>
              <w:spacing w:before="0"/>
              <w:rPr>
                <w:rFonts w:ascii="Arial" w:hAnsi="Arial"/>
              </w:rPr>
            </w:pPr>
            <w:r>
              <w:rPr>
                <w:rFonts w:ascii="Arial" w:hAnsi="Arial"/>
              </w:rPr>
              <w:t>18/0</w:t>
            </w:r>
            <w:r w:rsidR="00C462D6">
              <w:rPr>
                <w:rFonts w:ascii="Arial" w:hAnsi="Arial"/>
              </w:rPr>
              <w:t>7</w:t>
            </w:r>
            <w:r>
              <w:rPr>
                <w:rFonts w:ascii="Arial" w:hAnsi="Arial"/>
              </w:rPr>
              <w:t>/06</w:t>
            </w:r>
          </w:p>
        </w:tc>
      </w:tr>
      <w:tr w:rsidR="00DF7D9F" w14:paraId="34156F58" w14:textId="77777777">
        <w:trPr>
          <w:cantSplit/>
        </w:trPr>
        <w:tc>
          <w:tcPr>
            <w:tcW w:w="9576" w:type="dxa"/>
            <w:gridSpan w:val="3"/>
            <w:tcBorders>
              <w:top w:val="single" w:sz="18" w:space="0" w:color="auto"/>
              <w:bottom w:val="single" w:sz="18" w:space="0" w:color="auto"/>
            </w:tcBorders>
          </w:tcPr>
          <w:p w14:paraId="3535BFFC" w14:textId="77777777" w:rsidR="00640E94" w:rsidRDefault="00947AB3">
            <w:pPr>
              <w:pStyle w:val="BodyText"/>
              <w:spacing w:before="0"/>
              <w:rPr>
                <w:rFonts w:ascii="Arial" w:hAnsi="Arial"/>
              </w:rPr>
            </w:pPr>
            <w:r>
              <w:rPr>
                <w:rFonts w:ascii="Arial" w:hAnsi="Arial"/>
              </w:rPr>
              <w:t>Issuer Address</w:t>
            </w:r>
          </w:p>
          <w:p w14:paraId="6A12EC01" w14:textId="77777777" w:rsidR="00640E94" w:rsidRDefault="00947AB3">
            <w:pPr>
              <w:pStyle w:val="BodyText"/>
              <w:spacing w:before="0"/>
              <w:rPr>
                <w:rFonts w:ascii="Arial" w:hAnsi="Arial"/>
              </w:rPr>
            </w:pPr>
            <w:r>
              <w:rPr>
                <w:rFonts w:ascii="Arial" w:hAnsi="Arial"/>
              </w:rPr>
              <w:t>885 West Georgia Street, Suite 1500</w:t>
            </w:r>
          </w:p>
          <w:p w14:paraId="72F4CACF" w14:textId="77777777" w:rsidR="00640E94" w:rsidRDefault="005419DA">
            <w:pPr>
              <w:pStyle w:val="BodyText"/>
              <w:spacing w:before="0"/>
              <w:rPr>
                <w:rFonts w:ascii="Arial" w:hAnsi="Arial"/>
              </w:rPr>
            </w:pPr>
          </w:p>
        </w:tc>
      </w:tr>
      <w:tr w:rsidR="00DF7D9F" w14:paraId="12AE281A" w14:textId="77777777">
        <w:tc>
          <w:tcPr>
            <w:tcW w:w="4878" w:type="dxa"/>
            <w:tcBorders>
              <w:top w:val="single" w:sz="18" w:space="0" w:color="auto"/>
              <w:bottom w:val="single" w:sz="18" w:space="0" w:color="auto"/>
              <w:right w:val="single" w:sz="18" w:space="0" w:color="auto"/>
            </w:tcBorders>
          </w:tcPr>
          <w:p w14:paraId="355D5E75" w14:textId="77777777" w:rsidR="00640E94" w:rsidRPr="002E6583" w:rsidRDefault="00947AB3">
            <w:pPr>
              <w:pStyle w:val="BodyText"/>
              <w:spacing w:before="0"/>
              <w:rPr>
                <w:rFonts w:ascii="Arial" w:hAnsi="Arial"/>
                <w:lang w:val="fr-FR"/>
              </w:rPr>
            </w:pPr>
            <w:r w:rsidRPr="002E6583">
              <w:rPr>
                <w:rFonts w:ascii="Arial" w:hAnsi="Arial"/>
                <w:lang w:val="fr-FR"/>
              </w:rPr>
              <w:t>City/Province/Postal Code</w:t>
            </w:r>
          </w:p>
          <w:p w14:paraId="59FD8006" w14:textId="77777777" w:rsidR="00640E94" w:rsidRPr="002E6583" w:rsidRDefault="00947AB3">
            <w:pPr>
              <w:pStyle w:val="BodyText"/>
              <w:spacing w:before="0"/>
              <w:rPr>
                <w:rFonts w:ascii="Arial" w:hAnsi="Arial"/>
                <w:lang w:val="fr-FR"/>
              </w:rPr>
            </w:pPr>
            <w:r w:rsidRPr="002E6583">
              <w:rPr>
                <w:rFonts w:ascii="Arial" w:hAnsi="Arial"/>
                <w:lang w:val="fr-FR"/>
              </w:rPr>
              <w:t>Vancouver, BC, V6C 3E8</w:t>
            </w:r>
          </w:p>
          <w:p w14:paraId="6D2557FE" w14:textId="77777777" w:rsidR="00640E94" w:rsidRPr="002E6583" w:rsidRDefault="005419DA">
            <w:pPr>
              <w:pStyle w:val="BodyText"/>
              <w:spacing w:before="0"/>
              <w:rPr>
                <w:rFonts w:ascii="Arial" w:hAnsi="Arial"/>
                <w:lang w:val="fr-FR"/>
              </w:rPr>
            </w:pPr>
          </w:p>
        </w:tc>
        <w:tc>
          <w:tcPr>
            <w:tcW w:w="1800" w:type="dxa"/>
            <w:tcBorders>
              <w:top w:val="single" w:sz="18" w:space="0" w:color="auto"/>
              <w:left w:val="single" w:sz="18" w:space="0" w:color="auto"/>
              <w:bottom w:val="single" w:sz="18" w:space="0" w:color="auto"/>
              <w:right w:val="single" w:sz="18" w:space="0" w:color="auto"/>
            </w:tcBorders>
          </w:tcPr>
          <w:p w14:paraId="4CADA81B" w14:textId="77777777" w:rsidR="00640E94" w:rsidRDefault="00947AB3">
            <w:pPr>
              <w:pStyle w:val="BodyText"/>
              <w:spacing w:before="0"/>
              <w:rPr>
                <w:rFonts w:ascii="Arial" w:hAnsi="Arial"/>
              </w:rPr>
            </w:pPr>
            <w:r>
              <w:rPr>
                <w:rFonts w:ascii="Arial" w:hAnsi="Arial"/>
              </w:rPr>
              <w:t>Issuer Fax No.</w:t>
            </w:r>
          </w:p>
          <w:p w14:paraId="3D16DEF6" w14:textId="77777777" w:rsidR="00640E94" w:rsidRDefault="00947AB3">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1746453" w14:textId="77777777" w:rsidR="00640E94" w:rsidRDefault="00947AB3">
            <w:pPr>
              <w:pStyle w:val="BodyText"/>
              <w:spacing w:before="0"/>
              <w:rPr>
                <w:rFonts w:ascii="Arial" w:hAnsi="Arial"/>
              </w:rPr>
            </w:pPr>
            <w:r>
              <w:rPr>
                <w:rFonts w:ascii="Arial" w:hAnsi="Arial"/>
              </w:rPr>
              <w:t>Issuer Telephone No.</w:t>
            </w:r>
          </w:p>
          <w:p w14:paraId="59399FA3" w14:textId="77777777" w:rsidR="00640E94" w:rsidRDefault="00947AB3" w:rsidP="00134A4E">
            <w:pPr>
              <w:pStyle w:val="BodyText"/>
              <w:spacing w:before="0"/>
              <w:rPr>
                <w:rFonts w:ascii="Arial" w:hAnsi="Arial"/>
              </w:rPr>
            </w:pPr>
            <w:proofErr w:type="gramStart"/>
            <w:r>
              <w:rPr>
                <w:rFonts w:ascii="Arial" w:hAnsi="Arial"/>
              </w:rPr>
              <w:t>( 604</w:t>
            </w:r>
            <w:proofErr w:type="gramEnd"/>
            <w:r>
              <w:rPr>
                <w:rFonts w:ascii="Arial" w:hAnsi="Arial"/>
              </w:rPr>
              <w:t>) 638-5556</w:t>
            </w:r>
          </w:p>
        </w:tc>
      </w:tr>
      <w:tr w:rsidR="00DF7D9F" w14:paraId="58F8CB2E" w14:textId="77777777">
        <w:tc>
          <w:tcPr>
            <w:tcW w:w="4878" w:type="dxa"/>
            <w:tcBorders>
              <w:top w:val="single" w:sz="18" w:space="0" w:color="auto"/>
              <w:bottom w:val="single" w:sz="18" w:space="0" w:color="auto"/>
              <w:right w:val="single" w:sz="18" w:space="0" w:color="auto"/>
            </w:tcBorders>
          </w:tcPr>
          <w:p w14:paraId="3E4538E6" w14:textId="77777777" w:rsidR="00640E94" w:rsidRDefault="00947AB3">
            <w:pPr>
              <w:pStyle w:val="BodyText"/>
              <w:spacing w:before="0"/>
              <w:rPr>
                <w:rFonts w:ascii="Arial" w:hAnsi="Arial"/>
              </w:rPr>
            </w:pPr>
            <w:r>
              <w:rPr>
                <w:rFonts w:ascii="Arial" w:hAnsi="Arial"/>
              </w:rPr>
              <w:t>Contact Name</w:t>
            </w:r>
          </w:p>
          <w:p w14:paraId="00A4A607" w14:textId="77777777" w:rsidR="00640E94" w:rsidRDefault="00947AB3">
            <w:pPr>
              <w:pStyle w:val="BodyText"/>
              <w:spacing w:before="0"/>
              <w:rPr>
                <w:rFonts w:ascii="Arial" w:hAnsi="Arial"/>
              </w:rPr>
            </w:pPr>
            <w:r>
              <w:rPr>
                <w:rFonts w:ascii="Arial" w:hAnsi="Arial"/>
              </w:rPr>
              <w:t>Gordon Jessop</w:t>
            </w:r>
          </w:p>
          <w:p w14:paraId="4781FF2F" w14:textId="77777777" w:rsidR="00640E94" w:rsidRDefault="005419DA">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278118" w14:textId="77777777" w:rsidR="00640E94" w:rsidRDefault="00947AB3">
            <w:pPr>
              <w:pStyle w:val="BodyText"/>
              <w:spacing w:before="0"/>
              <w:rPr>
                <w:rFonts w:ascii="Arial" w:hAnsi="Arial"/>
              </w:rPr>
            </w:pPr>
            <w:r>
              <w:rPr>
                <w:rFonts w:ascii="Arial" w:hAnsi="Arial"/>
              </w:rPr>
              <w:t>Contact Position</w:t>
            </w:r>
          </w:p>
          <w:p w14:paraId="439064EA" w14:textId="77777777" w:rsidR="000C714B" w:rsidRDefault="00947AB3">
            <w:pPr>
              <w:pStyle w:val="BodyText"/>
              <w:spacing w:before="0"/>
              <w:rPr>
                <w:rFonts w:ascii="Arial" w:hAnsi="Arial"/>
              </w:rPr>
            </w:pPr>
            <w:r>
              <w:rPr>
                <w:rFonts w:ascii="Arial" w:hAnsi="Arial"/>
              </w:rPr>
              <w:t>President COO</w:t>
            </w:r>
          </w:p>
        </w:tc>
        <w:tc>
          <w:tcPr>
            <w:tcW w:w="2898" w:type="dxa"/>
            <w:tcBorders>
              <w:top w:val="single" w:sz="18" w:space="0" w:color="auto"/>
              <w:left w:val="single" w:sz="18" w:space="0" w:color="auto"/>
              <w:bottom w:val="single" w:sz="18" w:space="0" w:color="auto"/>
            </w:tcBorders>
          </w:tcPr>
          <w:p w14:paraId="157C2DC4" w14:textId="77777777" w:rsidR="00640E94" w:rsidRDefault="00947AB3">
            <w:pPr>
              <w:pStyle w:val="BodyText"/>
              <w:spacing w:before="0"/>
              <w:rPr>
                <w:rFonts w:ascii="Arial" w:hAnsi="Arial"/>
              </w:rPr>
            </w:pPr>
            <w:r>
              <w:rPr>
                <w:rFonts w:ascii="Arial" w:hAnsi="Arial"/>
              </w:rPr>
              <w:t>Contact Telephone No.</w:t>
            </w:r>
          </w:p>
          <w:p w14:paraId="57F479FD" w14:textId="77777777" w:rsidR="00E031C0" w:rsidRDefault="00947AB3">
            <w:pPr>
              <w:pStyle w:val="BodyText"/>
              <w:spacing w:before="0"/>
              <w:rPr>
                <w:rFonts w:ascii="Arial" w:hAnsi="Arial"/>
              </w:rPr>
            </w:pPr>
            <w:r>
              <w:rPr>
                <w:rFonts w:ascii="Arial" w:hAnsi="Arial"/>
              </w:rPr>
              <w:t>604 638-5556</w:t>
            </w:r>
          </w:p>
        </w:tc>
      </w:tr>
      <w:tr w:rsidR="00DF7D9F" w14:paraId="481049BD" w14:textId="77777777">
        <w:trPr>
          <w:cantSplit/>
        </w:trPr>
        <w:tc>
          <w:tcPr>
            <w:tcW w:w="4878" w:type="dxa"/>
            <w:tcBorders>
              <w:top w:val="single" w:sz="18" w:space="0" w:color="auto"/>
              <w:bottom w:val="single" w:sz="18" w:space="0" w:color="auto"/>
              <w:right w:val="single" w:sz="18" w:space="0" w:color="auto"/>
            </w:tcBorders>
          </w:tcPr>
          <w:p w14:paraId="5B978F9B" w14:textId="77777777" w:rsidR="00640E94" w:rsidRDefault="00947AB3">
            <w:pPr>
              <w:pStyle w:val="BodyText"/>
              <w:spacing w:before="0"/>
              <w:rPr>
                <w:rFonts w:ascii="Arial" w:hAnsi="Arial"/>
              </w:rPr>
            </w:pPr>
            <w:r>
              <w:rPr>
                <w:rFonts w:ascii="Arial" w:hAnsi="Arial"/>
              </w:rPr>
              <w:t>Contact Email Address</w:t>
            </w:r>
          </w:p>
          <w:p w14:paraId="606D1CBA" w14:textId="77777777" w:rsidR="00640E94" w:rsidRDefault="00947AB3">
            <w:pPr>
              <w:pStyle w:val="BodyText"/>
              <w:spacing w:before="0"/>
              <w:rPr>
                <w:rFonts w:ascii="Arial" w:hAnsi="Arial"/>
              </w:rPr>
            </w:pPr>
            <w:r>
              <w:rPr>
                <w:rFonts w:ascii="Arial" w:hAnsi="Arial"/>
              </w:rPr>
              <w:t>gord.jessop@net-cents.com</w:t>
            </w:r>
          </w:p>
        </w:tc>
        <w:tc>
          <w:tcPr>
            <w:tcW w:w="4698" w:type="dxa"/>
            <w:gridSpan w:val="2"/>
            <w:tcBorders>
              <w:top w:val="single" w:sz="18" w:space="0" w:color="auto"/>
              <w:left w:val="single" w:sz="18" w:space="0" w:color="auto"/>
              <w:bottom w:val="single" w:sz="18" w:space="0" w:color="auto"/>
            </w:tcBorders>
          </w:tcPr>
          <w:p w14:paraId="54F3E93B" w14:textId="77777777" w:rsidR="00640E94" w:rsidRDefault="00947AB3">
            <w:pPr>
              <w:pStyle w:val="BodyText"/>
              <w:spacing w:before="0"/>
              <w:rPr>
                <w:rFonts w:ascii="Arial" w:hAnsi="Arial"/>
              </w:rPr>
            </w:pPr>
            <w:r>
              <w:rPr>
                <w:rFonts w:ascii="Arial" w:hAnsi="Arial"/>
              </w:rPr>
              <w:t>Web Site Address</w:t>
            </w:r>
          </w:p>
          <w:p w14:paraId="2C475839" w14:textId="77777777" w:rsidR="00640E94" w:rsidRDefault="005419DA">
            <w:pPr>
              <w:pStyle w:val="BodyText"/>
              <w:spacing w:before="0"/>
              <w:rPr>
                <w:rFonts w:ascii="Arial" w:hAnsi="Arial"/>
              </w:rPr>
            </w:pPr>
            <w:hyperlink r:id="rId8" w:history="1">
              <w:r w:rsidR="00947AB3" w:rsidRPr="006062D3">
                <w:rPr>
                  <w:rStyle w:val="Hyperlink"/>
                  <w:rFonts w:ascii="Arial" w:hAnsi="Arial"/>
                </w:rPr>
                <w:t>www.net-cents.com</w:t>
              </w:r>
            </w:hyperlink>
            <w:r w:rsidR="00947AB3">
              <w:rPr>
                <w:rFonts w:ascii="Arial" w:hAnsi="Arial"/>
              </w:rPr>
              <w:t xml:space="preserve"> / blog.net-cents.com</w:t>
            </w:r>
          </w:p>
        </w:tc>
      </w:tr>
    </w:tbl>
    <w:p w14:paraId="33E9B8FE" w14:textId="77777777" w:rsidR="00640E94" w:rsidRDefault="005419DA"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7551" w14:textId="77777777" w:rsidR="005419DA" w:rsidRDefault="005419DA">
      <w:r>
        <w:separator/>
      </w:r>
    </w:p>
  </w:endnote>
  <w:endnote w:type="continuationSeparator" w:id="0">
    <w:p w14:paraId="30EB8E62" w14:textId="77777777" w:rsidR="005419DA" w:rsidRDefault="005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FE26" w14:textId="77777777" w:rsidR="00640E94" w:rsidRDefault="005419DA">
    <w:pPr>
      <w:pStyle w:val="Footer"/>
      <w:tabs>
        <w:tab w:val="clear" w:pos="4320"/>
        <w:tab w:val="clear" w:pos="8640"/>
        <w:tab w:val="center" w:pos="4680"/>
        <w:tab w:val="right" w:pos="9360"/>
      </w:tabs>
      <w:rPr>
        <w:b/>
      </w:rPr>
    </w:pPr>
  </w:p>
  <w:p w14:paraId="3757E520" w14:textId="00126E3D" w:rsidR="00640E94" w:rsidRDefault="00453D2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7D3C8158" wp14:editId="4BAB2760">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AF2A"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947AB3">
      <w:rPr>
        <w:rFonts w:ascii="Arial" w:hAnsi="Arial" w:cs="Arial"/>
        <w:b/>
      </w:rPr>
      <w:t>FORM 7 – MONTHLY PROGRESS REPORT</w:t>
    </w:r>
  </w:p>
  <w:p w14:paraId="41FDD6FD" w14:textId="08D663FE" w:rsidR="00640E94" w:rsidRPr="006D1A06" w:rsidRDefault="00C462D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sidR="00947AB3">
      <w:rPr>
        <w:rStyle w:val="PageNumber"/>
        <w:rFonts w:ascii="Arial" w:hAnsi="Arial" w:cs="Arial"/>
        <w:sz w:val="16"/>
        <w:szCs w:val="16"/>
      </w:rPr>
      <w:t xml:space="preserve"> 2018</w:t>
    </w:r>
  </w:p>
  <w:p w14:paraId="422D83FF" w14:textId="77777777" w:rsidR="00640E94" w:rsidRPr="006D1A06" w:rsidRDefault="00947AB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B984" w14:textId="77777777" w:rsidR="00640E94" w:rsidRDefault="005419DA">
    <w:pPr>
      <w:pStyle w:val="Footer"/>
      <w:tabs>
        <w:tab w:val="clear" w:pos="4320"/>
        <w:tab w:val="clear" w:pos="8640"/>
        <w:tab w:val="center" w:pos="4680"/>
        <w:tab w:val="right" w:pos="9360"/>
      </w:tabs>
      <w:rPr>
        <w:b/>
      </w:rPr>
    </w:pPr>
  </w:p>
  <w:p w14:paraId="7941EAF2" w14:textId="45BEF93F" w:rsidR="00640E94" w:rsidRDefault="00453D2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3B16D7" wp14:editId="269BE578">
              <wp:simplePos x="0" y="0"/>
              <wp:positionH relativeFrom="column">
                <wp:posOffset>72390</wp:posOffset>
              </wp:positionH>
              <wp:positionV relativeFrom="paragraph">
                <wp:posOffset>-152400</wp:posOffset>
              </wp:positionV>
              <wp:extent cx="5863590" cy="0"/>
              <wp:effectExtent l="5715" t="9525" r="762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4CFF"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gpEi&#10;PYzoSSiOit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sq4xRkCAAAyBAAADgAAAAAAAAAAAAAAAAAuAgAAZHJzL2Uyb0RvYy54bWxQSwECLQAUAAYA&#10;CAAAACEAHzC4KdwAAAAKAQAADwAAAAAAAAAAAAAAAABzBAAAZHJzL2Rvd25yZXYueG1sUEsFBgAA&#10;AAAEAAQA8wAAAHwFAAAAAA==&#10;"/>
          </w:pict>
        </mc:Fallback>
      </mc:AlternateContent>
    </w:r>
    <w:r w:rsidR="00947AB3">
      <w:rPr>
        <w:rFonts w:ascii="Arial" w:hAnsi="Arial" w:cs="Arial"/>
        <w:b/>
      </w:rPr>
      <w:t>FORM 7 – MONTHLY PROGRESS REPORT</w:t>
    </w:r>
  </w:p>
  <w:p w14:paraId="70DF4FA1" w14:textId="77777777" w:rsidR="000A1AB1" w:rsidRPr="00635E9A" w:rsidRDefault="00947AB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1FECE4C" w14:textId="77777777" w:rsidR="00640E94" w:rsidRPr="00635E9A" w:rsidRDefault="00947AB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E273" w14:textId="77777777" w:rsidR="005419DA" w:rsidRDefault="005419DA">
      <w:r>
        <w:separator/>
      </w:r>
    </w:p>
  </w:footnote>
  <w:footnote w:type="continuationSeparator" w:id="0">
    <w:p w14:paraId="67E7C1D4" w14:textId="77777777" w:rsidR="005419DA" w:rsidRDefault="005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BD5C" w14:textId="77777777" w:rsidR="00640E94" w:rsidRDefault="00947A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9F369B" w14:textId="77777777" w:rsidR="00640E94" w:rsidRDefault="0054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5A14" w14:textId="77777777" w:rsidR="00640E94" w:rsidRDefault="005419D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744199"/>
    <w:multiLevelType w:val="hybridMultilevel"/>
    <w:tmpl w:val="23D05766"/>
    <w:lvl w:ilvl="0" w:tplc="87FA07BE">
      <w:start w:val="1"/>
      <w:numFmt w:val="decimal"/>
      <w:lvlText w:val="(%1)"/>
      <w:lvlJc w:val="left"/>
      <w:pPr>
        <w:ind w:left="720" w:hanging="360"/>
      </w:pPr>
      <w:rPr>
        <w:rFonts w:hint="default"/>
        <w:b w:val="0"/>
        <w:i/>
      </w:rPr>
    </w:lvl>
    <w:lvl w:ilvl="1" w:tplc="7A30ED82" w:tentative="1">
      <w:start w:val="1"/>
      <w:numFmt w:val="lowerLetter"/>
      <w:lvlText w:val="%2."/>
      <w:lvlJc w:val="left"/>
      <w:pPr>
        <w:ind w:left="1440" w:hanging="360"/>
      </w:pPr>
    </w:lvl>
    <w:lvl w:ilvl="2" w:tplc="5CA2228C" w:tentative="1">
      <w:start w:val="1"/>
      <w:numFmt w:val="lowerRoman"/>
      <w:lvlText w:val="%3."/>
      <w:lvlJc w:val="right"/>
      <w:pPr>
        <w:ind w:left="2160" w:hanging="180"/>
      </w:pPr>
    </w:lvl>
    <w:lvl w:ilvl="3" w:tplc="D5FA7862" w:tentative="1">
      <w:start w:val="1"/>
      <w:numFmt w:val="decimal"/>
      <w:lvlText w:val="%4."/>
      <w:lvlJc w:val="left"/>
      <w:pPr>
        <w:ind w:left="2880" w:hanging="360"/>
      </w:pPr>
    </w:lvl>
    <w:lvl w:ilvl="4" w:tplc="E42E5BB8" w:tentative="1">
      <w:start w:val="1"/>
      <w:numFmt w:val="lowerLetter"/>
      <w:lvlText w:val="%5."/>
      <w:lvlJc w:val="left"/>
      <w:pPr>
        <w:ind w:left="3600" w:hanging="360"/>
      </w:pPr>
    </w:lvl>
    <w:lvl w:ilvl="5" w:tplc="272405FA" w:tentative="1">
      <w:start w:val="1"/>
      <w:numFmt w:val="lowerRoman"/>
      <w:lvlText w:val="%6."/>
      <w:lvlJc w:val="right"/>
      <w:pPr>
        <w:ind w:left="4320" w:hanging="180"/>
      </w:pPr>
    </w:lvl>
    <w:lvl w:ilvl="6" w:tplc="921CB018" w:tentative="1">
      <w:start w:val="1"/>
      <w:numFmt w:val="decimal"/>
      <w:lvlText w:val="%7."/>
      <w:lvlJc w:val="left"/>
      <w:pPr>
        <w:ind w:left="5040" w:hanging="360"/>
      </w:pPr>
    </w:lvl>
    <w:lvl w:ilvl="7" w:tplc="31E82282" w:tentative="1">
      <w:start w:val="1"/>
      <w:numFmt w:val="lowerLetter"/>
      <w:lvlText w:val="%8."/>
      <w:lvlJc w:val="left"/>
      <w:pPr>
        <w:ind w:left="5760" w:hanging="360"/>
      </w:pPr>
    </w:lvl>
    <w:lvl w:ilvl="8" w:tplc="35985D36" w:tentative="1">
      <w:start w:val="1"/>
      <w:numFmt w:val="lowerRoman"/>
      <w:lvlText w:val="%9."/>
      <w:lvlJc w:val="right"/>
      <w:pPr>
        <w:ind w:left="6480" w:hanging="180"/>
      </w:p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9F"/>
    <w:rsid w:val="0005251E"/>
    <w:rsid w:val="002846D3"/>
    <w:rsid w:val="002E6583"/>
    <w:rsid w:val="003C4D66"/>
    <w:rsid w:val="00453D28"/>
    <w:rsid w:val="005045E1"/>
    <w:rsid w:val="005419DA"/>
    <w:rsid w:val="006233FD"/>
    <w:rsid w:val="00637A86"/>
    <w:rsid w:val="007C092F"/>
    <w:rsid w:val="00947AB3"/>
    <w:rsid w:val="0097222F"/>
    <w:rsid w:val="00B91920"/>
    <w:rsid w:val="00C462D6"/>
    <w:rsid w:val="00DF7D9F"/>
    <w:rsid w:val="00F4447C"/>
    <w:rsid w:val="00FD4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ABC51"/>
  <w15:docId w15:val="{C8B65BF5-AC88-4A99-9C15-37524994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5F"/>
  </w:style>
  <w:style w:type="paragraph" w:styleId="Heading1">
    <w:name w:val="heading 1"/>
    <w:basedOn w:val="Normal"/>
    <w:next w:val="Normal"/>
    <w:link w:val="Heading1Char"/>
    <w:uiPriority w:val="9"/>
    <w:qFormat/>
    <w:rsid w:val="00942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54095F"/>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95F"/>
    <w:pPr>
      <w:spacing w:before="240"/>
    </w:pPr>
    <w:rPr>
      <w:sz w:val="24"/>
      <w:lang w:val="en-GB"/>
    </w:rPr>
  </w:style>
  <w:style w:type="paragraph" w:styleId="List">
    <w:name w:val="List"/>
    <w:basedOn w:val="BodyText"/>
    <w:rsid w:val="0054095F"/>
    <w:pPr>
      <w:ind w:left="1080" w:hanging="1080"/>
    </w:pPr>
  </w:style>
  <w:style w:type="paragraph" w:styleId="Title">
    <w:name w:val="Title"/>
    <w:basedOn w:val="BodyText"/>
    <w:qFormat/>
    <w:rsid w:val="0054095F"/>
    <w:pPr>
      <w:spacing w:after="240"/>
      <w:jc w:val="center"/>
    </w:pPr>
    <w:rPr>
      <w:rFonts w:ascii="Arial" w:hAnsi="Arial"/>
      <w:b/>
      <w:sz w:val="40"/>
    </w:r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 w:type="character" w:customStyle="1" w:styleId="Heading1Char">
    <w:name w:val="Heading 1 Char"/>
    <w:basedOn w:val="DefaultParagraphFont"/>
    <w:link w:val="Heading1"/>
    <w:uiPriority w:val="9"/>
    <w:rsid w:val="0094235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C1802"/>
    <w:rPr>
      <w:sz w:val="16"/>
      <w:szCs w:val="16"/>
    </w:rPr>
  </w:style>
  <w:style w:type="paragraph" w:styleId="CommentText">
    <w:name w:val="annotation text"/>
    <w:basedOn w:val="Normal"/>
    <w:link w:val="CommentTextChar"/>
    <w:uiPriority w:val="99"/>
    <w:semiHidden/>
    <w:unhideWhenUsed/>
    <w:rsid w:val="00DC1802"/>
  </w:style>
  <w:style w:type="character" w:customStyle="1" w:styleId="CommentTextChar">
    <w:name w:val="Comment Text Char"/>
    <w:basedOn w:val="DefaultParagraphFont"/>
    <w:link w:val="CommentText"/>
    <w:uiPriority w:val="99"/>
    <w:semiHidden/>
    <w:rsid w:val="00DC1802"/>
  </w:style>
  <w:style w:type="paragraph" w:styleId="CommentSubject">
    <w:name w:val="annotation subject"/>
    <w:basedOn w:val="CommentText"/>
    <w:next w:val="CommentText"/>
    <w:link w:val="CommentSubjectChar"/>
    <w:uiPriority w:val="99"/>
    <w:semiHidden/>
    <w:unhideWhenUsed/>
    <w:rsid w:val="00DC1802"/>
    <w:rPr>
      <w:b/>
      <w:bCs/>
    </w:rPr>
  </w:style>
  <w:style w:type="character" w:customStyle="1" w:styleId="CommentSubjectChar">
    <w:name w:val="Comment Subject Char"/>
    <w:basedOn w:val="CommentTextChar"/>
    <w:link w:val="CommentSubject"/>
    <w:uiPriority w:val="99"/>
    <w:semiHidden/>
    <w:rsid w:val="00DC1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86678">
      <w:bodyDiv w:val="1"/>
      <w:marLeft w:val="0"/>
      <w:marRight w:val="0"/>
      <w:marTop w:val="0"/>
      <w:marBottom w:val="0"/>
      <w:divBdr>
        <w:top w:val="none" w:sz="0" w:space="0" w:color="auto"/>
        <w:left w:val="none" w:sz="0" w:space="0" w:color="auto"/>
        <w:bottom w:val="none" w:sz="0" w:space="0" w:color="auto"/>
        <w:right w:val="none" w:sz="0" w:space="0" w:color="auto"/>
      </w:divBdr>
    </w:div>
    <w:div w:id="8830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8</cp:revision>
  <dcterms:created xsi:type="dcterms:W3CDTF">2018-07-09T18:52:00Z</dcterms:created>
  <dcterms:modified xsi:type="dcterms:W3CDTF">2018-07-09T19:03:00Z</dcterms:modified>
</cp:coreProperties>
</file>