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869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6CDD65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1A4F47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14:paraId="704354CA" w14:textId="2C439E3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C665D">
        <w:rPr>
          <w:rFonts w:ascii="Arial" w:hAnsi="Arial"/>
          <w:b/>
          <w:color w:val="000000"/>
        </w:rPr>
        <w:t>42,445,467</w:t>
      </w:r>
      <w:r>
        <w:rPr>
          <w:rFonts w:ascii="Arial" w:hAnsi="Arial"/>
          <w:color w:val="000000"/>
          <w:u w:val="single"/>
        </w:rPr>
        <w:tab/>
      </w:r>
      <w:r>
        <w:rPr>
          <w:rFonts w:ascii="Arial" w:hAnsi="Arial"/>
          <w:color w:val="000000"/>
          <w:u w:val="single"/>
        </w:rPr>
        <w:tab/>
      </w:r>
    </w:p>
    <w:p w14:paraId="6218C83C" w14:textId="0F893B8B" w:rsidR="00640E94" w:rsidRDefault="00640E94">
      <w:pPr>
        <w:pStyle w:val="BodyText"/>
        <w:tabs>
          <w:tab w:val="left" w:pos="7920"/>
          <w:tab w:val="left" w:pos="9180"/>
        </w:tabs>
        <w:rPr>
          <w:rFonts w:ascii="Arial" w:hAnsi="Arial"/>
          <w:color w:val="000000"/>
        </w:rPr>
      </w:pPr>
      <w:r>
        <w:rPr>
          <w:rFonts w:ascii="Arial" w:hAnsi="Arial"/>
          <w:color w:val="000000"/>
        </w:rPr>
        <w:t>Date</w:t>
      </w:r>
      <w:r w:rsidRPr="0058034B">
        <w:rPr>
          <w:rFonts w:ascii="Arial" w:hAnsi="Arial"/>
          <w:b/>
          <w:color w:val="000000"/>
        </w:rPr>
        <w:t xml:space="preserve">: </w:t>
      </w:r>
      <w:r w:rsidR="000C42CC">
        <w:rPr>
          <w:rFonts w:ascii="Arial" w:hAnsi="Arial"/>
          <w:b/>
          <w:color w:val="000000"/>
        </w:rPr>
        <w:t>May</w:t>
      </w:r>
      <w:r w:rsidR="00D06505">
        <w:rPr>
          <w:rFonts w:ascii="Arial" w:hAnsi="Arial"/>
          <w:b/>
          <w:color w:val="000000"/>
        </w:rPr>
        <w:t xml:space="preserve"> </w:t>
      </w:r>
      <w:r w:rsidR="000C42CC">
        <w:rPr>
          <w:rFonts w:ascii="Arial" w:hAnsi="Arial"/>
          <w:b/>
          <w:color w:val="000000"/>
        </w:rPr>
        <w:t>7</w:t>
      </w:r>
      <w:r w:rsidR="0058034B">
        <w:rPr>
          <w:rFonts w:ascii="Arial" w:hAnsi="Arial"/>
          <w:color w:val="000000"/>
        </w:rPr>
        <w:t xml:space="preserve">, </w:t>
      </w:r>
      <w:r w:rsidR="00417886" w:rsidRPr="00417886">
        <w:rPr>
          <w:rFonts w:ascii="Arial" w:hAnsi="Arial"/>
          <w:b/>
          <w:color w:val="000000"/>
        </w:rPr>
        <w:t>201</w:t>
      </w:r>
      <w:r w:rsidR="00D06505">
        <w:rPr>
          <w:rFonts w:ascii="Arial" w:hAnsi="Arial"/>
          <w:b/>
          <w:color w:val="000000"/>
        </w:rPr>
        <w:t>8</w:t>
      </w:r>
      <w:r>
        <w:rPr>
          <w:rFonts w:ascii="Arial" w:hAnsi="Arial"/>
          <w:color w:val="000000"/>
          <w:u w:val="single"/>
        </w:rPr>
        <w:tab/>
      </w:r>
      <w:r>
        <w:rPr>
          <w:rFonts w:ascii="Arial" w:hAnsi="Arial"/>
          <w:color w:val="000000"/>
          <w:u w:val="single"/>
        </w:rPr>
        <w:tab/>
      </w:r>
    </w:p>
    <w:p w14:paraId="6BC6939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C17FF7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FB121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96967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BBCE0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ED17C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DB56C2E" w14:textId="77777777" w:rsidR="00640E94" w:rsidRDefault="00640E94">
      <w:pPr>
        <w:pStyle w:val="List"/>
        <w:keepLines/>
        <w:spacing w:before="120"/>
        <w:ind w:left="0" w:firstLine="0"/>
        <w:rPr>
          <w:rFonts w:ascii="Arial" w:hAnsi="Arial"/>
          <w:b/>
        </w:rPr>
      </w:pPr>
      <w:r>
        <w:rPr>
          <w:rFonts w:ascii="Arial" w:hAnsi="Arial"/>
          <w:b/>
        </w:rPr>
        <w:t>Report on Business</w:t>
      </w:r>
    </w:p>
    <w:p w14:paraId="6404007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892DAD5" w14:textId="3C412651" w:rsidR="00A90F5A" w:rsidRDefault="00C16D57" w:rsidP="00C40057">
      <w:pPr>
        <w:pStyle w:val="List"/>
        <w:spacing w:before="120"/>
        <w:ind w:left="720" w:firstLine="0"/>
        <w:jc w:val="both"/>
        <w:rPr>
          <w:rFonts w:ascii="Arial" w:hAnsi="Arial"/>
          <w:b/>
        </w:rPr>
      </w:pPr>
      <w:r>
        <w:rPr>
          <w:rFonts w:ascii="Arial" w:hAnsi="Arial"/>
          <w:b/>
        </w:rPr>
        <w:t xml:space="preserve">The issuer </w:t>
      </w:r>
      <w:r w:rsidR="007E457A">
        <w:rPr>
          <w:rFonts w:ascii="Arial" w:hAnsi="Arial"/>
          <w:b/>
        </w:rPr>
        <w:t>continued to build the</w:t>
      </w:r>
      <w:r w:rsidR="00A90F5A">
        <w:rPr>
          <w:rFonts w:ascii="Arial" w:hAnsi="Arial"/>
          <w:b/>
        </w:rPr>
        <w:t xml:space="preserve">ir business: Announced they </w:t>
      </w:r>
      <w:r w:rsidR="000C42CC">
        <w:rPr>
          <w:rFonts w:ascii="Arial" w:hAnsi="Arial"/>
          <w:b/>
        </w:rPr>
        <w:t>now offer instant settlement for merchants that allows merchants to accept cryptocurrency and be guaranteed the fiat equivalent</w:t>
      </w:r>
      <w:r w:rsidR="00D74002">
        <w:rPr>
          <w:rFonts w:ascii="Arial" w:hAnsi="Arial"/>
          <w:b/>
        </w:rPr>
        <w:t xml:space="preserve">, </w:t>
      </w:r>
      <w:r w:rsidR="000C42CC">
        <w:rPr>
          <w:rFonts w:ascii="Arial" w:hAnsi="Arial"/>
          <w:b/>
        </w:rPr>
        <w:t>the company started processing transactions for merchants this month</w:t>
      </w:r>
      <w:r w:rsidR="00D74002">
        <w:rPr>
          <w:rFonts w:ascii="Arial" w:hAnsi="Arial"/>
          <w:b/>
        </w:rPr>
        <w:t>.</w:t>
      </w:r>
      <w:r w:rsidR="000C42CC">
        <w:rPr>
          <w:rFonts w:ascii="Arial" w:hAnsi="Arial"/>
          <w:b/>
        </w:rPr>
        <w:t xml:space="preserve"> The Company secured a </w:t>
      </w:r>
      <w:proofErr w:type="gramStart"/>
      <w:r w:rsidR="000C42CC">
        <w:rPr>
          <w:rFonts w:ascii="Arial" w:hAnsi="Arial"/>
          <w:b/>
        </w:rPr>
        <w:lastRenderedPageBreak/>
        <w:t>short term</w:t>
      </w:r>
      <w:proofErr w:type="gramEnd"/>
      <w:r w:rsidR="000C42CC">
        <w:rPr>
          <w:rFonts w:ascii="Arial" w:hAnsi="Arial"/>
          <w:b/>
        </w:rPr>
        <w:t xml:space="preserve"> loan from a related party (Director) of the company. Terms were disclosed in Form 9 on the CSE.</w:t>
      </w:r>
    </w:p>
    <w:p w14:paraId="618DACEE" w14:textId="4B09C41F" w:rsidR="000C42CC" w:rsidRDefault="000C42CC" w:rsidP="00C40057">
      <w:pPr>
        <w:pStyle w:val="List"/>
        <w:spacing w:before="120"/>
        <w:ind w:left="720" w:firstLine="0"/>
        <w:jc w:val="both"/>
        <w:rPr>
          <w:rFonts w:ascii="Arial" w:hAnsi="Arial"/>
          <w:b/>
        </w:rPr>
      </w:pPr>
      <w:r>
        <w:rPr>
          <w:rFonts w:ascii="Arial" w:hAnsi="Arial"/>
          <w:b/>
        </w:rPr>
        <w:t>The company stock was</w:t>
      </w:r>
      <w:r w:rsidR="002D0CD8">
        <w:rPr>
          <w:rFonts w:ascii="Arial" w:hAnsi="Arial"/>
          <w:b/>
        </w:rPr>
        <w:t xml:space="preserve"> and is still</w:t>
      </w:r>
      <w:r>
        <w:rPr>
          <w:rFonts w:ascii="Arial" w:hAnsi="Arial"/>
          <w:b/>
        </w:rPr>
        <w:t xml:space="preserve"> halted for not </w:t>
      </w:r>
      <w:proofErr w:type="gramStart"/>
      <w:r>
        <w:rPr>
          <w:rFonts w:ascii="Arial" w:hAnsi="Arial"/>
          <w:b/>
        </w:rPr>
        <w:t>being in compliance</w:t>
      </w:r>
      <w:proofErr w:type="gramEnd"/>
      <w:r w:rsidR="002D0CD8">
        <w:rPr>
          <w:rFonts w:ascii="Arial" w:hAnsi="Arial"/>
          <w:b/>
        </w:rPr>
        <w:t>.</w:t>
      </w:r>
    </w:p>
    <w:p w14:paraId="2A67C280" w14:textId="35E3B45E" w:rsidR="000C42CC" w:rsidRDefault="000C42CC" w:rsidP="00C40057">
      <w:pPr>
        <w:pStyle w:val="List"/>
        <w:spacing w:before="120"/>
        <w:ind w:left="720" w:firstLine="0"/>
        <w:jc w:val="both"/>
        <w:rPr>
          <w:rFonts w:ascii="Arial" w:hAnsi="Arial"/>
          <w:b/>
        </w:rPr>
      </w:pPr>
      <w:proofErr w:type="spellStart"/>
      <w:r w:rsidRPr="000C42CC">
        <w:rPr>
          <w:rFonts w:ascii="Arial" w:hAnsi="Arial"/>
          <w:b/>
          <w:i/>
          <w:iCs/>
          <w:lang w:val="en-US"/>
        </w:rPr>
        <w:t>NetCents</w:t>
      </w:r>
      <w:proofErr w:type="spellEnd"/>
      <w:r w:rsidRPr="000C42CC">
        <w:rPr>
          <w:rFonts w:ascii="Arial" w:hAnsi="Arial"/>
          <w:b/>
          <w:i/>
          <w:iCs/>
          <w:lang w:val="en-US"/>
        </w:rPr>
        <w:t xml:space="preserve"> Technology Inc. is in default of CSE requirements. Effective immediately, </w:t>
      </w:r>
      <w:proofErr w:type="spellStart"/>
      <w:r w:rsidRPr="000C42CC">
        <w:rPr>
          <w:rFonts w:ascii="Arial" w:hAnsi="Arial"/>
          <w:b/>
          <w:i/>
          <w:iCs/>
          <w:lang w:val="en-US"/>
        </w:rPr>
        <w:t>NetCents</w:t>
      </w:r>
      <w:proofErr w:type="spellEnd"/>
      <w:r w:rsidRPr="000C42CC">
        <w:rPr>
          <w:rFonts w:ascii="Arial" w:hAnsi="Arial"/>
          <w:b/>
          <w:i/>
          <w:iCs/>
          <w:lang w:val="en-US"/>
        </w:rPr>
        <w:t xml:space="preserve"> Technology will be suspended pursuant to CSE Policy 3. The suspension is considered a Regulatory Halt as defined in National Instrument 23-101 Trading Rules.</w:t>
      </w:r>
      <w:r>
        <w:rPr>
          <w:rFonts w:ascii="Arial" w:hAnsi="Arial"/>
          <w:b/>
          <w:i/>
          <w:iCs/>
          <w:lang w:val="en-US"/>
        </w:rPr>
        <w:t xml:space="preserve"> </w:t>
      </w:r>
    </w:p>
    <w:p w14:paraId="43BDAD5E" w14:textId="77777777" w:rsidR="00640E94" w:rsidRDefault="00640E94" w:rsidP="009C7C33">
      <w:pPr>
        <w:pStyle w:val="List"/>
        <w:spacing w:before="120"/>
        <w:ind w:left="720" w:firstLine="0"/>
        <w:jc w:val="both"/>
        <w:rPr>
          <w:rFonts w:ascii="Arial" w:hAnsi="Arial"/>
        </w:rPr>
      </w:pPr>
      <w:r>
        <w:rPr>
          <w:rFonts w:ascii="Arial" w:hAnsi="Arial"/>
        </w:rPr>
        <w:t>Provide a general overview and discussion of the activities of management.</w:t>
      </w:r>
    </w:p>
    <w:p w14:paraId="5E098893" w14:textId="43D0F397" w:rsidR="000C42CC"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 xml:space="preserve">focus on expanding the company’s global reach </w:t>
      </w:r>
      <w:r w:rsidR="00AF7B57">
        <w:rPr>
          <w:rFonts w:ascii="Arial" w:hAnsi="Arial"/>
          <w:b/>
        </w:rPr>
        <w:t xml:space="preserve">working to build a pipeline of new potential partners to further increase </w:t>
      </w:r>
      <w:r w:rsidR="002D0CD8">
        <w:rPr>
          <w:rFonts w:ascii="Arial" w:hAnsi="Arial"/>
          <w:b/>
        </w:rPr>
        <w:t>revenue of the business</w:t>
      </w:r>
      <w:r w:rsidR="004D4D36" w:rsidRPr="004D4D36">
        <w:rPr>
          <w:rFonts w:ascii="Arial" w:hAnsi="Arial"/>
          <w:b/>
        </w:rPr>
        <w:t>. Refer to Item 1 above</w:t>
      </w:r>
      <w:r w:rsidR="004D4D36">
        <w:rPr>
          <w:rFonts w:ascii="Arial" w:hAnsi="Arial"/>
        </w:rPr>
        <w:t xml:space="preserve">. </w:t>
      </w:r>
      <w:r>
        <w:rPr>
          <w:rFonts w:ascii="Arial" w:hAnsi="Arial"/>
        </w:rPr>
        <w:t xml:space="preserve"> </w:t>
      </w:r>
    </w:p>
    <w:p w14:paraId="5EB0C9E3" w14:textId="205D1153" w:rsidR="00CA11BB" w:rsidRPr="000C42CC" w:rsidRDefault="000C42CC" w:rsidP="00CA11BB">
      <w:pPr>
        <w:pStyle w:val="List"/>
        <w:spacing w:before="120"/>
        <w:ind w:left="720" w:firstLine="0"/>
        <w:jc w:val="both"/>
        <w:rPr>
          <w:rFonts w:ascii="Arial" w:hAnsi="Arial"/>
          <w:b/>
        </w:rPr>
      </w:pPr>
      <w:r w:rsidRPr="000C42CC">
        <w:rPr>
          <w:rFonts w:ascii="Arial" w:hAnsi="Arial"/>
          <w:b/>
        </w:rPr>
        <w:t xml:space="preserve">Management has </w:t>
      </w:r>
      <w:r>
        <w:rPr>
          <w:rFonts w:ascii="Arial" w:hAnsi="Arial"/>
          <w:b/>
        </w:rPr>
        <w:t xml:space="preserve">also </w:t>
      </w:r>
      <w:r w:rsidRPr="000C42CC">
        <w:rPr>
          <w:rFonts w:ascii="Arial" w:hAnsi="Arial"/>
          <w:b/>
        </w:rPr>
        <w:t>been focused on providing all the required information to have the Regulatory Halt lifted.</w:t>
      </w:r>
    </w:p>
    <w:p w14:paraId="3F3DE208"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151B35" w14:textId="77777777"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14:paraId="78C192F9"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53048A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1860F62F"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AD11AAD" w14:textId="77777777"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14:paraId="22F9422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F6AB950"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4C541D49"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A24A1">
        <w:rPr>
          <w:rFonts w:ascii="Arial" w:hAnsi="Arial"/>
        </w:rPr>
        <w:t>de details of the relationship.</w:t>
      </w:r>
    </w:p>
    <w:p w14:paraId="51F45096" w14:textId="77777777"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14:paraId="24C466E1"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1DAB9E28" w14:textId="77777777" w:rsidR="00D136A8" w:rsidRPr="00D136A8" w:rsidRDefault="00962BED" w:rsidP="00D136A8">
      <w:pPr>
        <w:pStyle w:val="List"/>
        <w:spacing w:before="120"/>
        <w:ind w:left="720" w:firstLine="0"/>
        <w:jc w:val="both"/>
        <w:rPr>
          <w:rFonts w:ascii="Arial" w:hAnsi="Arial"/>
          <w:b/>
        </w:rPr>
      </w:pPr>
      <w:r>
        <w:rPr>
          <w:rFonts w:ascii="Arial" w:hAnsi="Arial"/>
          <w:b/>
        </w:rPr>
        <w:t>N/A</w:t>
      </w:r>
    </w:p>
    <w:p w14:paraId="5BDF24E5"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A974028" w14:textId="77777777" w:rsidR="00D136A8" w:rsidRDefault="00D136A8"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14:paraId="378505A4" w14:textId="349268B1"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7E457A">
        <w:rPr>
          <w:rFonts w:ascii="Arial" w:hAnsi="Arial"/>
          <w:b/>
        </w:rPr>
        <w:t xml:space="preserve"> </w:t>
      </w:r>
      <w:r w:rsidR="000C42CC">
        <w:rPr>
          <w:rFonts w:ascii="Arial" w:hAnsi="Arial"/>
          <w:b/>
        </w:rPr>
        <w:t>No new hires in the month</w:t>
      </w:r>
    </w:p>
    <w:p w14:paraId="053626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97069C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38979AC4"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191B02" w14:textId="2FC3E77F" w:rsidR="005E7B2A" w:rsidRPr="005E7B2A" w:rsidRDefault="001D25CC" w:rsidP="005E7B2A">
      <w:pPr>
        <w:pStyle w:val="List"/>
        <w:spacing w:before="120"/>
        <w:ind w:left="720" w:firstLine="0"/>
        <w:jc w:val="both"/>
        <w:rPr>
          <w:rFonts w:ascii="Arial" w:hAnsi="Arial"/>
          <w:b/>
        </w:rPr>
      </w:pPr>
      <w:r>
        <w:rPr>
          <w:rFonts w:ascii="Arial" w:hAnsi="Arial"/>
          <w:b/>
        </w:rPr>
        <w:t>None</w:t>
      </w:r>
      <w:r w:rsidR="00417886">
        <w:rPr>
          <w:rFonts w:ascii="Arial" w:hAnsi="Arial"/>
          <w:b/>
        </w:rPr>
        <w:t xml:space="preserve"> </w:t>
      </w:r>
    </w:p>
    <w:p w14:paraId="7D2DF257" w14:textId="251DD400"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45ACF15" w14:textId="77777777" w:rsidR="007C2A26" w:rsidRDefault="007C2A26" w:rsidP="007C2A26">
      <w:pPr>
        <w:pStyle w:val="List"/>
        <w:spacing w:before="120"/>
        <w:ind w:left="720" w:firstLine="0"/>
        <w:jc w:val="both"/>
        <w:rPr>
          <w:rFonts w:ascii="Arial" w:hAnsi="Arial"/>
        </w:rPr>
      </w:pPr>
    </w:p>
    <w:tbl>
      <w:tblPr>
        <w:tblW w:w="105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494"/>
        <w:gridCol w:w="1258"/>
        <w:gridCol w:w="1100"/>
      </w:tblGrid>
      <w:tr w:rsidR="007C2A26" w14:paraId="2168E3DC" w14:textId="77777777" w:rsidTr="00FD59F4">
        <w:trPr>
          <w:trHeight w:val="1296"/>
        </w:trPr>
        <w:tc>
          <w:tcPr>
            <w:tcW w:w="1394" w:type="dxa"/>
            <w:shd w:val="clear" w:color="auto" w:fill="F2F2F2" w:themeFill="background1" w:themeFillShade="F2"/>
            <w:vAlign w:val="bottom"/>
          </w:tcPr>
          <w:p w14:paraId="150FC9AB" w14:textId="77777777" w:rsidR="007C2A26" w:rsidRPr="002E78CF" w:rsidRDefault="007C2A26" w:rsidP="00FD59F4">
            <w:pPr>
              <w:pStyle w:val="BodyText"/>
              <w:spacing w:before="0"/>
              <w:jc w:val="center"/>
              <w:rPr>
                <w:rFonts w:ascii="Verdana" w:hAnsi="Verdana"/>
                <w:b/>
                <w:sz w:val="16"/>
                <w:szCs w:val="16"/>
                <w:lang w:val="en-CA"/>
              </w:rPr>
            </w:pPr>
            <w:r w:rsidRPr="002E78CF">
              <w:rPr>
                <w:rFonts w:ascii="Verdana" w:hAnsi="Verdana"/>
                <w:b/>
                <w:sz w:val="16"/>
                <w:szCs w:val="16"/>
                <w:lang w:val="en-CA"/>
              </w:rPr>
              <w:t xml:space="preserve">Full Name &amp; Residential Address of </w:t>
            </w:r>
            <w:proofErr w:type="spellStart"/>
            <w:r w:rsidRPr="002E78CF">
              <w:rPr>
                <w:rFonts w:ascii="Verdana" w:hAnsi="Verdana"/>
                <w:b/>
                <w:sz w:val="16"/>
                <w:szCs w:val="16"/>
                <w:lang w:val="en-CA"/>
              </w:rPr>
              <w:t>Placee</w:t>
            </w:r>
            <w:proofErr w:type="spellEnd"/>
          </w:p>
        </w:tc>
        <w:tc>
          <w:tcPr>
            <w:tcW w:w="1376" w:type="dxa"/>
            <w:shd w:val="clear" w:color="auto" w:fill="F2F2F2" w:themeFill="background1" w:themeFillShade="F2"/>
            <w:vAlign w:val="bottom"/>
          </w:tcPr>
          <w:p w14:paraId="19B864D0" w14:textId="77777777" w:rsidR="007C2A26" w:rsidRPr="002E78CF" w:rsidRDefault="007C2A26" w:rsidP="00FD59F4">
            <w:pPr>
              <w:pStyle w:val="BodyText"/>
              <w:spacing w:before="0"/>
              <w:jc w:val="center"/>
              <w:rPr>
                <w:rFonts w:ascii="Verdana" w:hAnsi="Verdana"/>
                <w:b/>
                <w:sz w:val="16"/>
                <w:szCs w:val="16"/>
                <w:lang w:val="en-CA"/>
              </w:rPr>
            </w:pPr>
            <w:r w:rsidRPr="002E78CF">
              <w:rPr>
                <w:rFonts w:ascii="Verdana" w:hAnsi="Verdana"/>
                <w:b/>
                <w:sz w:val="16"/>
                <w:szCs w:val="16"/>
                <w:lang w:val="en-CA"/>
              </w:rPr>
              <w:t>Number of Securities Purchased or to be Purchased</w:t>
            </w:r>
          </w:p>
        </w:tc>
        <w:tc>
          <w:tcPr>
            <w:tcW w:w="1192" w:type="dxa"/>
            <w:shd w:val="clear" w:color="auto" w:fill="F2F2F2" w:themeFill="background1" w:themeFillShade="F2"/>
            <w:vAlign w:val="bottom"/>
          </w:tcPr>
          <w:p w14:paraId="5200422C" w14:textId="77777777" w:rsidR="007C2A26" w:rsidRPr="009758F1" w:rsidRDefault="007C2A26" w:rsidP="00FD59F4">
            <w:pPr>
              <w:pStyle w:val="BodyText"/>
              <w:spacing w:before="0"/>
              <w:jc w:val="center"/>
              <w:rPr>
                <w:rFonts w:ascii="Verdana" w:hAnsi="Verdana"/>
                <w:b/>
                <w:sz w:val="16"/>
                <w:szCs w:val="16"/>
                <w:lang w:val="en-CA"/>
              </w:rPr>
            </w:pPr>
            <w:r w:rsidRPr="009758F1">
              <w:rPr>
                <w:rFonts w:ascii="Verdana" w:hAnsi="Verdana"/>
                <w:b/>
                <w:sz w:val="16"/>
                <w:szCs w:val="16"/>
                <w:lang w:val="en-CA"/>
              </w:rPr>
              <w:t>Purchase price per Security (CDN$)</w:t>
            </w:r>
          </w:p>
        </w:tc>
        <w:tc>
          <w:tcPr>
            <w:tcW w:w="1376" w:type="dxa"/>
            <w:shd w:val="clear" w:color="auto" w:fill="F2F2F2" w:themeFill="background1" w:themeFillShade="F2"/>
            <w:vAlign w:val="bottom"/>
          </w:tcPr>
          <w:p w14:paraId="6EF77E2E" w14:textId="77777777" w:rsidR="007C2A26" w:rsidRPr="009758F1" w:rsidRDefault="007C2A26" w:rsidP="00FD59F4">
            <w:pPr>
              <w:pStyle w:val="BodyText"/>
              <w:spacing w:before="0"/>
              <w:jc w:val="center"/>
              <w:rPr>
                <w:rFonts w:ascii="Verdana" w:hAnsi="Verdana"/>
                <w:b/>
                <w:sz w:val="16"/>
                <w:szCs w:val="16"/>
                <w:lang w:val="en-CA"/>
              </w:rPr>
            </w:pPr>
            <w:r w:rsidRPr="009758F1">
              <w:rPr>
                <w:rFonts w:ascii="Verdana" w:hAnsi="Verdana"/>
                <w:b/>
                <w:sz w:val="16"/>
                <w:szCs w:val="16"/>
                <w:lang w:val="en-CA"/>
              </w:rPr>
              <w:t>Conversion</w:t>
            </w:r>
          </w:p>
          <w:p w14:paraId="27B08FA4" w14:textId="77777777" w:rsidR="007C2A26" w:rsidRPr="009758F1" w:rsidRDefault="007C2A26" w:rsidP="00FD59F4">
            <w:pPr>
              <w:pStyle w:val="BodyText"/>
              <w:spacing w:before="0"/>
              <w:jc w:val="center"/>
              <w:rPr>
                <w:rFonts w:ascii="Verdana" w:hAnsi="Verdana"/>
                <w:b/>
                <w:sz w:val="16"/>
                <w:szCs w:val="16"/>
                <w:lang w:val="en-CA"/>
              </w:rPr>
            </w:pPr>
            <w:r w:rsidRPr="009758F1">
              <w:rPr>
                <w:rFonts w:ascii="Verdana" w:hAnsi="Verdana"/>
                <w:b/>
                <w:sz w:val="16"/>
                <w:szCs w:val="16"/>
                <w:lang w:val="en-CA"/>
              </w:rPr>
              <w:t>Price (if</w:t>
            </w:r>
          </w:p>
          <w:p w14:paraId="3B8353D4" w14:textId="77777777" w:rsidR="007C2A26" w:rsidRPr="009758F1" w:rsidRDefault="007C2A26" w:rsidP="00FD59F4">
            <w:pPr>
              <w:pStyle w:val="BodyText"/>
              <w:spacing w:before="0"/>
              <w:jc w:val="center"/>
              <w:rPr>
                <w:rFonts w:ascii="Verdana" w:hAnsi="Verdana"/>
                <w:b/>
                <w:sz w:val="16"/>
                <w:szCs w:val="16"/>
                <w:lang w:val="en-CA"/>
              </w:rPr>
            </w:pPr>
            <w:r w:rsidRPr="009758F1">
              <w:rPr>
                <w:rFonts w:ascii="Verdana" w:hAnsi="Verdana"/>
                <w:b/>
                <w:sz w:val="16"/>
                <w:szCs w:val="16"/>
                <w:lang w:val="en-CA"/>
              </w:rPr>
              <w:t>Applicable)</w:t>
            </w:r>
          </w:p>
        </w:tc>
        <w:tc>
          <w:tcPr>
            <w:tcW w:w="1376" w:type="dxa"/>
            <w:shd w:val="clear" w:color="auto" w:fill="F2F2F2" w:themeFill="background1" w:themeFillShade="F2"/>
            <w:vAlign w:val="bottom"/>
          </w:tcPr>
          <w:p w14:paraId="3833D045" w14:textId="77777777" w:rsidR="007C2A26" w:rsidRPr="00711A95" w:rsidRDefault="007C2A26" w:rsidP="00FD59F4">
            <w:pPr>
              <w:pStyle w:val="BodyText"/>
              <w:spacing w:before="0"/>
              <w:jc w:val="center"/>
              <w:rPr>
                <w:rFonts w:ascii="Verdana" w:hAnsi="Verdana"/>
                <w:b/>
                <w:sz w:val="16"/>
                <w:szCs w:val="16"/>
                <w:lang w:val="en-CA"/>
              </w:rPr>
            </w:pPr>
            <w:r w:rsidRPr="00711A95">
              <w:rPr>
                <w:rFonts w:ascii="Verdana" w:hAnsi="Verdana"/>
                <w:b/>
                <w:sz w:val="16"/>
                <w:szCs w:val="16"/>
                <w:lang w:val="en-CA"/>
              </w:rPr>
              <w:t>Prospectus Exemption</w:t>
            </w:r>
          </w:p>
        </w:tc>
        <w:tc>
          <w:tcPr>
            <w:tcW w:w="1494" w:type="dxa"/>
            <w:shd w:val="clear" w:color="auto" w:fill="F2F2F2" w:themeFill="background1" w:themeFillShade="F2"/>
            <w:vAlign w:val="bottom"/>
          </w:tcPr>
          <w:p w14:paraId="36C9C241" w14:textId="77777777" w:rsidR="007C2A26" w:rsidRPr="00711A95" w:rsidRDefault="007C2A26" w:rsidP="00FD59F4">
            <w:pPr>
              <w:pStyle w:val="BodyText"/>
              <w:spacing w:before="0"/>
              <w:jc w:val="center"/>
              <w:rPr>
                <w:rFonts w:ascii="Verdana" w:hAnsi="Verdana"/>
                <w:b/>
                <w:sz w:val="16"/>
                <w:szCs w:val="16"/>
                <w:lang w:val="en-CA"/>
              </w:rPr>
            </w:pPr>
            <w:r w:rsidRPr="00711A95">
              <w:rPr>
                <w:rFonts w:ascii="Verdana" w:hAnsi="Verdana"/>
                <w:b/>
                <w:sz w:val="16"/>
                <w:szCs w:val="16"/>
              </w:rPr>
              <w:t>No. of Securities, directly or indirectly, Owned, Controlled or Directed</w:t>
            </w:r>
          </w:p>
        </w:tc>
        <w:tc>
          <w:tcPr>
            <w:tcW w:w="1258" w:type="dxa"/>
            <w:shd w:val="clear" w:color="auto" w:fill="F2F2F2" w:themeFill="background1" w:themeFillShade="F2"/>
            <w:vAlign w:val="bottom"/>
          </w:tcPr>
          <w:p w14:paraId="752E139F" w14:textId="77777777" w:rsidR="007C2A26" w:rsidRPr="00711A95" w:rsidRDefault="007C2A26" w:rsidP="00FD59F4">
            <w:pPr>
              <w:pStyle w:val="BodyText"/>
              <w:spacing w:before="0"/>
              <w:jc w:val="center"/>
              <w:rPr>
                <w:rFonts w:ascii="Verdana" w:hAnsi="Verdana"/>
                <w:b/>
                <w:sz w:val="16"/>
                <w:szCs w:val="16"/>
                <w:lang w:val="en-CA"/>
              </w:rPr>
            </w:pPr>
            <w:r w:rsidRPr="00711A95">
              <w:rPr>
                <w:rFonts w:ascii="Verdana" w:hAnsi="Verdana"/>
                <w:b/>
                <w:sz w:val="16"/>
                <w:szCs w:val="16"/>
                <w:lang w:val="en-CA"/>
              </w:rPr>
              <w:t xml:space="preserve">Payment </w:t>
            </w:r>
            <w:proofErr w:type="gramStart"/>
            <w:r w:rsidRPr="00711A95">
              <w:rPr>
                <w:rFonts w:ascii="Verdana" w:hAnsi="Verdana"/>
                <w:b/>
                <w:sz w:val="16"/>
                <w:szCs w:val="16"/>
                <w:lang w:val="en-CA"/>
              </w:rPr>
              <w:t>Date(</w:t>
            </w:r>
            <w:proofErr w:type="gramEnd"/>
            <w:r w:rsidRPr="00711A95">
              <w:rPr>
                <w:rFonts w:ascii="Verdana" w:hAnsi="Verdana"/>
                <w:b/>
                <w:sz w:val="16"/>
                <w:szCs w:val="16"/>
                <w:lang w:val="en-CA"/>
              </w:rPr>
              <w:t>1)</w:t>
            </w:r>
          </w:p>
        </w:tc>
        <w:tc>
          <w:tcPr>
            <w:tcW w:w="1100" w:type="dxa"/>
            <w:shd w:val="clear" w:color="auto" w:fill="F2F2F2" w:themeFill="background1" w:themeFillShade="F2"/>
            <w:vAlign w:val="bottom"/>
          </w:tcPr>
          <w:p w14:paraId="03B3BD11" w14:textId="77777777" w:rsidR="007C2A26" w:rsidRPr="00711A95" w:rsidRDefault="007C2A26" w:rsidP="00FD59F4">
            <w:pPr>
              <w:pStyle w:val="BodyText"/>
              <w:spacing w:before="0"/>
              <w:jc w:val="center"/>
              <w:rPr>
                <w:rFonts w:ascii="Verdana" w:hAnsi="Verdana"/>
                <w:b/>
                <w:color w:val="000000"/>
                <w:sz w:val="16"/>
                <w:szCs w:val="16"/>
                <w:lang w:val="en-CA"/>
              </w:rPr>
            </w:pPr>
            <w:r w:rsidRPr="00711A95">
              <w:rPr>
                <w:rFonts w:ascii="Verdana" w:hAnsi="Verdana"/>
                <w:b/>
                <w:color w:val="000000"/>
                <w:sz w:val="16"/>
                <w:szCs w:val="16"/>
                <w:lang w:val="en-CA"/>
              </w:rPr>
              <w:t>Describe relations-hip to Issuer (2)</w:t>
            </w:r>
          </w:p>
        </w:tc>
      </w:tr>
      <w:tr w:rsidR="007C2A26" w14:paraId="5CD2FC17" w14:textId="77777777" w:rsidTr="00FD59F4">
        <w:trPr>
          <w:trHeight w:val="864"/>
        </w:trPr>
        <w:tc>
          <w:tcPr>
            <w:tcW w:w="1394" w:type="dxa"/>
          </w:tcPr>
          <w:p w14:paraId="4FFA289E" w14:textId="77777777" w:rsidR="007C2A26" w:rsidRPr="00AB72EB" w:rsidRDefault="007C2A26" w:rsidP="00FD59F4">
            <w:pPr>
              <w:pStyle w:val="BodyText"/>
              <w:spacing w:before="0"/>
              <w:rPr>
                <w:sz w:val="20"/>
                <w:lang w:val="fr-FR"/>
              </w:rPr>
            </w:pPr>
            <w:r w:rsidRPr="00AB72EB">
              <w:rPr>
                <w:sz w:val="20"/>
                <w:lang w:val="fr-FR"/>
              </w:rPr>
              <w:t xml:space="preserve">Jean-Marc Bougie (the </w:t>
            </w:r>
            <w:r>
              <w:rPr>
                <w:sz w:val="20"/>
                <w:lang w:val="fr-FR"/>
              </w:rPr>
              <w:t>"</w:t>
            </w:r>
            <w:proofErr w:type="spellStart"/>
            <w:r w:rsidRPr="00243D29">
              <w:rPr>
                <w:b/>
                <w:sz w:val="20"/>
                <w:lang w:val="fr-FR"/>
              </w:rPr>
              <w:t>Lender</w:t>
            </w:r>
            <w:proofErr w:type="spellEnd"/>
            <w:r>
              <w:rPr>
                <w:sz w:val="20"/>
                <w:lang w:val="fr-FR"/>
              </w:rPr>
              <w:t>"</w:t>
            </w:r>
            <w:r w:rsidRPr="00AB72EB">
              <w:rPr>
                <w:sz w:val="20"/>
                <w:lang w:val="fr-FR"/>
              </w:rPr>
              <w:t>)</w:t>
            </w:r>
          </w:p>
          <w:p w14:paraId="4AF509FE" w14:textId="77777777" w:rsidR="007C2A26" w:rsidRPr="00AB72EB" w:rsidRDefault="007C2A26" w:rsidP="00FD59F4">
            <w:pPr>
              <w:pStyle w:val="BodyText"/>
              <w:spacing w:before="0"/>
              <w:rPr>
                <w:sz w:val="20"/>
                <w:lang w:val="fr-FR"/>
              </w:rPr>
            </w:pPr>
            <w:proofErr w:type="spellStart"/>
            <w:r>
              <w:rPr>
                <w:sz w:val="20"/>
                <w:lang w:val="fr-FR"/>
              </w:rPr>
              <w:t>Montreal</w:t>
            </w:r>
            <w:proofErr w:type="spellEnd"/>
            <w:r>
              <w:rPr>
                <w:sz w:val="20"/>
                <w:lang w:val="fr-FR"/>
              </w:rPr>
              <w:t>, QC</w:t>
            </w:r>
          </w:p>
        </w:tc>
        <w:tc>
          <w:tcPr>
            <w:tcW w:w="1376" w:type="dxa"/>
          </w:tcPr>
          <w:p w14:paraId="358D31E3" w14:textId="77777777" w:rsidR="007C2A26" w:rsidRPr="00AB72EB" w:rsidRDefault="007C2A26" w:rsidP="00FD59F4">
            <w:pPr>
              <w:pStyle w:val="BodyText"/>
              <w:spacing w:before="0"/>
              <w:jc w:val="center"/>
              <w:rPr>
                <w:sz w:val="20"/>
                <w:lang w:val="en-CA"/>
              </w:rPr>
            </w:pPr>
            <w:r w:rsidRPr="00AB72EB">
              <w:rPr>
                <w:sz w:val="20"/>
                <w:lang w:val="en-CA"/>
              </w:rPr>
              <w:t xml:space="preserve">$1 Million in principal </w:t>
            </w:r>
            <w:r>
              <w:rPr>
                <w:sz w:val="20"/>
                <w:lang w:val="en-CA"/>
              </w:rPr>
              <w:t xml:space="preserve">8% secured </w:t>
            </w:r>
            <w:r w:rsidRPr="00AB72EB">
              <w:rPr>
                <w:sz w:val="20"/>
                <w:lang w:val="en-CA"/>
              </w:rPr>
              <w:t xml:space="preserve">convertible loan </w:t>
            </w:r>
            <w:r w:rsidRPr="00AB72EB">
              <w:rPr>
                <w:i/>
                <w:sz w:val="20"/>
                <w:lang w:val="en-CA"/>
              </w:rPr>
              <w:t>plus</w:t>
            </w:r>
            <w:r>
              <w:rPr>
                <w:sz w:val="20"/>
                <w:lang w:val="en-CA"/>
              </w:rPr>
              <w:t xml:space="preserve"> </w:t>
            </w:r>
            <w:r w:rsidRPr="00AB72EB">
              <w:rPr>
                <w:sz w:val="20"/>
                <w:lang w:val="en-CA"/>
              </w:rPr>
              <w:t>369,000 Warrants</w:t>
            </w:r>
          </w:p>
        </w:tc>
        <w:tc>
          <w:tcPr>
            <w:tcW w:w="1192" w:type="dxa"/>
          </w:tcPr>
          <w:p w14:paraId="04BF986D" w14:textId="77777777" w:rsidR="007C2A26" w:rsidRPr="00AB72EB" w:rsidRDefault="007C2A26" w:rsidP="00FD59F4">
            <w:pPr>
              <w:pStyle w:val="BodyText"/>
              <w:spacing w:before="0"/>
              <w:jc w:val="center"/>
              <w:rPr>
                <w:sz w:val="20"/>
                <w:lang w:val="en-CA"/>
              </w:rPr>
            </w:pPr>
            <w:r w:rsidRPr="00AB72EB">
              <w:rPr>
                <w:sz w:val="20"/>
                <w:lang w:val="en-CA"/>
              </w:rPr>
              <w:t>$1 Million</w:t>
            </w:r>
          </w:p>
        </w:tc>
        <w:tc>
          <w:tcPr>
            <w:tcW w:w="1376" w:type="dxa"/>
          </w:tcPr>
          <w:p w14:paraId="45474199" w14:textId="77777777" w:rsidR="007C2A26" w:rsidRPr="00AB72EB" w:rsidRDefault="007C2A26" w:rsidP="00FD59F4">
            <w:pPr>
              <w:pStyle w:val="BodyText"/>
              <w:spacing w:before="0"/>
              <w:jc w:val="center"/>
              <w:rPr>
                <w:sz w:val="20"/>
                <w:lang w:val="en-CA"/>
              </w:rPr>
            </w:pPr>
            <w:r w:rsidRPr="00AB72EB">
              <w:rPr>
                <w:sz w:val="20"/>
                <w:lang w:val="en-CA"/>
              </w:rPr>
              <w:t>$2.71 per Common Share</w:t>
            </w:r>
          </w:p>
        </w:tc>
        <w:tc>
          <w:tcPr>
            <w:tcW w:w="1376" w:type="dxa"/>
          </w:tcPr>
          <w:p w14:paraId="59AC66AB" w14:textId="64BF77ED" w:rsidR="007C2A26" w:rsidRPr="00AB72EB" w:rsidRDefault="00BF7BDD" w:rsidP="00FD59F4">
            <w:pPr>
              <w:pStyle w:val="BodyText"/>
              <w:spacing w:before="0"/>
              <w:jc w:val="center"/>
              <w:rPr>
                <w:sz w:val="20"/>
                <w:lang w:val="en-CA"/>
              </w:rPr>
            </w:pPr>
            <w:r>
              <w:rPr>
                <w:sz w:val="20"/>
                <w:lang w:val="en-CA"/>
              </w:rPr>
              <w:t>S 2.5 of NI 45-106</w:t>
            </w:r>
            <w:bookmarkStart w:id="5" w:name="_GoBack"/>
            <w:bookmarkEnd w:id="5"/>
          </w:p>
        </w:tc>
        <w:tc>
          <w:tcPr>
            <w:tcW w:w="1494" w:type="dxa"/>
          </w:tcPr>
          <w:p w14:paraId="45EB9107" w14:textId="77777777" w:rsidR="007C2A26" w:rsidRPr="00824402" w:rsidRDefault="007C2A26" w:rsidP="00FD59F4">
            <w:pPr>
              <w:rPr>
                <w:lang w:val="en-CA"/>
              </w:rPr>
            </w:pPr>
            <w:r>
              <w:rPr>
                <w:lang w:val="en-CA"/>
              </w:rPr>
              <w:t>1,936,766 Common Shares, 250,000 Options, and 892,766 Warrants.</w:t>
            </w:r>
          </w:p>
        </w:tc>
        <w:tc>
          <w:tcPr>
            <w:tcW w:w="1258" w:type="dxa"/>
          </w:tcPr>
          <w:p w14:paraId="79278A63" w14:textId="77777777" w:rsidR="007C2A26" w:rsidRPr="00AB72EB" w:rsidRDefault="007C2A26" w:rsidP="00FD59F4">
            <w:pPr>
              <w:pStyle w:val="BodyText"/>
              <w:spacing w:before="0"/>
              <w:jc w:val="center"/>
              <w:rPr>
                <w:sz w:val="20"/>
                <w:lang w:val="en-CA"/>
              </w:rPr>
            </w:pPr>
            <w:r w:rsidRPr="00AB72EB">
              <w:rPr>
                <w:sz w:val="20"/>
                <w:lang w:val="en-CA"/>
              </w:rPr>
              <w:t>April 30, 2018</w:t>
            </w:r>
          </w:p>
        </w:tc>
        <w:tc>
          <w:tcPr>
            <w:tcW w:w="1100" w:type="dxa"/>
          </w:tcPr>
          <w:p w14:paraId="7CF4F7CA" w14:textId="77777777" w:rsidR="007C2A26" w:rsidRPr="00AB72EB" w:rsidRDefault="007C2A26" w:rsidP="00FD59F4">
            <w:pPr>
              <w:pStyle w:val="BodyText"/>
              <w:spacing w:before="0"/>
              <w:jc w:val="center"/>
              <w:rPr>
                <w:color w:val="000000"/>
                <w:sz w:val="20"/>
                <w:lang w:val="en-CA"/>
              </w:rPr>
            </w:pPr>
            <w:r w:rsidRPr="00AB72EB">
              <w:rPr>
                <w:color w:val="000000"/>
                <w:sz w:val="20"/>
                <w:lang w:val="en-CA"/>
              </w:rPr>
              <w:t>Director of the Issuer</w:t>
            </w:r>
          </w:p>
        </w:tc>
      </w:tr>
    </w:tbl>
    <w:p w14:paraId="0957C9F4" w14:textId="77777777" w:rsidR="002D0CD8" w:rsidRDefault="002D0CD8" w:rsidP="002D0CD8">
      <w:pPr>
        <w:pStyle w:val="List"/>
        <w:spacing w:before="120"/>
        <w:ind w:left="720" w:firstLine="0"/>
        <w:jc w:val="both"/>
        <w:rPr>
          <w:rFonts w:ascii="Arial" w:hAnsi="Arial"/>
        </w:rPr>
      </w:pPr>
    </w:p>
    <w:p w14:paraId="66B6F2E8" w14:textId="77777777" w:rsidR="00640E94" w:rsidRPr="004F3B90" w:rsidRDefault="00640E94">
      <w:pPr>
        <w:pStyle w:val="List"/>
        <w:numPr>
          <w:ilvl w:val="0"/>
          <w:numId w:val="28"/>
        </w:numPr>
        <w:spacing w:before="120"/>
        <w:jc w:val="both"/>
        <w:rPr>
          <w:rFonts w:ascii="Arial" w:hAnsi="Arial"/>
          <w:b/>
        </w:rPr>
      </w:pPr>
      <w:r>
        <w:rPr>
          <w:rFonts w:ascii="Arial" w:hAnsi="Arial"/>
        </w:rPr>
        <w:t>Provide details of any securities issued and options or warrants granted.</w:t>
      </w:r>
      <w:r w:rsidR="00A3776A">
        <w:rPr>
          <w:rFonts w:ascii="Arial" w:hAnsi="Arial"/>
        </w:rPr>
        <w:t xml:space="preserve"> </w:t>
      </w:r>
    </w:p>
    <w:p w14:paraId="13919F80" w14:textId="77777777" w:rsidR="00640E94" w:rsidRPr="00A3776A" w:rsidRDefault="00640E94">
      <w:pPr>
        <w:pStyle w:val="List"/>
        <w:spacing w:before="120"/>
        <w:ind w:left="0" w:firstLine="0"/>
        <w:jc w:val="both"/>
        <w:rPr>
          <w:rFonts w:ascii="Arial" w:hAnsi="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BC14883" w14:textId="77777777" w:rsidTr="00D56139">
        <w:tc>
          <w:tcPr>
            <w:tcW w:w="2394" w:type="dxa"/>
          </w:tcPr>
          <w:p w14:paraId="54A0B695"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14:paraId="34895E1A"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14:paraId="14EBDB79"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14:paraId="374F6422"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Use of Proceeds</w:t>
            </w:r>
            <w:r w:rsidRPr="000A3150">
              <w:rPr>
                <w:rFonts w:ascii="Arial" w:hAnsi="Arial"/>
                <w:b/>
                <w:vertAlign w:val="superscript"/>
              </w:rPr>
              <w:t>(1)</w:t>
            </w:r>
          </w:p>
        </w:tc>
      </w:tr>
      <w:tr w:rsidR="00640E94" w14:paraId="4CD256AB" w14:textId="77777777" w:rsidTr="00D56139">
        <w:tc>
          <w:tcPr>
            <w:tcW w:w="2394" w:type="dxa"/>
          </w:tcPr>
          <w:p w14:paraId="4107B377" w14:textId="77777777" w:rsidR="00640E94" w:rsidRPr="000A3150" w:rsidRDefault="008C24A0" w:rsidP="00DF7AD7">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5F7CA908" w14:textId="7177827B" w:rsidR="00640E94" w:rsidRPr="000A3150" w:rsidRDefault="00D56139" w:rsidP="00DF7AD7">
            <w:pPr>
              <w:pStyle w:val="List"/>
              <w:tabs>
                <w:tab w:val="left" w:pos="360"/>
              </w:tabs>
              <w:spacing w:before="0" w:line="280" w:lineRule="exact"/>
              <w:ind w:left="0" w:firstLine="0"/>
              <w:jc w:val="center"/>
              <w:rPr>
                <w:rFonts w:ascii="Arial" w:hAnsi="Arial"/>
              </w:rPr>
            </w:pPr>
            <w:r>
              <w:rPr>
                <w:rFonts w:ascii="Arial" w:hAnsi="Arial"/>
              </w:rPr>
              <w:t>655,000</w:t>
            </w:r>
          </w:p>
        </w:tc>
        <w:tc>
          <w:tcPr>
            <w:tcW w:w="2394" w:type="dxa"/>
          </w:tcPr>
          <w:p w14:paraId="4C6D78B7" w14:textId="5008FE64" w:rsidR="00640E94" w:rsidRPr="000A3150" w:rsidRDefault="00E96864" w:rsidP="00DF7AD7">
            <w:pPr>
              <w:pStyle w:val="List"/>
              <w:tabs>
                <w:tab w:val="left" w:pos="360"/>
              </w:tabs>
              <w:spacing w:before="0" w:line="280" w:lineRule="exact"/>
              <w:ind w:left="0" w:firstLine="0"/>
              <w:jc w:val="both"/>
              <w:rPr>
                <w:rFonts w:ascii="Arial" w:hAnsi="Arial"/>
              </w:rPr>
            </w:pPr>
            <w:r>
              <w:rPr>
                <w:rFonts w:ascii="Arial" w:hAnsi="Arial"/>
              </w:rPr>
              <w:t>E</w:t>
            </w:r>
            <w:r w:rsidR="008C24A0">
              <w:rPr>
                <w:rFonts w:ascii="Arial" w:hAnsi="Arial"/>
              </w:rPr>
              <w:t xml:space="preserve">xercise price </w:t>
            </w:r>
            <w:proofErr w:type="gramStart"/>
            <w:r w:rsidR="008C24A0">
              <w:rPr>
                <w:rFonts w:ascii="Arial" w:hAnsi="Arial"/>
              </w:rPr>
              <w:t xml:space="preserve">is </w:t>
            </w:r>
            <w:r>
              <w:rPr>
                <w:rFonts w:ascii="Arial" w:hAnsi="Arial"/>
              </w:rPr>
              <w:t xml:space="preserve"> $</w:t>
            </w:r>
            <w:proofErr w:type="gramEnd"/>
            <w:r w:rsidR="002A2127">
              <w:rPr>
                <w:rFonts w:ascii="Arial" w:hAnsi="Arial"/>
              </w:rPr>
              <w:t>1.</w:t>
            </w:r>
            <w:r w:rsidR="00D56139">
              <w:rPr>
                <w:rFonts w:ascii="Arial" w:hAnsi="Arial"/>
              </w:rPr>
              <w:t>90</w:t>
            </w:r>
            <w:r w:rsidR="00EB775D">
              <w:rPr>
                <w:rFonts w:ascii="Arial" w:hAnsi="Arial"/>
              </w:rPr>
              <w:t xml:space="preserve">  expiry: </w:t>
            </w:r>
            <w:r w:rsidR="002C3BD2">
              <w:rPr>
                <w:rFonts w:ascii="Arial" w:hAnsi="Arial"/>
              </w:rPr>
              <w:t>0</w:t>
            </w:r>
            <w:r w:rsidR="00D56139">
              <w:rPr>
                <w:rFonts w:ascii="Arial" w:hAnsi="Arial"/>
              </w:rPr>
              <w:t>4/10</w:t>
            </w:r>
            <w:r w:rsidR="008C24A0">
              <w:rPr>
                <w:rFonts w:ascii="Arial" w:hAnsi="Arial"/>
              </w:rPr>
              <w:t>/202</w:t>
            </w:r>
            <w:r w:rsidR="00D56139">
              <w:rPr>
                <w:rFonts w:ascii="Arial" w:hAnsi="Arial"/>
              </w:rPr>
              <w:t>2</w:t>
            </w:r>
          </w:p>
        </w:tc>
        <w:tc>
          <w:tcPr>
            <w:tcW w:w="2394" w:type="dxa"/>
          </w:tcPr>
          <w:p w14:paraId="1EBCD209" w14:textId="77777777" w:rsidR="00640E94" w:rsidRPr="000A3150" w:rsidRDefault="00640E94">
            <w:pPr>
              <w:pStyle w:val="List"/>
              <w:tabs>
                <w:tab w:val="left" w:pos="360"/>
              </w:tabs>
              <w:spacing w:before="0" w:line="280" w:lineRule="exact"/>
              <w:ind w:left="0" w:firstLine="0"/>
              <w:jc w:val="both"/>
              <w:rPr>
                <w:rFonts w:ascii="Arial" w:hAnsi="Arial"/>
              </w:rPr>
            </w:pPr>
          </w:p>
        </w:tc>
      </w:tr>
      <w:tr w:rsidR="00D56139" w14:paraId="203924CC" w14:textId="77777777" w:rsidTr="00D56139">
        <w:tc>
          <w:tcPr>
            <w:tcW w:w="2394" w:type="dxa"/>
          </w:tcPr>
          <w:p w14:paraId="3C53CF30" w14:textId="49DCAB42" w:rsidR="00D56139" w:rsidRPr="00B61D36" w:rsidRDefault="00D56139" w:rsidP="00D56139">
            <w:pPr>
              <w:pStyle w:val="List"/>
              <w:tabs>
                <w:tab w:val="left" w:pos="360"/>
              </w:tabs>
              <w:spacing w:before="0" w:line="280" w:lineRule="exact"/>
              <w:ind w:left="0" w:firstLine="0"/>
              <w:jc w:val="both"/>
              <w:rPr>
                <w:rFonts w:ascii="Arial" w:hAnsi="Arial"/>
                <w:highlight w:val="yellow"/>
              </w:rPr>
            </w:pPr>
            <w:r>
              <w:rPr>
                <w:rFonts w:ascii="Arial" w:hAnsi="Arial"/>
              </w:rPr>
              <w:t>Options</w:t>
            </w:r>
          </w:p>
        </w:tc>
        <w:tc>
          <w:tcPr>
            <w:tcW w:w="2394" w:type="dxa"/>
          </w:tcPr>
          <w:p w14:paraId="764041F2" w14:textId="03AD901C" w:rsidR="00D56139" w:rsidRPr="00D74002" w:rsidRDefault="00D56139" w:rsidP="00D56139">
            <w:pPr>
              <w:pStyle w:val="List"/>
              <w:tabs>
                <w:tab w:val="left" w:pos="360"/>
              </w:tabs>
              <w:spacing w:before="0" w:line="280" w:lineRule="exact"/>
              <w:ind w:left="0" w:firstLine="0"/>
              <w:jc w:val="center"/>
              <w:rPr>
                <w:rFonts w:ascii="Arial" w:hAnsi="Arial"/>
              </w:rPr>
            </w:pPr>
            <w:r>
              <w:rPr>
                <w:rFonts w:ascii="Arial" w:hAnsi="Arial"/>
              </w:rPr>
              <w:t>250,000</w:t>
            </w:r>
          </w:p>
        </w:tc>
        <w:tc>
          <w:tcPr>
            <w:tcW w:w="2394" w:type="dxa"/>
          </w:tcPr>
          <w:p w14:paraId="1A2ED521" w14:textId="1DDB8F53" w:rsidR="00D56139" w:rsidRPr="00D74002" w:rsidRDefault="00D56139" w:rsidP="00D56139">
            <w:pPr>
              <w:pStyle w:val="List"/>
              <w:tabs>
                <w:tab w:val="left" w:pos="360"/>
              </w:tabs>
              <w:spacing w:before="0" w:line="280" w:lineRule="exact"/>
              <w:ind w:left="0" w:firstLine="0"/>
              <w:jc w:val="both"/>
              <w:rPr>
                <w:rFonts w:ascii="Arial" w:hAnsi="Arial"/>
              </w:rPr>
            </w:pPr>
            <w:r>
              <w:rPr>
                <w:rFonts w:ascii="Arial" w:hAnsi="Arial"/>
              </w:rPr>
              <w:t xml:space="preserve">Exercise price </w:t>
            </w:r>
            <w:proofErr w:type="gramStart"/>
            <w:r>
              <w:rPr>
                <w:rFonts w:ascii="Arial" w:hAnsi="Arial"/>
              </w:rPr>
              <w:t>is  $</w:t>
            </w:r>
            <w:proofErr w:type="gramEnd"/>
            <w:r>
              <w:rPr>
                <w:rFonts w:ascii="Arial" w:hAnsi="Arial"/>
              </w:rPr>
              <w:t>2.22  expiry: 04/11/2023</w:t>
            </w:r>
          </w:p>
        </w:tc>
        <w:tc>
          <w:tcPr>
            <w:tcW w:w="2394" w:type="dxa"/>
          </w:tcPr>
          <w:p w14:paraId="11B32257" w14:textId="77777777" w:rsidR="00D56139" w:rsidRPr="00B61D36" w:rsidRDefault="00D56139" w:rsidP="00D56139">
            <w:pPr>
              <w:pStyle w:val="List"/>
              <w:tabs>
                <w:tab w:val="left" w:pos="360"/>
              </w:tabs>
              <w:spacing w:before="0" w:line="280" w:lineRule="exact"/>
              <w:ind w:left="0" w:firstLine="0"/>
              <w:jc w:val="both"/>
              <w:rPr>
                <w:rFonts w:ascii="Arial" w:hAnsi="Arial"/>
                <w:highlight w:val="yellow"/>
              </w:rPr>
            </w:pPr>
          </w:p>
        </w:tc>
      </w:tr>
      <w:tr w:rsidR="00D56139" w14:paraId="65899379" w14:textId="77777777" w:rsidTr="00D56139">
        <w:tc>
          <w:tcPr>
            <w:tcW w:w="2394" w:type="dxa"/>
          </w:tcPr>
          <w:p w14:paraId="4B455AA2" w14:textId="167A9A77" w:rsidR="00D56139" w:rsidRDefault="00D56139" w:rsidP="00D56139">
            <w:pPr>
              <w:pStyle w:val="List"/>
              <w:tabs>
                <w:tab w:val="left" w:pos="360"/>
              </w:tabs>
              <w:spacing w:before="0" w:line="280" w:lineRule="exact"/>
              <w:ind w:left="0" w:firstLine="0"/>
              <w:jc w:val="both"/>
              <w:rPr>
                <w:rFonts w:ascii="Arial" w:hAnsi="Arial"/>
              </w:rPr>
            </w:pPr>
            <w:r>
              <w:rPr>
                <w:rFonts w:ascii="Arial" w:hAnsi="Arial"/>
              </w:rPr>
              <w:t>Shares</w:t>
            </w:r>
          </w:p>
        </w:tc>
        <w:tc>
          <w:tcPr>
            <w:tcW w:w="2394" w:type="dxa"/>
          </w:tcPr>
          <w:p w14:paraId="3EB2DF5B" w14:textId="1C5DB730" w:rsidR="00D56139" w:rsidRDefault="00D56139" w:rsidP="00D56139">
            <w:pPr>
              <w:pStyle w:val="List"/>
              <w:tabs>
                <w:tab w:val="left" w:pos="360"/>
              </w:tabs>
              <w:spacing w:before="0" w:line="280" w:lineRule="exact"/>
              <w:ind w:left="0" w:firstLine="0"/>
              <w:jc w:val="center"/>
              <w:rPr>
                <w:rFonts w:ascii="Arial" w:hAnsi="Arial"/>
              </w:rPr>
            </w:pPr>
            <w:r>
              <w:rPr>
                <w:rFonts w:ascii="Arial" w:hAnsi="Arial"/>
              </w:rPr>
              <w:t>250,000</w:t>
            </w:r>
          </w:p>
        </w:tc>
        <w:tc>
          <w:tcPr>
            <w:tcW w:w="2394" w:type="dxa"/>
          </w:tcPr>
          <w:p w14:paraId="6F2F6C1D" w14:textId="2B751FDA" w:rsidR="00D56139" w:rsidRDefault="00D56139" w:rsidP="00D56139">
            <w:pPr>
              <w:pStyle w:val="List"/>
              <w:tabs>
                <w:tab w:val="left" w:pos="360"/>
              </w:tabs>
              <w:spacing w:before="0" w:line="280" w:lineRule="exact"/>
              <w:ind w:left="0" w:firstLine="0"/>
              <w:jc w:val="both"/>
              <w:rPr>
                <w:rFonts w:ascii="Arial" w:hAnsi="Arial"/>
              </w:rPr>
            </w:pPr>
            <w:r>
              <w:rPr>
                <w:rFonts w:ascii="Arial" w:hAnsi="Arial"/>
              </w:rPr>
              <w:t>Shares for services of Director</w:t>
            </w:r>
          </w:p>
        </w:tc>
        <w:tc>
          <w:tcPr>
            <w:tcW w:w="2394" w:type="dxa"/>
          </w:tcPr>
          <w:p w14:paraId="09538E5F" w14:textId="77777777" w:rsidR="00D56139" w:rsidRDefault="00D56139" w:rsidP="00D56139">
            <w:pPr>
              <w:pStyle w:val="List"/>
              <w:tabs>
                <w:tab w:val="left" w:pos="360"/>
              </w:tabs>
              <w:spacing w:before="0" w:line="280" w:lineRule="exact"/>
              <w:ind w:left="0" w:firstLine="0"/>
              <w:jc w:val="both"/>
              <w:rPr>
                <w:rFonts w:ascii="Arial" w:hAnsi="Arial"/>
              </w:rPr>
            </w:pPr>
          </w:p>
        </w:tc>
      </w:tr>
    </w:tbl>
    <w:p w14:paraId="69EB754D" w14:textId="77777777" w:rsidR="00640E94" w:rsidRDefault="00640E94" w:rsidP="00E96864">
      <w:pPr>
        <w:pStyle w:val="List"/>
        <w:numPr>
          <w:ilvl w:val="0"/>
          <w:numId w:val="29"/>
        </w:numPr>
        <w:tabs>
          <w:tab w:val="left" w:pos="360"/>
        </w:tabs>
        <w:spacing w:before="120"/>
        <w:jc w:val="both"/>
        <w:rPr>
          <w:rFonts w:ascii="Arial" w:hAnsi="Arial"/>
          <w:b/>
        </w:rPr>
      </w:pPr>
      <w:r>
        <w:rPr>
          <w:rFonts w:ascii="Arial" w:hAnsi="Arial"/>
          <w:i/>
        </w:rPr>
        <w:lastRenderedPageBreak/>
        <w:t>State aggregate proceeds and intended allocation of proceeds.</w:t>
      </w:r>
      <w:r w:rsidR="000A52BC">
        <w:rPr>
          <w:rFonts w:ascii="Arial" w:hAnsi="Arial"/>
          <w:i/>
        </w:rPr>
        <w:t xml:space="preserve"> </w:t>
      </w:r>
      <w:r w:rsidR="008C24A0" w:rsidRPr="008C24A0">
        <w:rPr>
          <w:rFonts w:ascii="Arial" w:hAnsi="Arial"/>
          <w:b/>
          <w:i/>
        </w:rPr>
        <w:t>N/A</w:t>
      </w:r>
      <w:r w:rsidR="003620C8" w:rsidRPr="008C24A0">
        <w:rPr>
          <w:rFonts w:ascii="Arial" w:hAnsi="Arial"/>
          <w:b/>
        </w:rPr>
        <w:t>.</w:t>
      </w:r>
    </w:p>
    <w:p w14:paraId="08FFFDD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FB9E60A" w14:textId="77777777"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14:paraId="79BAEBA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2EFD764" w14:textId="77777777" w:rsidR="00F248CB" w:rsidRPr="00717945" w:rsidRDefault="00F248CB" w:rsidP="00F248CB">
      <w:pPr>
        <w:pStyle w:val="List"/>
        <w:spacing w:before="120"/>
        <w:ind w:left="720" w:firstLine="0"/>
        <w:jc w:val="both"/>
        <w:rPr>
          <w:rFonts w:ascii="Arial" w:hAnsi="Arial"/>
          <w:b/>
        </w:rPr>
      </w:pPr>
      <w:r w:rsidRPr="00717945">
        <w:rPr>
          <w:rFonts w:ascii="Arial" w:hAnsi="Arial"/>
          <w:b/>
        </w:rPr>
        <w:t>N/A</w:t>
      </w:r>
    </w:p>
    <w:p w14:paraId="1626C9E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91C940F"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14:paraId="0868E7EF" w14:textId="77777777"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14:paraId="3B965F31" w14:textId="77777777"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14:paraId="12CEAA74"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lastRenderedPageBreak/>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14:paraId="1D6DDAD7" w14:textId="77777777" w:rsidR="00C25401" w:rsidRDefault="00C25401" w:rsidP="00C25401">
      <w:pPr>
        <w:pStyle w:val="List"/>
        <w:spacing w:before="120"/>
        <w:ind w:left="720" w:firstLine="0"/>
        <w:jc w:val="both"/>
        <w:rPr>
          <w:rFonts w:ascii="Arial" w:hAnsi="Arial"/>
        </w:rPr>
      </w:pPr>
    </w:p>
    <w:p w14:paraId="1A713483" w14:textId="77777777" w:rsidR="00640E94" w:rsidRDefault="00640E94">
      <w:pPr>
        <w:pStyle w:val="List"/>
        <w:keepNext/>
        <w:spacing w:before="120"/>
        <w:ind w:left="0" w:firstLine="0"/>
        <w:rPr>
          <w:rFonts w:ascii="Arial" w:hAnsi="Arial"/>
          <w:b/>
        </w:rPr>
      </w:pPr>
      <w:r>
        <w:rPr>
          <w:rFonts w:ascii="Arial" w:hAnsi="Arial"/>
          <w:b/>
        </w:rPr>
        <w:t>Certificate Of Compliance</w:t>
      </w:r>
    </w:p>
    <w:p w14:paraId="03F8473B" w14:textId="77777777" w:rsidR="00640E94" w:rsidRDefault="00640E94">
      <w:pPr>
        <w:pStyle w:val="BodyText"/>
        <w:keepNext/>
        <w:rPr>
          <w:rFonts w:ascii="Arial" w:hAnsi="Arial"/>
        </w:rPr>
      </w:pPr>
      <w:r>
        <w:rPr>
          <w:rFonts w:ascii="Arial" w:hAnsi="Arial"/>
        </w:rPr>
        <w:t>The undersigned hereby certifies that:</w:t>
      </w:r>
    </w:p>
    <w:p w14:paraId="66D15A6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86158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AF5D7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44FBD5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1EAB0F" w14:textId="67C55956" w:rsidR="00640E94" w:rsidRDefault="00640E94">
      <w:pPr>
        <w:pStyle w:val="BodyText"/>
        <w:tabs>
          <w:tab w:val="left" w:pos="4680"/>
          <w:tab w:val="left" w:pos="7200"/>
        </w:tabs>
        <w:spacing w:before="480"/>
        <w:jc w:val="both"/>
        <w:rPr>
          <w:rFonts w:ascii="Arial" w:hAnsi="Arial"/>
        </w:rPr>
      </w:pPr>
      <w:r>
        <w:rPr>
          <w:rFonts w:ascii="Arial" w:hAnsi="Arial"/>
        </w:rPr>
        <w:t>Dated</w:t>
      </w:r>
      <w:r w:rsidR="00B57FDC">
        <w:rPr>
          <w:rFonts w:ascii="Arial" w:hAnsi="Arial"/>
        </w:rPr>
        <w:t>:</w:t>
      </w:r>
      <w:r w:rsidR="00AF7B57">
        <w:rPr>
          <w:rFonts w:ascii="Arial" w:hAnsi="Arial"/>
        </w:rPr>
        <w:t xml:space="preserve"> May</w:t>
      </w:r>
      <w:r w:rsidR="005610D2">
        <w:rPr>
          <w:rFonts w:ascii="Arial" w:hAnsi="Arial"/>
        </w:rPr>
        <w:t xml:space="preserve"> </w:t>
      </w:r>
      <w:r w:rsidR="00AF7B57">
        <w:rPr>
          <w:rFonts w:ascii="Arial" w:hAnsi="Arial"/>
        </w:rPr>
        <w:t>7</w:t>
      </w:r>
      <w:r w:rsidR="003743C7" w:rsidRPr="003743C7">
        <w:rPr>
          <w:rFonts w:ascii="Arial" w:hAnsi="Arial"/>
          <w:vertAlign w:val="superscript"/>
        </w:rPr>
        <w:t>th</w:t>
      </w:r>
      <w:r w:rsidR="00E96864">
        <w:rPr>
          <w:rFonts w:ascii="Arial" w:hAnsi="Arial"/>
        </w:rPr>
        <w:t xml:space="preserve">, </w:t>
      </w:r>
      <w:r w:rsidR="005610D2">
        <w:rPr>
          <w:rFonts w:ascii="Arial" w:hAnsi="Arial"/>
        </w:rPr>
        <w:t>2018</w:t>
      </w:r>
    </w:p>
    <w:p w14:paraId="4D954819" w14:textId="77777777"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14:paraId="72FBC544" w14:textId="77777777"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3FCBA7E8" w14:textId="77777777"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14:anchorId="0449255B" wp14:editId="052AB8A1">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14:paraId="02F53FD5" w14:textId="77777777"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4"/>
    </w:p>
    <w:p w14:paraId="159E8BF9"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7FA8214" w14:textId="77777777">
        <w:tc>
          <w:tcPr>
            <w:tcW w:w="4878" w:type="dxa"/>
            <w:tcBorders>
              <w:top w:val="single" w:sz="18" w:space="0" w:color="auto"/>
              <w:bottom w:val="nil"/>
              <w:right w:val="single" w:sz="18" w:space="0" w:color="auto"/>
            </w:tcBorders>
          </w:tcPr>
          <w:p w14:paraId="7E6C8EC5" w14:textId="77777777" w:rsidR="00640E94" w:rsidRDefault="00640E94">
            <w:pPr>
              <w:pStyle w:val="BodyText"/>
              <w:spacing w:before="0"/>
              <w:rPr>
                <w:rFonts w:ascii="Arial" w:hAnsi="Arial"/>
                <w:b/>
                <w:i/>
              </w:rPr>
            </w:pPr>
            <w:r>
              <w:rPr>
                <w:rFonts w:ascii="Arial" w:hAnsi="Arial"/>
                <w:b/>
                <w:i/>
              </w:rPr>
              <w:t>Issuer Details</w:t>
            </w:r>
          </w:p>
          <w:p w14:paraId="25AE1F11" w14:textId="77777777" w:rsidR="00640E94" w:rsidRDefault="00640E94">
            <w:pPr>
              <w:pStyle w:val="BodyText"/>
              <w:spacing w:before="0"/>
              <w:rPr>
                <w:rFonts w:ascii="Arial" w:hAnsi="Arial"/>
              </w:rPr>
            </w:pPr>
            <w:r>
              <w:rPr>
                <w:rFonts w:ascii="Arial" w:hAnsi="Arial"/>
              </w:rPr>
              <w:t>Name of Issuer</w:t>
            </w:r>
          </w:p>
          <w:p w14:paraId="23EAA0A0" w14:textId="77777777"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14:paraId="3E13F95C" w14:textId="77777777" w:rsidR="00D95F93" w:rsidRDefault="00640E94" w:rsidP="00417886">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FA24A1">
              <w:rPr>
                <w:rFonts w:ascii="Arial" w:hAnsi="Arial"/>
              </w:rPr>
              <w:t xml:space="preserve"> </w:t>
            </w:r>
          </w:p>
          <w:p w14:paraId="7B20DE9B" w14:textId="55724CB7" w:rsidR="00640E94" w:rsidRDefault="00AF7B57" w:rsidP="00417886">
            <w:pPr>
              <w:pStyle w:val="BodyText"/>
              <w:spacing w:before="0"/>
              <w:rPr>
                <w:rFonts w:ascii="Arial" w:hAnsi="Arial"/>
              </w:rPr>
            </w:pPr>
            <w:r>
              <w:rPr>
                <w:rFonts w:ascii="Arial" w:hAnsi="Arial"/>
              </w:rPr>
              <w:t>April</w:t>
            </w:r>
            <w:r w:rsidR="00D95F93">
              <w:rPr>
                <w:rFonts w:ascii="Arial" w:hAnsi="Arial"/>
              </w:rPr>
              <w:t xml:space="preserve"> 2018</w:t>
            </w:r>
          </w:p>
        </w:tc>
        <w:tc>
          <w:tcPr>
            <w:tcW w:w="2898" w:type="dxa"/>
            <w:tcBorders>
              <w:top w:val="single" w:sz="18" w:space="0" w:color="auto"/>
              <w:left w:val="single" w:sz="18" w:space="0" w:color="auto"/>
              <w:bottom w:val="nil"/>
            </w:tcBorders>
          </w:tcPr>
          <w:p w14:paraId="3708E143" w14:textId="77777777" w:rsidR="00640E94" w:rsidRDefault="00640E94">
            <w:pPr>
              <w:pStyle w:val="BodyText"/>
              <w:spacing w:before="0"/>
              <w:rPr>
                <w:rFonts w:ascii="Arial" w:hAnsi="Arial"/>
              </w:rPr>
            </w:pPr>
            <w:r>
              <w:rPr>
                <w:rFonts w:ascii="Arial" w:hAnsi="Arial"/>
              </w:rPr>
              <w:t>Date of Report</w:t>
            </w:r>
          </w:p>
          <w:p w14:paraId="6AB6920B" w14:textId="77777777" w:rsidR="00640E94" w:rsidRDefault="00640E94">
            <w:pPr>
              <w:pStyle w:val="BodyText"/>
              <w:spacing w:before="0"/>
              <w:rPr>
                <w:rFonts w:ascii="Arial" w:hAnsi="Arial"/>
              </w:rPr>
            </w:pPr>
            <w:r>
              <w:rPr>
                <w:rFonts w:ascii="Arial" w:hAnsi="Arial"/>
              </w:rPr>
              <w:t>YY/MM/D</w:t>
            </w:r>
          </w:p>
          <w:p w14:paraId="790D8D81" w14:textId="21EB52C8" w:rsidR="00EE5310" w:rsidRDefault="00D95F93">
            <w:pPr>
              <w:pStyle w:val="BodyText"/>
              <w:spacing w:before="0"/>
              <w:rPr>
                <w:rFonts w:ascii="Arial" w:hAnsi="Arial"/>
              </w:rPr>
            </w:pPr>
            <w:r>
              <w:rPr>
                <w:rFonts w:ascii="Arial" w:hAnsi="Arial"/>
              </w:rPr>
              <w:t>18</w:t>
            </w:r>
            <w:r w:rsidR="00EB775D">
              <w:rPr>
                <w:rFonts w:ascii="Arial" w:hAnsi="Arial"/>
              </w:rPr>
              <w:t>/0</w:t>
            </w:r>
            <w:r w:rsidR="00AF7B57">
              <w:rPr>
                <w:rFonts w:ascii="Arial" w:hAnsi="Arial"/>
              </w:rPr>
              <w:t>5</w:t>
            </w:r>
            <w:r w:rsidR="00B93BA1">
              <w:rPr>
                <w:rFonts w:ascii="Arial" w:hAnsi="Arial"/>
              </w:rPr>
              <w:t>/0</w:t>
            </w:r>
            <w:r w:rsidR="00AF7B57">
              <w:rPr>
                <w:rFonts w:ascii="Arial" w:hAnsi="Arial"/>
              </w:rPr>
              <w:t>7</w:t>
            </w:r>
          </w:p>
        </w:tc>
      </w:tr>
      <w:tr w:rsidR="00640E94" w14:paraId="4470E51E" w14:textId="77777777">
        <w:trPr>
          <w:cantSplit/>
        </w:trPr>
        <w:tc>
          <w:tcPr>
            <w:tcW w:w="9576" w:type="dxa"/>
            <w:gridSpan w:val="3"/>
            <w:tcBorders>
              <w:top w:val="single" w:sz="18" w:space="0" w:color="auto"/>
              <w:bottom w:val="single" w:sz="18" w:space="0" w:color="auto"/>
            </w:tcBorders>
          </w:tcPr>
          <w:p w14:paraId="005D089E" w14:textId="77777777" w:rsidR="00640E94" w:rsidRDefault="00640E94">
            <w:pPr>
              <w:pStyle w:val="BodyText"/>
              <w:spacing w:before="0"/>
              <w:rPr>
                <w:rFonts w:ascii="Arial" w:hAnsi="Arial"/>
              </w:rPr>
            </w:pPr>
            <w:r>
              <w:rPr>
                <w:rFonts w:ascii="Arial" w:hAnsi="Arial"/>
              </w:rPr>
              <w:t>Issuer Address</w:t>
            </w:r>
          </w:p>
          <w:p w14:paraId="0C205697" w14:textId="77777777" w:rsidR="00640E94" w:rsidRDefault="0049581D">
            <w:pPr>
              <w:pStyle w:val="BodyText"/>
              <w:spacing w:before="0"/>
              <w:rPr>
                <w:rFonts w:ascii="Arial" w:hAnsi="Arial"/>
              </w:rPr>
            </w:pPr>
            <w:r>
              <w:rPr>
                <w:rFonts w:ascii="Arial" w:hAnsi="Arial"/>
              </w:rPr>
              <w:t>885 West Georgia Street, Suite 1500</w:t>
            </w:r>
          </w:p>
          <w:p w14:paraId="4FA69362" w14:textId="77777777" w:rsidR="00640E94" w:rsidRDefault="00640E94">
            <w:pPr>
              <w:pStyle w:val="BodyText"/>
              <w:spacing w:before="0"/>
              <w:rPr>
                <w:rFonts w:ascii="Arial" w:hAnsi="Arial"/>
              </w:rPr>
            </w:pPr>
          </w:p>
        </w:tc>
      </w:tr>
      <w:tr w:rsidR="00640E94" w14:paraId="262A7205" w14:textId="77777777">
        <w:tc>
          <w:tcPr>
            <w:tcW w:w="4878" w:type="dxa"/>
            <w:tcBorders>
              <w:top w:val="single" w:sz="18" w:space="0" w:color="auto"/>
              <w:bottom w:val="single" w:sz="18" w:space="0" w:color="auto"/>
              <w:right w:val="single" w:sz="18" w:space="0" w:color="auto"/>
            </w:tcBorders>
          </w:tcPr>
          <w:p w14:paraId="3A12883D" w14:textId="77777777" w:rsidR="00640E94" w:rsidRDefault="00640E94">
            <w:pPr>
              <w:pStyle w:val="BodyText"/>
              <w:spacing w:before="0"/>
              <w:rPr>
                <w:rFonts w:ascii="Arial" w:hAnsi="Arial"/>
              </w:rPr>
            </w:pPr>
            <w:r>
              <w:rPr>
                <w:rFonts w:ascii="Arial" w:hAnsi="Arial"/>
              </w:rPr>
              <w:t>City/Province/Postal Code</w:t>
            </w:r>
          </w:p>
          <w:p w14:paraId="74016BEA" w14:textId="77777777" w:rsidR="00640E94" w:rsidRDefault="00F633B1">
            <w:pPr>
              <w:pStyle w:val="BodyText"/>
              <w:spacing w:before="0"/>
              <w:rPr>
                <w:rFonts w:ascii="Arial" w:hAnsi="Arial"/>
              </w:rPr>
            </w:pPr>
            <w:r>
              <w:rPr>
                <w:rFonts w:ascii="Arial" w:hAnsi="Arial"/>
              </w:rPr>
              <w:lastRenderedPageBreak/>
              <w:t xml:space="preserve">Vancouver, BC, </w:t>
            </w:r>
            <w:r w:rsidR="000C714B">
              <w:rPr>
                <w:rFonts w:ascii="Arial" w:hAnsi="Arial"/>
              </w:rPr>
              <w:t>V6C 3E8</w:t>
            </w:r>
          </w:p>
          <w:p w14:paraId="7595F57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F65050" w14:textId="77777777" w:rsidR="00640E94" w:rsidRDefault="00640E94">
            <w:pPr>
              <w:pStyle w:val="BodyText"/>
              <w:spacing w:before="0"/>
              <w:rPr>
                <w:rFonts w:ascii="Arial" w:hAnsi="Arial"/>
              </w:rPr>
            </w:pPr>
            <w:r>
              <w:rPr>
                <w:rFonts w:ascii="Arial" w:hAnsi="Arial"/>
              </w:rPr>
              <w:lastRenderedPageBreak/>
              <w:t>Issuer Fax No.</w:t>
            </w:r>
          </w:p>
          <w:p w14:paraId="4873D990" w14:textId="77777777" w:rsidR="00640E94" w:rsidRDefault="00640E94">
            <w:pPr>
              <w:pStyle w:val="BodyText"/>
              <w:spacing w:before="0"/>
              <w:rPr>
                <w:rFonts w:ascii="Arial" w:hAnsi="Arial"/>
              </w:rPr>
            </w:pPr>
            <w:r>
              <w:rPr>
                <w:rFonts w:ascii="Arial" w:hAnsi="Arial"/>
              </w:rPr>
              <w:lastRenderedPageBreak/>
              <w:t>(     )</w:t>
            </w:r>
          </w:p>
        </w:tc>
        <w:tc>
          <w:tcPr>
            <w:tcW w:w="2898" w:type="dxa"/>
            <w:tcBorders>
              <w:top w:val="single" w:sz="18" w:space="0" w:color="auto"/>
              <w:left w:val="single" w:sz="18" w:space="0" w:color="auto"/>
              <w:bottom w:val="single" w:sz="18" w:space="0" w:color="auto"/>
            </w:tcBorders>
          </w:tcPr>
          <w:p w14:paraId="1F6E549D" w14:textId="77777777" w:rsidR="00640E94" w:rsidRDefault="00640E94">
            <w:pPr>
              <w:pStyle w:val="BodyText"/>
              <w:spacing w:before="0"/>
              <w:rPr>
                <w:rFonts w:ascii="Arial" w:hAnsi="Arial"/>
              </w:rPr>
            </w:pPr>
            <w:r>
              <w:rPr>
                <w:rFonts w:ascii="Arial" w:hAnsi="Arial"/>
              </w:rPr>
              <w:lastRenderedPageBreak/>
              <w:t>Issuer Telephone No.</w:t>
            </w:r>
          </w:p>
          <w:p w14:paraId="66B0C2B4" w14:textId="77777777" w:rsidR="00640E94" w:rsidRDefault="00640E94" w:rsidP="00134A4E">
            <w:pPr>
              <w:pStyle w:val="BodyText"/>
              <w:spacing w:before="0"/>
              <w:rPr>
                <w:rFonts w:ascii="Arial" w:hAnsi="Arial"/>
              </w:rPr>
            </w:pPr>
            <w:r>
              <w:rPr>
                <w:rFonts w:ascii="Arial" w:hAnsi="Arial"/>
              </w:rPr>
              <w:lastRenderedPageBreak/>
              <w:t xml:space="preserve">( </w:t>
            </w:r>
            <w:r w:rsidR="00134A4E">
              <w:rPr>
                <w:rFonts w:ascii="Arial" w:hAnsi="Arial"/>
              </w:rPr>
              <w:t>604</w:t>
            </w:r>
            <w:r>
              <w:rPr>
                <w:rFonts w:ascii="Arial" w:hAnsi="Arial"/>
              </w:rPr>
              <w:t>)</w:t>
            </w:r>
            <w:r w:rsidR="00E031C0">
              <w:rPr>
                <w:rFonts w:ascii="Arial" w:hAnsi="Arial"/>
              </w:rPr>
              <w:t xml:space="preserve"> 6</w:t>
            </w:r>
            <w:r w:rsidR="00417886">
              <w:rPr>
                <w:rFonts w:ascii="Arial" w:hAnsi="Arial"/>
              </w:rPr>
              <w:t>38-5556</w:t>
            </w:r>
          </w:p>
        </w:tc>
      </w:tr>
      <w:tr w:rsidR="00640E94" w14:paraId="587EDD56" w14:textId="77777777">
        <w:tc>
          <w:tcPr>
            <w:tcW w:w="4878" w:type="dxa"/>
            <w:tcBorders>
              <w:top w:val="single" w:sz="18" w:space="0" w:color="auto"/>
              <w:bottom w:val="single" w:sz="18" w:space="0" w:color="auto"/>
              <w:right w:val="single" w:sz="18" w:space="0" w:color="auto"/>
            </w:tcBorders>
          </w:tcPr>
          <w:p w14:paraId="4565029B" w14:textId="77777777" w:rsidR="00640E94" w:rsidRDefault="00640E94">
            <w:pPr>
              <w:pStyle w:val="BodyText"/>
              <w:spacing w:before="0"/>
              <w:rPr>
                <w:rFonts w:ascii="Arial" w:hAnsi="Arial"/>
              </w:rPr>
            </w:pPr>
            <w:r>
              <w:rPr>
                <w:rFonts w:ascii="Arial" w:hAnsi="Arial"/>
              </w:rPr>
              <w:lastRenderedPageBreak/>
              <w:t>Contact Name</w:t>
            </w:r>
          </w:p>
          <w:p w14:paraId="4F21D783" w14:textId="77777777" w:rsidR="00640E94" w:rsidRDefault="000C714B">
            <w:pPr>
              <w:pStyle w:val="BodyText"/>
              <w:spacing w:before="0"/>
              <w:rPr>
                <w:rFonts w:ascii="Arial" w:hAnsi="Arial"/>
              </w:rPr>
            </w:pPr>
            <w:r>
              <w:rPr>
                <w:rFonts w:ascii="Arial" w:hAnsi="Arial"/>
              </w:rPr>
              <w:t>Gordon Jessop</w:t>
            </w:r>
          </w:p>
          <w:p w14:paraId="6055A94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14D2B0B" w14:textId="77777777" w:rsidR="00640E94" w:rsidRDefault="00640E94">
            <w:pPr>
              <w:pStyle w:val="BodyText"/>
              <w:spacing w:before="0"/>
              <w:rPr>
                <w:rFonts w:ascii="Arial" w:hAnsi="Arial"/>
              </w:rPr>
            </w:pPr>
            <w:r>
              <w:rPr>
                <w:rFonts w:ascii="Arial" w:hAnsi="Arial"/>
              </w:rPr>
              <w:t>Contact Position</w:t>
            </w:r>
          </w:p>
          <w:p w14:paraId="18791BB1" w14:textId="77777777"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14:paraId="79280ED8" w14:textId="77777777" w:rsidR="00640E94" w:rsidRDefault="00640E94">
            <w:pPr>
              <w:pStyle w:val="BodyText"/>
              <w:spacing w:before="0"/>
              <w:rPr>
                <w:rFonts w:ascii="Arial" w:hAnsi="Arial"/>
              </w:rPr>
            </w:pPr>
            <w:r>
              <w:rPr>
                <w:rFonts w:ascii="Arial" w:hAnsi="Arial"/>
              </w:rPr>
              <w:t>Contact Telephone No.</w:t>
            </w:r>
          </w:p>
          <w:p w14:paraId="10CE617E" w14:textId="77777777" w:rsidR="00E031C0" w:rsidRDefault="00E031C0">
            <w:pPr>
              <w:pStyle w:val="BodyText"/>
              <w:spacing w:before="0"/>
              <w:rPr>
                <w:rFonts w:ascii="Arial" w:hAnsi="Arial"/>
              </w:rPr>
            </w:pPr>
            <w:r>
              <w:rPr>
                <w:rFonts w:ascii="Arial" w:hAnsi="Arial"/>
              </w:rPr>
              <w:t>604 6</w:t>
            </w:r>
            <w:r w:rsidR="00417886">
              <w:rPr>
                <w:rFonts w:ascii="Arial" w:hAnsi="Arial"/>
              </w:rPr>
              <w:t>38-5556</w:t>
            </w:r>
          </w:p>
        </w:tc>
      </w:tr>
      <w:tr w:rsidR="00640E94" w14:paraId="6FCA4868" w14:textId="77777777">
        <w:trPr>
          <w:cantSplit/>
        </w:trPr>
        <w:tc>
          <w:tcPr>
            <w:tcW w:w="4878" w:type="dxa"/>
            <w:tcBorders>
              <w:top w:val="single" w:sz="18" w:space="0" w:color="auto"/>
              <w:bottom w:val="single" w:sz="18" w:space="0" w:color="auto"/>
              <w:right w:val="single" w:sz="18" w:space="0" w:color="auto"/>
            </w:tcBorders>
          </w:tcPr>
          <w:p w14:paraId="15FE1FC9" w14:textId="77777777" w:rsidR="00640E94" w:rsidRDefault="00640E94">
            <w:pPr>
              <w:pStyle w:val="BodyText"/>
              <w:spacing w:before="0"/>
              <w:rPr>
                <w:rFonts w:ascii="Arial" w:hAnsi="Arial"/>
              </w:rPr>
            </w:pPr>
            <w:r>
              <w:rPr>
                <w:rFonts w:ascii="Arial" w:hAnsi="Arial"/>
              </w:rPr>
              <w:t>Contact Email Address</w:t>
            </w:r>
          </w:p>
          <w:p w14:paraId="511618F1" w14:textId="77777777"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14:paraId="57C7B4DC" w14:textId="77777777" w:rsidR="00640E94" w:rsidRDefault="00640E94">
            <w:pPr>
              <w:pStyle w:val="BodyText"/>
              <w:spacing w:before="0"/>
              <w:rPr>
                <w:rFonts w:ascii="Arial" w:hAnsi="Arial"/>
              </w:rPr>
            </w:pPr>
            <w:r>
              <w:rPr>
                <w:rFonts w:ascii="Arial" w:hAnsi="Arial"/>
              </w:rPr>
              <w:t>Web Site Address</w:t>
            </w:r>
          </w:p>
          <w:p w14:paraId="23723790" w14:textId="77777777" w:rsidR="00640E94" w:rsidRDefault="006B0C86">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14:paraId="3E48A75B"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8461" w14:textId="77777777" w:rsidR="006B0C86" w:rsidRDefault="006B0C86">
      <w:r>
        <w:separator/>
      </w:r>
    </w:p>
  </w:endnote>
  <w:endnote w:type="continuationSeparator" w:id="0">
    <w:p w14:paraId="1A2D938E" w14:textId="77777777" w:rsidR="006B0C86" w:rsidRDefault="006B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B7B5" w14:textId="77777777" w:rsidR="00640E94" w:rsidRDefault="00640E94">
    <w:pPr>
      <w:pStyle w:val="Footer"/>
      <w:tabs>
        <w:tab w:val="clear" w:pos="4320"/>
        <w:tab w:val="clear" w:pos="8640"/>
        <w:tab w:val="center" w:pos="4680"/>
        <w:tab w:val="right" w:pos="9360"/>
      </w:tabs>
      <w:rPr>
        <w:b/>
      </w:rPr>
    </w:pPr>
  </w:p>
  <w:p w14:paraId="48E8422A" w14:textId="77777777" w:rsidR="00640E94" w:rsidRDefault="002E72D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4FB6EDDC" wp14:editId="37CFEF1C">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4D5D"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3F33EE" w14:textId="76B9E77B" w:rsidR="00640E94" w:rsidRPr="006D1A06" w:rsidRDefault="00AF7B5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B57FDC">
      <w:rPr>
        <w:rStyle w:val="PageNumber"/>
        <w:rFonts w:ascii="Arial" w:hAnsi="Arial" w:cs="Arial"/>
        <w:sz w:val="16"/>
        <w:szCs w:val="16"/>
      </w:rPr>
      <w:t xml:space="preserve"> </w:t>
    </w:r>
    <w:r w:rsidR="00417886">
      <w:rPr>
        <w:rStyle w:val="PageNumber"/>
        <w:rFonts w:ascii="Arial" w:hAnsi="Arial" w:cs="Arial"/>
        <w:sz w:val="16"/>
        <w:szCs w:val="16"/>
      </w:rPr>
      <w:t>201</w:t>
    </w:r>
    <w:r w:rsidR="00542E8B">
      <w:rPr>
        <w:rStyle w:val="PageNumber"/>
        <w:rFonts w:ascii="Arial" w:hAnsi="Arial" w:cs="Arial"/>
        <w:sz w:val="16"/>
        <w:szCs w:val="16"/>
      </w:rPr>
      <w:t>8</w:t>
    </w:r>
  </w:p>
  <w:p w14:paraId="40B7EFCD" w14:textId="1C1540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C011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0113" w:rsidRPr="006D1A06">
      <w:rPr>
        <w:rStyle w:val="PageNumber"/>
        <w:rFonts w:ascii="Arial" w:hAnsi="Arial" w:cs="Arial"/>
        <w:sz w:val="16"/>
        <w:szCs w:val="16"/>
      </w:rPr>
      <w:fldChar w:fldCharType="separate"/>
    </w:r>
    <w:r w:rsidR="00635C5E">
      <w:rPr>
        <w:rStyle w:val="PageNumber"/>
        <w:rFonts w:ascii="Arial" w:hAnsi="Arial" w:cs="Arial"/>
        <w:noProof/>
        <w:sz w:val="16"/>
        <w:szCs w:val="16"/>
      </w:rPr>
      <w:t>5</w:t>
    </w:r>
    <w:r w:rsidR="00BC0113"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7775" w14:textId="77777777" w:rsidR="00640E94" w:rsidRDefault="00640E94">
    <w:pPr>
      <w:pStyle w:val="Footer"/>
      <w:tabs>
        <w:tab w:val="clear" w:pos="4320"/>
        <w:tab w:val="clear" w:pos="8640"/>
        <w:tab w:val="center" w:pos="4680"/>
        <w:tab w:val="right" w:pos="9360"/>
      </w:tabs>
      <w:rPr>
        <w:b/>
      </w:rPr>
    </w:pPr>
  </w:p>
  <w:p w14:paraId="14A9A1D7" w14:textId="77777777" w:rsidR="00640E94" w:rsidRDefault="002E72D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3F14C503" wp14:editId="1AD6D4A4">
              <wp:simplePos x="0" y="0"/>
              <wp:positionH relativeFrom="column">
                <wp:posOffset>72390</wp:posOffset>
              </wp:positionH>
              <wp:positionV relativeFrom="paragraph">
                <wp:posOffset>-152401</wp:posOffset>
              </wp:positionV>
              <wp:extent cx="5863590" cy="0"/>
              <wp:effectExtent l="0" t="0" r="381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071C"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AB282E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53E068" w14:textId="5944181C"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011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0113" w:rsidRPr="00635E9A">
      <w:rPr>
        <w:rStyle w:val="PageNumber"/>
        <w:rFonts w:ascii="Arial" w:hAnsi="Arial" w:cs="Arial"/>
        <w:sz w:val="16"/>
        <w:szCs w:val="16"/>
      </w:rPr>
      <w:fldChar w:fldCharType="separate"/>
    </w:r>
    <w:r w:rsidR="009027F2">
      <w:rPr>
        <w:rStyle w:val="PageNumber"/>
        <w:rFonts w:ascii="Arial" w:hAnsi="Arial" w:cs="Arial"/>
        <w:noProof/>
        <w:sz w:val="16"/>
        <w:szCs w:val="16"/>
      </w:rPr>
      <w:t>1</w:t>
    </w:r>
    <w:r w:rsidR="00BC0113"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E825" w14:textId="77777777" w:rsidR="006B0C86" w:rsidRDefault="006B0C86">
      <w:r>
        <w:separator/>
      </w:r>
    </w:p>
  </w:footnote>
  <w:footnote w:type="continuationSeparator" w:id="0">
    <w:p w14:paraId="1B10867A" w14:textId="77777777" w:rsidR="006B0C86" w:rsidRDefault="006B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D42E" w14:textId="77777777" w:rsidR="00640E94" w:rsidRDefault="00BC0113">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2A6C920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5D6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744199"/>
    <w:multiLevelType w:val="hybridMultilevel"/>
    <w:tmpl w:val="23D05766"/>
    <w:lvl w:ilvl="0" w:tplc="D1CC3704">
      <w:start w:val="1"/>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79A4"/>
    <w:rsid w:val="000313FE"/>
    <w:rsid w:val="00066A5E"/>
    <w:rsid w:val="00070167"/>
    <w:rsid w:val="000A1AB1"/>
    <w:rsid w:val="000A2ADF"/>
    <w:rsid w:val="000A3150"/>
    <w:rsid w:val="000A4703"/>
    <w:rsid w:val="000A52BC"/>
    <w:rsid w:val="000C42CC"/>
    <w:rsid w:val="000C714B"/>
    <w:rsid w:val="001172C2"/>
    <w:rsid w:val="0012265D"/>
    <w:rsid w:val="00134A4E"/>
    <w:rsid w:val="00135817"/>
    <w:rsid w:val="00152086"/>
    <w:rsid w:val="0015651C"/>
    <w:rsid w:val="00197D6D"/>
    <w:rsid w:val="001B113A"/>
    <w:rsid w:val="001D25CC"/>
    <w:rsid w:val="001E3E7E"/>
    <w:rsid w:val="001E5D3D"/>
    <w:rsid w:val="001F4802"/>
    <w:rsid w:val="00201B97"/>
    <w:rsid w:val="00205C3A"/>
    <w:rsid w:val="00206F2E"/>
    <w:rsid w:val="00255489"/>
    <w:rsid w:val="002948BE"/>
    <w:rsid w:val="002A2127"/>
    <w:rsid w:val="002C281E"/>
    <w:rsid w:val="002C3BD2"/>
    <w:rsid w:val="002D0CD8"/>
    <w:rsid w:val="002E72D2"/>
    <w:rsid w:val="002F00EB"/>
    <w:rsid w:val="00303003"/>
    <w:rsid w:val="00317647"/>
    <w:rsid w:val="00341AD0"/>
    <w:rsid w:val="003620C8"/>
    <w:rsid w:val="003669A9"/>
    <w:rsid w:val="00371A64"/>
    <w:rsid w:val="003743C7"/>
    <w:rsid w:val="00375187"/>
    <w:rsid w:val="0038126F"/>
    <w:rsid w:val="00382E7A"/>
    <w:rsid w:val="00387FA8"/>
    <w:rsid w:val="003D3801"/>
    <w:rsid w:val="003E7CA5"/>
    <w:rsid w:val="0040733F"/>
    <w:rsid w:val="00407711"/>
    <w:rsid w:val="00417886"/>
    <w:rsid w:val="0043347E"/>
    <w:rsid w:val="00473281"/>
    <w:rsid w:val="0049581D"/>
    <w:rsid w:val="004A4CD3"/>
    <w:rsid w:val="004B5CD0"/>
    <w:rsid w:val="004C26C9"/>
    <w:rsid w:val="004D0ADE"/>
    <w:rsid w:val="004D4D36"/>
    <w:rsid w:val="004F011A"/>
    <w:rsid w:val="004F3B90"/>
    <w:rsid w:val="0052087D"/>
    <w:rsid w:val="00523681"/>
    <w:rsid w:val="00533943"/>
    <w:rsid w:val="0054095F"/>
    <w:rsid w:val="00542E8B"/>
    <w:rsid w:val="005453C8"/>
    <w:rsid w:val="005610D2"/>
    <w:rsid w:val="00563C20"/>
    <w:rsid w:val="0058034B"/>
    <w:rsid w:val="005E7B2A"/>
    <w:rsid w:val="005F3FBE"/>
    <w:rsid w:val="005F6D8F"/>
    <w:rsid w:val="00620E7F"/>
    <w:rsid w:val="00633ED3"/>
    <w:rsid w:val="00635C5E"/>
    <w:rsid w:val="00635E9A"/>
    <w:rsid w:val="00640E94"/>
    <w:rsid w:val="006B0C86"/>
    <w:rsid w:val="006B7A2C"/>
    <w:rsid w:val="006C7A5B"/>
    <w:rsid w:val="006C7D8A"/>
    <w:rsid w:val="006D1A06"/>
    <w:rsid w:val="006F0944"/>
    <w:rsid w:val="006F5EA1"/>
    <w:rsid w:val="00717945"/>
    <w:rsid w:val="007469B7"/>
    <w:rsid w:val="007654BC"/>
    <w:rsid w:val="007C2A26"/>
    <w:rsid w:val="007C5B93"/>
    <w:rsid w:val="007E0D05"/>
    <w:rsid w:val="007E457A"/>
    <w:rsid w:val="007F6E75"/>
    <w:rsid w:val="008158E1"/>
    <w:rsid w:val="00837FC9"/>
    <w:rsid w:val="00891A77"/>
    <w:rsid w:val="00897383"/>
    <w:rsid w:val="008B7E92"/>
    <w:rsid w:val="008C24A0"/>
    <w:rsid w:val="008F62C3"/>
    <w:rsid w:val="008F6EC8"/>
    <w:rsid w:val="008F7BE4"/>
    <w:rsid w:val="009027F2"/>
    <w:rsid w:val="00917B96"/>
    <w:rsid w:val="00922A46"/>
    <w:rsid w:val="00930BC7"/>
    <w:rsid w:val="00933E3A"/>
    <w:rsid w:val="00933FA0"/>
    <w:rsid w:val="00946B0D"/>
    <w:rsid w:val="00946C80"/>
    <w:rsid w:val="00962BED"/>
    <w:rsid w:val="00975E0C"/>
    <w:rsid w:val="00997C08"/>
    <w:rsid w:val="009C7B5F"/>
    <w:rsid w:val="009C7C33"/>
    <w:rsid w:val="00A23F0F"/>
    <w:rsid w:val="00A3776A"/>
    <w:rsid w:val="00A44B00"/>
    <w:rsid w:val="00A47914"/>
    <w:rsid w:val="00A57886"/>
    <w:rsid w:val="00A90533"/>
    <w:rsid w:val="00A90F5A"/>
    <w:rsid w:val="00AF7B57"/>
    <w:rsid w:val="00B004ED"/>
    <w:rsid w:val="00B10949"/>
    <w:rsid w:val="00B127AA"/>
    <w:rsid w:val="00B57FDC"/>
    <w:rsid w:val="00B61D36"/>
    <w:rsid w:val="00B939C9"/>
    <w:rsid w:val="00B93BA1"/>
    <w:rsid w:val="00BA2FCC"/>
    <w:rsid w:val="00BC0113"/>
    <w:rsid w:val="00BF7BDD"/>
    <w:rsid w:val="00C06C3A"/>
    <w:rsid w:val="00C16D57"/>
    <w:rsid w:val="00C25401"/>
    <w:rsid w:val="00C27A18"/>
    <w:rsid w:val="00C40057"/>
    <w:rsid w:val="00C6038E"/>
    <w:rsid w:val="00C6383E"/>
    <w:rsid w:val="00C87E49"/>
    <w:rsid w:val="00C90F8B"/>
    <w:rsid w:val="00C96F7B"/>
    <w:rsid w:val="00CA11BB"/>
    <w:rsid w:val="00CC727F"/>
    <w:rsid w:val="00CE3005"/>
    <w:rsid w:val="00CF12CF"/>
    <w:rsid w:val="00D06505"/>
    <w:rsid w:val="00D136A8"/>
    <w:rsid w:val="00D157DE"/>
    <w:rsid w:val="00D174C8"/>
    <w:rsid w:val="00D17C46"/>
    <w:rsid w:val="00D21360"/>
    <w:rsid w:val="00D27AB3"/>
    <w:rsid w:val="00D539DA"/>
    <w:rsid w:val="00D54AAB"/>
    <w:rsid w:val="00D56139"/>
    <w:rsid w:val="00D6632C"/>
    <w:rsid w:val="00D74002"/>
    <w:rsid w:val="00D744DB"/>
    <w:rsid w:val="00D92956"/>
    <w:rsid w:val="00D951C7"/>
    <w:rsid w:val="00D95F93"/>
    <w:rsid w:val="00DA12BB"/>
    <w:rsid w:val="00DD38C4"/>
    <w:rsid w:val="00DF7AD7"/>
    <w:rsid w:val="00E031C0"/>
    <w:rsid w:val="00E36141"/>
    <w:rsid w:val="00E50A42"/>
    <w:rsid w:val="00E821BB"/>
    <w:rsid w:val="00E83E58"/>
    <w:rsid w:val="00E96864"/>
    <w:rsid w:val="00EA0BEF"/>
    <w:rsid w:val="00EB775D"/>
    <w:rsid w:val="00EC665D"/>
    <w:rsid w:val="00ED25A3"/>
    <w:rsid w:val="00EE5310"/>
    <w:rsid w:val="00F15505"/>
    <w:rsid w:val="00F20877"/>
    <w:rsid w:val="00F248CB"/>
    <w:rsid w:val="00F4769E"/>
    <w:rsid w:val="00F61E2C"/>
    <w:rsid w:val="00F633B1"/>
    <w:rsid w:val="00F75B4D"/>
    <w:rsid w:val="00FA24A1"/>
    <w:rsid w:val="00FC719F"/>
    <w:rsid w:val="00FE302A"/>
    <w:rsid w:val="00FE63DC"/>
    <w:rsid w:val="00FF5546"/>
    <w:rsid w:val="00FF5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D8384C"/>
  <w15:docId w15:val="{230FC80C-95B0-4AE6-AD2C-26E4F8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It Netcents</cp:lastModifiedBy>
  <cp:revision>9</cp:revision>
  <cp:lastPrinted>2018-02-02T18:24:00Z</cp:lastPrinted>
  <dcterms:created xsi:type="dcterms:W3CDTF">2018-05-07T19:59:00Z</dcterms:created>
  <dcterms:modified xsi:type="dcterms:W3CDTF">2018-05-07T23:40:00Z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