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F7084" w14:textId="4090F866"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24C59F5" w14:textId="749E22C2" w:rsidR="00640E94" w:rsidRPr="00341594" w:rsidRDefault="00640E94">
      <w:pPr>
        <w:pStyle w:val="BodyText"/>
        <w:tabs>
          <w:tab w:val="left" w:pos="0"/>
        </w:tabs>
        <w:rPr>
          <w:rFonts w:ascii="Arial" w:hAnsi="Arial"/>
          <w:color w:val="000000"/>
          <w:u w:val="single"/>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341594" w:rsidRPr="00341594">
        <w:rPr>
          <w:rFonts w:ascii="CIDFont+F2" w:hAnsi="CIDFont+F2" w:cs="CIDFont+F2"/>
          <w:b/>
          <w:bCs/>
          <w:szCs w:val="24"/>
          <w:u w:val="single"/>
        </w:rPr>
        <w:t>GLOBAL GAMING TECHNOLOGIES CORP.</w:t>
      </w:r>
      <w:r w:rsidR="00341594" w:rsidRPr="00341594">
        <w:rPr>
          <w:rFonts w:ascii="CIDFont+F2" w:hAnsi="CIDFont+F2" w:cs="CIDFont+F2"/>
          <w:szCs w:val="24"/>
          <w:u w:val="single"/>
        </w:rPr>
        <w:t xml:space="preserve"> </w:t>
      </w:r>
      <w:r w:rsidR="00341594" w:rsidRPr="00341594">
        <w:rPr>
          <w:rFonts w:ascii="CIDFont+F3" w:hAnsi="CIDFont+F3" w:cs="CIDFont+F3"/>
          <w:szCs w:val="24"/>
          <w:u w:val="single"/>
        </w:rPr>
        <w:t>the “</w:t>
      </w:r>
      <w:r w:rsidR="00341594" w:rsidRPr="00341594">
        <w:rPr>
          <w:rFonts w:ascii="CIDFont+F2" w:hAnsi="CIDFont+F2" w:cs="CIDFont+F2"/>
          <w:b/>
          <w:bCs/>
          <w:szCs w:val="24"/>
          <w:u w:val="single"/>
        </w:rPr>
        <w:t>Issuer</w:t>
      </w:r>
      <w:r w:rsidR="00341594" w:rsidRPr="00341594">
        <w:rPr>
          <w:rFonts w:ascii="CIDFont+F3" w:hAnsi="CIDFont+F3" w:cs="CIDFont+F3"/>
          <w:szCs w:val="24"/>
          <w:u w:val="single"/>
        </w:rPr>
        <w:t>”)</w:t>
      </w:r>
      <w:r w:rsidR="00341594" w:rsidRPr="00341594">
        <w:rPr>
          <w:rFonts w:ascii="Arial" w:hAnsi="Arial"/>
          <w:color w:val="000000"/>
          <w:u w:val="single"/>
        </w:rPr>
        <w:t>.</w:t>
      </w:r>
    </w:p>
    <w:p w14:paraId="379573BF" w14:textId="64F989AB" w:rsidR="00341594" w:rsidRDefault="00640E94">
      <w:pPr>
        <w:pStyle w:val="BodyText"/>
        <w:tabs>
          <w:tab w:val="left" w:pos="7920"/>
          <w:tab w:val="left" w:pos="9180"/>
        </w:tabs>
        <w:rPr>
          <w:rFonts w:ascii="Arial" w:hAnsi="Arial"/>
          <w:b/>
          <w:bCs/>
          <w:color w:val="000000"/>
          <w:u w:val="single"/>
        </w:rPr>
      </w:pPr>
      <w:r>
        <w:rPr>
          <w:rFonts w:ascii="Arial" w:hAnsi="Arial"/>
          <w:color w:val="000000"/>
        </w:rPr>
        <w:t xml:space="preserve">Trading Symbol: </w:t>
      </w:r>
      <w:r w:rsidR="00341594" w:rsidRPr="00341594">
        <w:rPr>
          <w:rFonts w:ascii="Arial" w:hAnsi="Arial"/>
          <w:b/>
          <w:bCs/>
          <w:color w:val="000000"/>
          <w:u w:val="single"/>
        </w:rPr>
        <w:t>GGAM.U</w:t>
      </w:r>
    </w:p>
    <w:p w14:paraId="54234B66" w14:textId="77777777" w:rsidR="00341594" w:rsidRPr="00341594" w:rsidRDefault="00341594" w:rsidP="00341594">
      <w:pPr>
        <w:pStyle w:val="BodyText"/>
        <w:tabs>
          <w:tab w:val="left" w:pos="7920"/>
          <w:tab w:val="left" w:pos="9180"/>
        </w:tabs>
        <w:spacing w:before="0"/>
        <w:rPr>
          <w:rFonts w:ascii="Arial" w:hAnsi="Arial"/>
          <w:b/>
          <w:bCs/>
          <w:color w:val="000000"/>
          <w:u w:val="single"/>
        </w:rPr>
      </w:pPr>
    </w:p>
    <w:p w14:paraId="61536BB9" w14:textId="7B3756C0" w:rsidR="00341594" w:rsidRPr="00341594" w:rsidRDefault="00640E94" w:rsidP="00341594">
      <w:pPr>
        <w:autoSpaceDE w:val="0"/>
        <w:autoSpaceDN w:val="0"/>
        <w:adjustRightInd w:val="0"/>
        <w:rPr>
          <w:rFonts w:ascii="Arial" w:hAnsi="Arial" w:cs="Arial"/>
          <w:sz w:val="24"/>
          <w:szCs w:val="24"/>
          <w:u w:val="single"/>
        </w:rPr>
      </w:pPr>
      <w:r w:rsidRPr="00341594">
        <w:rPr>
          <w:rFonts w:ascii="Arial" w:hAnsi="Arial" w:cs="Arial"/>
          <w:color w:val="000000"/>
          <w:sz w:val="24"/>
          <w:szCs w:val="24"/>
        </w:rPr>
        <w:t xml:space="preserve">Number of Outstanding </w:t>
      </w:r>
      <w:r w:rsidR="00C27A18" w:rsidRPr="00341594">
        <w:rPr>
          <w:rFonts w:ascii="Arial" w:hAnsi="Arial" w:cs="Arial"/>
          <w:color w:val="000000"/>
          <w:sz w:val="24"/>
          <w:szCs w:val="24"/>
        </w:rPr>
        <w:t>Listed</w:t>
      </w:r>
      <w:r w:rsidRPr="00341594">
        <w:rPr>
          <w:rFonts w:ascii="Arial" w:hAnsi="Arial" w:cs="Arial"/>
          <w:color w:val="000000"/>
          <w:sz w:val="24"/>
          <w:szCs w:val="24"/>
        </w:rPr>
        <w:t xml:space="preserve"> Securities: </w:t>
      </w:r>
      <w:r w:rsidR="00341594" w:rsidRPr="00341594">
        <w:rPr>
          <w:rFonts w:ascii="Arial" w:hAnsi="Arial" w:cs="Arial"/>
          <w:sz w:val="24"/>
          <w:szCs w:val="24"/>
          <w:u w:val="single"/>
        </w:rPr>
        <w:t>125,169,865 Common shares were issued and outstanding as of November 3</w:t>
      </w:r>
      <w:r w:rsidR="00341594">
        <w:rPr>
          <w:rFonts w:ascii="Arial" w:hAnsi="Arial" w:cs="Arial"/>
          <w:sz w:val="24"/>
          <w:szCs w:val="24"/>
          <w:u w:val="single"/>
        </w:rPr>
        <w:t>0</w:t>
      </w:r>
      <w:r w:rsidR="00341594" w:rsidRPr="00341594">
        <w:rPr>
          <w:rFonts w:ascii="Arial" w:hAnsi="Arial" w:cs="Arial"/>
          <w:sz w:val="24"/>
          <w:szCs w:val="24"/>
          <w:u w:val="single"/>
        </w:rPr>
        <w:t>, 2019</w:t>
      </w:r>
    </w:p>
    <w:p w14:paraId="0763729E" w14:textId="2F8C266B" w:rsidR="00640E94" w:rsidRPr="00341594" w:rsidRDefault="00640E94" w:rsidP="00341594">
      <w:pPr>
        <w:pStyle w:val="BodyText"/>
        <w:tabs>
          <w:tab w:val="left" w:pos="7920"/>
          <w:tab w:val="left" w:pos="9180"/>
        </w:tabs>
        <w:rPr>
          <w:rFonts w:ascii="Arial" w:hAnsi="Arial"/>
          <w:b/>
          <w:bCs/>
          <w:color w:val="000000"/>
          <w:u w:val="single"/>
        </w:rPr>
      </w:pPr>
      <w:r>
        <w:rPr>
          <w:rFonts w:ascii="Arial" w:hAnsi="Arial"/>
          <w:color w:val="000000"/>
        </w:rPr>
        <w:t xml:space="preserve">Date: </w:t>
      </w:r>
      <w:r w:rsidR="00341594" w:rsidRPr="00341594">
        <w:rPr>
          <w:rFonts w:ascii="Arial" w:hAnsi="Arial"/>
          <w:b/>
          <w:bCs/>
          <w:color w:val="000000"/>
          <w:u w:val="single"/>
        </w:rPr>
        <w:t>December 6, 2019</w:t>
      </w:r>
      <w:r w:rsidR="00341594" w:rsidRPr="00341594">
        <w:rPr>
          <w:rFonts w:ascii="Arial" w:hAnsi="Arial"/>
          <w:color w:val="000000"/>
          <w:u w:val="single"/>
        </w:rPr>
        <w:t xml:space="preserve"> (for the month </w:t>
      </w:r>
      <w:r w:rsidR="00341594" w:rsidRPr="00341594">
        <w:rPr>
          <w:rFonts w:ascii="Arial" w:hAnsi="Arial"/>
          <w:b/>
          <w:bCs/>
          <w:color w:val="000000"/>
          <w:u w:val="single"/>
        </w:rPr>
        <w:t>November 2019</w:t>
      </w:r>
      <w:r w:rsidR="00341594" w:rsidRPr="00341594">
        <w:rPr>
          <w:rFonts w:ascii="Arial" w:hAnsi="Arial"/>
          <w:color w:val="000000"/>
          <w:u w:val="single"/>
        </w:rPr>
        <w:t>)</w:t>
      </w:r>
    </w:p>
    <w:p w14:paraId="0D30BF6A"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222BF8D6"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balanced and non-promotional.</w:t>
      </w:r>
    </w:p>
    <w:p w14:paraId="0BF5ED7B"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4A442F3"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5CA9581D"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67A649D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716BC03A" w14:textId="77777777" w:rsidR="00640E94" w:rsidRDefault="00640E94">
      <w:pPr>
        <w:pStyle w:val="List"/>
        <w:keepLines/>
        <w:spacing w:before="120"/>
        <w:ind w:left="0" w:firstLine="0"/>
        <w:rPr>
          <w:rFonts w:ascii="Arial" w:hAnsi="Arial"/>
          <w:b/>
        </w:rPr>
      </w:pPr>
      <w:r>
        <w:rPr>
          <w:rFonts w:ascii="Arial" w:hAnsi="Arial"/>
          <w:b/>
        </w:rPr>
        <w:t>Report on Business</w:t>
      </w:r>
    </w:p>
    <w:p w14:paraId="4DBA6C54" w14:textId="67464539"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5C73B02E" w14:textId="22E0E266" w:rsidR="00C54C06" w:rsidRPr="00F422EF" w:rsidRDefault="00C54C06" w:rsidP="00C54C06">
      <w:pPr>
        <w:pStyle w:val="List"/>
        <w:spacing w:before="120"/>
        <w:ind w:left="720" w:firstLine="0"/>
        <w:jc w:val="both"/>
        <w:rPr>
          <w:rFonts w:ascii="Arial" w:hAnsi="Arial" w:cs="Arial"/>
          <w:u w:val="single"/>
        </w:rPr>
      </w:pPr>
      <w:r w:rsidRPr="00F422EF">
        <w:rPr>
          <w:rFonts w:ascii="Arial" w:hAnsi="Arial" w:cs="Arial"/>
          <w:u w:val="single"/>
        </w:rPr>
        <w:t xml:space="preserve">During the month of </w:t>
      </w:r>
      <w:r w:rsidR="00AB0BF2">
        <w:rPr>
          <w:rFonts w:ascii="Arial" w:hAnsi="Arial" w:cs="Arial"/>
          <w:u w:val="single"/>
        </w:rPr>
        <w:t>November 2019</w:t>
      </w:r>
      <w:r w:rsidRPr="00F422EF">
        <w:rPr>
          <w:rFonts w:ascii="Arial" w:hAnsi="Arial" w:cs="Arial"/>
          <w:u w:val="single"/>
        </w:rPr>
        <w:t xml:space="preserve">, the issuer continued </w:t>
      </w:r>
      <w:r>
        <w:rPr>
          <w:rFonts w:ascii="Arial" w:hAnsi="Arial" w:cs="Arial"/>
          <w:u w:val="single"/>
        </w:rPr>
        <w:t>to maintain its investments.</w:t>
      </w:r>
    </w:p>
    <w:p w14:paraId="03DAA4B7" w14:textId="729CE722"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2C9E0E61" w14:textId="3E8B0A34" w:rsidR="00F422EF" w:rsidRPr="00F422EF" w:rsidRDefault="00F422EF" w:rsidP="00F422EF">
      <w:pPr>
        <w:pStyle w:val="List"/>
        <w:spacing w:before="120"/>
        <w:ind w:left="720" w:firstLine="0"/>
        <w:jc w:val="both"/>
        <w:rPr>
          <w:rFonts w:ascii="Arial" w:hAnsi="Arial" w:cs="Arial"/>
          <w:u w:val="single"/>
        </w:rPr>
      </w:pPr>
      <w:r w:rsidRPr="00F422EF">
        <w:rPr>
          <w:rFonts w:ascii="Arial" w:hAnsi="Arial" w:cs="Arial"/>
          <w:u w:val="single"/>
        </w:rPr>
        <w:lastRenderedPageBreak/>
        <w:t xml:space="preserve">During the month of </w:t>
      </w:r>
      <w:r>
        <w:rPr>
          <w:rFonts w:ascii="Arial" w:hAnsi="Arial" w:cs="Arial"/>
          <w:u w:val="single"/>
        </w:rPr>
        <w:t>November 2019</w:t>
      </w:r>
      <w:r w:rsidRPr="00F422EF">
        <w:rPr>
          <w:rFonts w:ascii="Arial" w:hAnsi="Arial" w:cs="Arial"/>
          <w:u w:val="single"/>
        </w:rPr>
        <w:t>, management’s primary activities consisted of the following activities:</w:t>
      </w:r>
    </w:p>
    <w:p w14:paraId="146C4A54" w14:textId="196C28C6" w:rsidR="00F422EF" w:rsidRPr="00F422EF" w:rsidRDefault="00F422EF" w:rsidP="00F422EF">
      <w:pPr>
        <w:pStyle w:val="List"/>
        <w:numPr>
          <w:ilvl w:val="0"/>
          <w:numId w:val="29"/>
        </w:numPr>
        <w:spacing w:before="120"/>
        <w:jc w:val="both"/>
        <w:rPr>
          <w:rFonts w:ascii="Arial" w:hAnsi="Arial" w:cs="Arial"/>
          <w:u w:val="single"/>
        </w:rPr>
      </w:pPr>
      <w:r w:rsidRPr="00F422EF">
        <w:rPr>
          <w:rFonts w:ascii="Arial" w:hAnsi="Arial" w:cs="Arial"/>
          <w:u w:val="single"/>
        </w:rPr>
        <w:t xml:space="preserve">general management and administrative matters; and </w:t>
      </w:r>
    </w:p>
    <w:p w14:paraId="5BE83EE8" w14:textId="68F86A8F" w:rsidR="009F1BD1" w:rsidRPr="00F422EF" w:rsidRDefault="009F1BD1" w:rsidP="009F1BD1">
      <w:pPr>
        <w:pStyle w:val="List"/>
        <w:numPr>
          <w:ilvl w:val="0"/>
          <w:numId w:val="29"/>
        </w:numPr>
        <w:spacing w:before="120"/>
        <w:jc w:val="both"/>
        <w:rPr>
          <w:rFonts w:ascii="Arial" w:hAnsi="Arial" w:cs="Arial"/>
          <w:u w:val="single"/>
        </w:rPr>
      </w:pPr>
      <w:r>
        <w:rPr>
          <w:rFonts w:ascii="Arial" w:hAnsi="Arial" w:cs="Arial"/>
          <w:u w:val="single"/>
        </w:rPr>
        <w:t xml:space="preserve">maintenance of its existing investments. </w:t>
      </w:r>
    </w:p>
    <w:p w14:paraId="75EDBDEB" w14:textId="682A2D7F"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3520404C" w14:textId="3A6A9BA6" w:rsidR="00F422EF" w:rsidRPr="00F422EF" w:rsidRDefault="00F422EF" w:rsidP="00F422EF">
      <w:pPr>
        <w:pStyle w:val="List"/>
        <w:spacing w:before="120"/>
        <w:ind w:firstLine="0"/>
        <w:jc w:val="both"/>
        <w:rPr>
          <w:rFonts w:ascii="Arial" w:hAnsi="Arial" w:cs="Arial"/>
          <w:u w:val="single"/>
        </w:rPr>
      </w:pPr>
      <w:r w:rsidRPr="00F422EF">
        <w:rPr>
          <w:rFonts w:ascii="Arial" w:hAnsi="Arial" w:cs="Arial"/>
          <w:u w:val="single"/>
        </w:rPr>
        <w:t xml:space="preserve">There were no new products or services developed during the month of </w:t>
      </w:r>
      <w:r>
        <w:rPr>
          <w:rFonts w:ascii="Arial" w:hAnsi="Arial" w:cs="Arial"/>
          <w:u w:val="single"/>
        </w:rPr>
        <w:t>November 2019</w:t>
      </w:r>
      <w:r w:rsidRPr="00F422EF">
        <w:rPr>
          <w:rFonts w:ascii="Arial" w:hAnsi="Arial" w:cs="Arial"/>
          <w:u w:val="single"/>
        </w:rPr>
        <w:t>.</w:t>
      </w:r>
    </w:p>
    <w:p w14:paraId="3C9BDE7A" w14:textId="5884872E"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6F42C43A" w14:textId="46E7B4BC" w:rsidR="00F422EF" w:rsidRPr="00F422EF" w:rsidRDefault="00F422EF" w:rsidP="00F422EF">
      <w:pPr>
        <w:pStyle w:val="List"/>
        <w:spacing w:before="120"/>
        <w:ind w:left="720" w:firstLine="0"/>
        <w:jc w:val="both"/>
        <w:rPr>
          <w:rFonts w:ascii="Arial" w:hAnsi="Arial" w:cs="Arial"/>
          <w:u w:val="single"/>
        </w:rPr>
      </w:pPr>
      <w:r w:rsidRPr="00F422EF">
        <w:rPr>
          <w:rFonts w:ascii="Arial" w:hAnsi="Arial" w:cs="Arial"/>
          <w:u w:val="single"/>
        </w:rPr>
        <w:t xml:space="preserve">There were no products or services discontinued during the month of </w:t>
      </w:r>
      <w:r>
        <w:rPr>
          <w:rFonts w:ascii="Arial" w:hAnsi="Arial" w:cs="Arial"/>
          <w:u w:val="single"/>
        </w:rPr>
        <w:t>November 2019</w:t>
      </w:r>
      <w:r w:rsidRPr="00F422EF">
        <w:rPr>
          <w:rFonts w:ascii="Arial" w:hAnsi="Arial" w:cs="Arial"/>
          <w:u w:val="single"/>
        </w:rPr>
        <w:t>.</w:t>
      </w:r>
    </w:p>
    <w:p w14:paraId="42B2BCC5" w14:textId="0FD4080B"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44546DE" w14:textId="555A54B0" w:rsidR="00F422EF" w:rsidRPr="00F422EF" w:rsidRDefault="00F422EF" w:rsidP="00F422EF">
      <w:pPr>
        <w:pStyle w:val="List"/>
        <w:spacing w:before="120"/>
        <w:ind w:left="720" w:firstLine="0"/>
        <w:jc w:val="both"/>
        <w:rPr>
          <w:rFonts w:ascii="Arial" w:hAnsi="Arial" w:cs="Arial"/>
          <w:u w:val="single"/>
        </w:rPr>
      </w:pPr>
      <w:r w:rsidRPr="00F422EF">
        <w:rPr>
          <w:rFonts w:ascii="Arial" w:hAnsi="Arial" w:cs="Arial"/>
          <w:u w:val="single"/>
        </w:rPr>
        <w:t xml:space="preserve">The Issuer, through its wholly-owned subsidiary, X2 Games Corp. (“X2”), entered into a licensing agreement (the “Agreement”) with </w:t>
      </w:r>
      <w:proofErr w:type="spellStart"/>
      <w:r w:rsidRPr="00F422EF">
        <w:rPr>
          <w:rFonts w:ascii="Arial" w:hAnsi="Arial" w:cs="Arial"/>
          <w:u w:val="single"/>
        </w:rPr>
        <w:t>Virsix</w:t>
      </w:r>
      <w:proofErr w:type="spellEnd"/>
      <w:r w:rsidRPr="00F422EF">
        <w:rPr>
          <w:rFonts w:ascii="Arial" w:hAnsi="Arial" w:cs="Arial"/>
          <w:u w:val="single"/>
        </w:rPr>
        <w:t xml:space="preserve"> Games, Inc. (“</w:t>
      </w:r>
      <w:proofErr w:type="spellStart"/>
      <w:r w:rsidRPr="00F422EF">
        <w:rPr>
          <w:rFonts w:ascii="Arial" w:hAnsi="Arial" w:cs="Arial"/>
          <w:u w:val="single"/>
        </w:rPr>
        <w:t>Virsix</w:t>
      </w:r>
      <w:proofErr w:type="spellEnd"/>
      <w:r w:rsidRPr="00F422EF">
        <w:rPr>
          <w:rFonts w:ascii="Arial" w:hAnsi="Arial" w:cs="Arial"/>
          <w:u w:val="single"/>
        </w:rPr>
        <w:t xml:space="preserve">”). Under the Agreement, </w:t>
      </w:r>
      <w:proofErr w:type="spellStart"/>
      <w:r w:rsidRPr="00F422EF">
        <w:rPr>
          <w:rFonts w:ascii="Arial" w:hAnsi="Arial" w:cs="Arial"/>
          <w:u w:val="single"/>
        </w:rPr>
        <w:t>Virsix</w:t>
      </w:r>
      <w:proofErr w:type="spellEnd"/>
      <w:r w:rsidRPr="00F422EF">
        <w:rPr>
          <w:rFonts w:ascii="Arial" w:hAnsi="Arial" w:cs="Arial"/>
          <w:u w:val="single"/>
        </w:rPr>
        <w:t xml:space="preserve"> will have use of the licensed intellectual property (the “Licensed Intellectual Property”) for the St. Noire board game (the “St. Noire Board Game”). In consideration for the Licensed Intellectual Property, </w:t>
      </w:r>
      <w:proofErr w:type="spellStart"/>
      <w:r w:rsidRPr="00F422EF">
        <w:rPr>
          <w:rFonts w:ascii="Arial" w:hAnsi="Arial" w:cs="Arial"/>
          <w:u w:val="single"/>
        </w:rPr>
        <w:t>Virsix</w:t>
      </w:r>
      <w:proofErr w:type="spellEnd"/>
      <w:r w:rsidRPr="00F422EF">
        <w:rPr>
          <w:rFonts w:ascii="Arial" w:hAnsi="Arial" w:cs="Arial"/>
          <w:u w:val="single"/>
        </w:rPr>
        <w:t xml:space="preserve"> agrees to pay to X2 a five percent (5%) royalty (a “Royalty”) on all gross margin amounts actually received by </w:t>
      </w:r>
      <w:proofErr w:type="spellStart"/>
      <w:r w:rsidRPr="00F422EF">
        <w:rPr>
          <w:rFonts w:ascii="Arial" w:hAnsi="Arial" w:cs="Arial"/>
          <w:u w:val="single"/>
        </w:rPr>
        <w:t>Virsix</w:t>
      </w:r>
      <w:proofErr w:type="spellEnd"/>
      <w:r w:rsidRPr="00F422EF">
        <w:rPr>
          <w:rFonts w:ascii="Arial" w:hAnsi="Arial" w:cs="Arial"/>
          <w:u w:val="single"/>
        </w:rPr>
        <w:t xml:space="preserve"> or its affiliates for any sales of the existing St. Noire Board Game product. Royalties payable shall accrue beginning at any time after the effective date of the Agreement and continue in perpetuity.</w:t>
      </w:r>
    </w:p>
    <w:p w14:paraId="5E00B239" w14:textId="2581B7E9"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7C792FD2" w14:textId="1A4E3421" w:rsidR="00F422EF" w:rsidRPr="00F422EF" w:rsidRDefault="00F422EF" w:rsidP="00F422EF">
      <w:pPr>
        <w:pStyle w:val="List"/>
        <w:spacing w:before="120"/>
        <w:ind w:left="720" w:firstLine="0"/>
        <w:jc w:val="both"/>
        <w:rPr>
          <w:rFonts w:ascii="Arial" w:hAnsi="Arial" w:cs="Arial"/>
          <w:u w:val="single"/>
        </w:rPr>
      </w:pPr>
      <w:r w:rsidRPr="00F422EF">
        <w:rPr>
          <w:rFonts w:ascii="Arial" w:hAnsi="Arial" w:cs="Arial"/>
          <w:u w:val="single"/>
        </w:rPr>
        <w:t xml:space="preserve">There were no contracts or agreements between the Issuer, the Issuer’s affiliates or third parties that expired or were terminated and there were no cancellations of any financing arrangements that were previously announced during the month of </w:t>
      </w:r>
      <w:r>
        <w:rPr>
          <w:rFonts w:ascii="Arial" w:hAnsi="Arial" w:cs="Arial"/>
          <w:u w:val="single"/>
        </w:rPr>
        <w:t>November 2019</w:t>
      </w:r>
      <w:r w:rsidRPr="00F422EF">
        <w:rPr>
          <w:rFonts w:ascii="Arial" w:hAnsi="Arial" w:cs="Arial"/>
          <w:u w:val="single"/>
        </w:rPr>
        <w:t>.</w:t>
      </w:r>
    </w:p>
    <w:p w14:paraId="5BC21AAF" w14:textId="3718871E"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w:t>
      </w:r>
      <w:r>
        <w:rPr>
          <w:rFonts w:ascii="Arial" w:hAnsi="Arial"/>
        </w:rPr>
        <w:lastRenderedPageBreak/>
        <w:t>the disposition was to a Related Person of the Issuer and provide details of the relationship..</w:t>
      </w:r>
    </w:p>
    <w:p w14:paraId="43045DBE" w14:textId="3DF5F5BB" w:rsidR="00F422EF" w:rsidRPr="00F422EF" w:rsidRDefault="00F422EF" w:rsidP="00F422EF">
      <w:pPr>
        <w:pStyle w:val="List"/>
        <w:spacing w:before="120"/>
        <w:ind w:left="720" w:firstLine="0"/>
        <w:jc w:val="both"/>
        <w:rPr>
          <w:rFonts w:ascii="Arial" w:hAnsi="Arial" w:cs="Arial"/>
          <w:u w:val="single"/>
        </w:rPr>
      </w:pPr>
      <w:r w:rsidRPr="00F422EF">
        <w:rPr>
          <w:rFonts w:ascii="Arial" w:hAnsi="Arial" w:cs="Arial"/>
          <w:u w:val="single"/>
        </w:rPr>
        <w:t xml:space="preserve">During the preceding month of </w:t>
      </w:r>
      <w:r>
        <w:rPr>
          <w:rFonts w:ascii="Arial" w:hAnsi="Arial" w:cs="Arial"/>
          <w:u w:val="single"/>
        </w:rPr>
        <w:t>November 2019</w:t>
      </w:r>
      <w:r w:rsidRPr="00F422EF">
        <w:rPr>
          <w:rFonts w:ascii="Arial" w:hAnsi="Arial" w:cs="Arial"/>
          <w:u w:val="single"/>
        </w:rPr>
        <w:t>, there were no acquisitions or dispositions of the Issuer’s assets.</w:t>
      </w:r>
    </w:p>
    <w:p w14:paraId="40868D95" w14:textId="42E00601"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27532D4E" w14:textId="11FC1384" w:rsidR="00F422EF" w:rsidRPr="00F422EF" w:rsidRDefault="00F422EF" w:rsidP="00F422EF">
      <w:pPr>
        <w:pStyle w:val="List"/>
        <w:spacing w:before="120"/>
        <w:ind w:left="720" w:firstLine="0"/>
        <w:jc w:val="both"/>
        <w:rPr>
          <w:rFonts w:ascii="Arial" w:hAnsi="Arial" w:cs="Arial"/>
          <w:u w:val="single"/>
        </w:rPr>
      </w:pPr>
      <w:r w:rsidRPr="00F422EF">
        <w:rPr>
          <w:rFonts w:ascii="Arial" w:hAnsi="Arial" w:cs="Arial"/>
          <w:u w:val="single"/>
        </w:rPr>
        <w:t xml:space="preserve">There were no acquisitions of new customers or loss of customers during the month of </w:t>
      </w:r>
      <w:r>
        <w:rPr>
          <w:rFonts w:ascii="Arial" w:hAnsi="Arial" w:cs="Arial"/>
          <w:u w:val="single"/>
        </w:rPr>
        <w:t>November 2019</w:t>
      </w:r>
      <w:r w:rsidRPr="00F422EF">
        <w:rPr>
          <w:rFonts w:ascii="Arial" w:hAnsi="Arial" w:cs="Arial"/>
          <w:u w:val="single"/>
        </w:rPr>
        <w:t>.</w:t>
      </w:r>
    </w:p>
    <w:p w14:paraId="04F25716" w14:textId="7F7AB0FE"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20E50D37" w14:textId="319EBF49" w:rsidR="00F422EF" w:rsidRPr="00F422EF" w:rsidRDefault="00F422EF" w:rsidP="00F422EF">
      <w:pPr>
        <w:pStyle w:val="List"/>
        <w:spacing w:before="120"/>
        <w:ind w:left="720" w:firstLine="0"/>
        <w:jc w:val="both"/>
        <w:rPr>
          <w:rFonts w:ascii="Arial" w:hAnsi="Arial" w:cs="Arial"/>
          <w:u w:val="single"/>
        </w:rPr>
      </w:pPr>
      <w:r w:rsidRPr="00F422EF">
        <w:rPr>
          <w:rFonts w:ascii="Arial" w:hAnsi="Arial" w:cs="Arial"/>
          <w:u w:val="single"/>
        </w:rPr>
        <w:t xml:space="preserve">There were no new developments or effects on intangible products such as brand names, circulation lists, copyrights, franchises, licenses, patents, software, subscription lists and trade-marks during the month of </w:t>
      </w:r>
      <w:r>
        <w:rPr>
          <w:rFonts w:ascii="Arial" w:hAnsi="Arial" w:cs="Arial"/>
          <w:u w:val="single"/>
        </w:rPr>
        <w:t>November 2019</w:t>
      </w:r>
      <w:r w:rsidRPr="00F422EF">
        <w:rPr>
          <w:rFonts w:ascii="Arial" w:hAnsi="Arial" w:cs="Arial"/>
          <w:u w:val="single"/>
        </w:rPr>
        <w:t>.</w:t>
      </w:r>
    </w:p>
    <w:p w14:paraId="6003A52E" w14:textId="52AF9C49"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360B7C21" w14:textId="2159D704" w:rsidR="00F422EF" w:rsidRPr="00F422EF" w:rsidRDefault="00F422EF" w:rsidP="00F422EF">
      <w:pPr>
        <w:pStyle w:val="List"/>
        <w:spacing w:before="120"/>
        <w:ind w:left="720" w:firstLine="0"/>
        <w:jc w:val="both"/>
        <w:rPr>
          <w:rFonts w:ascii="Arial" w:hAnsi="Arial" w:cs="Arial"/>
          <w:u w:val="single"/>
        </w:rPr>
      </w:pPr>
      <w:r w:rsidRPr="00F422EF">
        <w:rPr>
          <w:rFonts w:ascii="Arial" w:hAnsi="Arial" w:cs="Arial"/>
          <w:u w:val="single"/>
        </w:rPr>
        <w:t xml:space="preserve">There were no employee </w:t>
      </w:r>
      <w:proofErr w:type="spellStart"/>
      <w:r w:rsidRPr="00F422EF">
        <w:rPr>
          <w:rFonts w:ascii="Arial" w:hAnsi="Arial" w:cs="Arial"/>
          <w:u w:val="single"/>
        </w:rPr>
        <w:t>hirings</w:t>
      </w:r>
      <w:proofErr w:type="spellEnd"/>
      <w:r w:rsidRPr="00F422EF">
        <w:rPr>
          <w:rFonts w:ascii="Arial" w:hAnsi="Arial" w:cs="Arial"/>
          <w:u w:val="single"/>
        </w:rPr>
        <w:t xml:space="preserve">, terminations or lay-offs during the month of </w:t>
      </w:r>
      <w:r>
        <w:rPr>
          <w:rFonts w:ascii="Arial" w:hAnsi="Arial" w:cs="Arial"/>
          <w:u w:val="single"/>
        </w:rPr>
        <w:t>November 2019</w:t>
      </w:r>
      <w:r w:rsidRPr="00F422EF">
        <w:rPr>
          <w:rFonts w:ascii="Arial" w:hAnsi="Arial" w:cs="Arial"/>
          <w:u w:val="single"/>
        </w:rPr>
        <w:t>.</w:t>
      </w:r>
    </w:p>
    <w:p w14:paraId="06E4CCC7" w14:textId="47268AF4"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2CAD89A2" w14:textId="548667A6" w:rsidR="00F422EF" w:rsidRPr="00F422EF" w:rsidRDefault="00F422EF" w:rsidP="00F422EF">
      <w:pPr>
        <w:pStyle w:val="List"/>
        <w:spacing w:before="120"/>
        <w:ind w:left="720" w:firstLine="0"/>
        <w:jc w:val="both"/>
        <w:rPr>
          <w:rFonts w:ascii="Arial" w:hAnsi="Arial" w:cs="Arial"/>
          <w:u w:val="single"/>
        </w:rPr>
      </w:pPr>
      <w:r w:rsidRPr="00F422EF">
        <w:rPr>
          <w:rFonts w:ascii="Arial" w:hAnsi="Arial" w:cs="Arial"/>
          <w:u w:val="single"/>
        </w:rPr>
        <w:t xml:space="preserve">There were no labour disputes during the month of </w:t>
      </w:r>
      <w:r>
        <w:rPr>
          <w:rFonts w:ascii="Arial" w:hAnsi="Arial" w:cs="Arial"/>
          <w:u w:val="single"/>
        </w:rPr>
        <w:t>November 2019</w:t>
      </w:r>
      <w:r w:rsidRPr="00F422EF">
        <w:rPr>
          <w:rFonts w:ascii="Arial" w:hAnsi="Arial" w:cs="Arial"/>
          <w:u w:val="single"/>
        </w:rPr>
        <w:t>.</w:t>
      </w:r>
    </w:p>
    <w:p w14:paraId="12909376" w14:textId="7093740D"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3D80012" w14:textId="045BF271" w:rsidR="00F422EF" w:rsidRPr="00F422EF" w:rsidRDefault="00F422EF" w:rsidP="00F422EF">
      <w:pPr>
        <w:pStyle w:val="List"/>
        <w:spacing w:before="120"/>
        <w:ind w:left="720" w:firstLine="0"/>
        <w:jc w:val="both"/>
        <w:rPr>
          <w:rFonts w:ascii="Arial" w:hAnsi="Arial" w:cs="Arial"/>
          <w:u w:val="single"/>
        </w:rPr>
      </w:pPr>
      <w:r w:rsidRPr="00F422EF">
        <w:rPr>
          <w:rFonts w:ascii="Arial" w:hAnsi="Arial" w:cs="Arial"/>
          <w:u w:val="single"/>
        </w:rPr>
        <w:t xml:space="preserve">There were no legal proceedings to which the Issuer became a party during the month of </w:t>
      </w:r>
      <w:r>
        <w:rPr>
          <w:rFonts w:ascii="Arial" w:hAnsi="Arial" w:cs="Arial"/>
          <w:u w:val="single"/>
        </w:rPr>
        <w:t>November 2019</w:t>
      </w:r>
      <w:r w:rsidRPr="00F422EF">
        <w:rPr>
          <w:rFonts w:ascii="Arial" w:hAnsi="Arial" w:cs="Arial"/>
          <w:u w:val="single"/>
        </w:rPr>
        <w:t>. The Issuer continues to contest the statement of claim filed by Playboy Enterprises, Inc. on October 3, 2018.</w:t>
      </w:r>
    </w:p>
    <w:p w14:paraId="4F75CCF0" w14:textId="14B2637E"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1A9F99F7" w14:textId="36CBE8B7" w:rsidR="00F422EF" w:rsidRPr="00F422EF" w:rsidRDefault="00F422EF" w:rsidP="00F422EF">
      <w:pPr>
        <w:pStyle w:val="List"/>
        <w:spacing w:before="120"/>
        <w:ind w:left="720" w:firstLine="0"/>
        <w:jc w:val="both"/>
        <w:rPr>
          <w:rFonts w:ascii="Arial" w:hAnsi="Arial" w:cs="Arial"/>
          <w:u w:val="single"/>
        </w:rPr>
      </w:pPr>
      <w:r w:rsidRPr="00F422EF">
        <w:rPr>
          <w:rFonts w:ascii="Arial" w:hAnsi="Arial" w:cs="Arial"/>
          <w:u w:val="single"/>
        </w:rPr>
        <w:t xml:space="preserve">No debt was incurred or repaid by the Issuer during the month of </w:t>
      </w:r>
      <w:r>
        <w:rPr>
          <w:rFonts w:ascii="Arial" w:hAnsi="Arial" w:cs="Arial"/>
          <w:u w:val="single"/>
        </w:rPr>
        <w:t>November 2019</w:t>
      </w:r>
      <w:r w:rsidRPr="00F422EF">
        <w:rPr>
          <w:rFonts w:ascii="Arial" w:hAnsi="Arial" w:cs="Arial"/>
          <w:u w:val="single"/>
        </w:rPr>
        <w:t>.</w:t>
      </w:r>
    </w:p>
    <w:p w14:paraId="7544006E" w14:textId="1BC78AD4"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5125AB20" w14:textId="1B6E723D" w:rsidR="00F422EF" w:rsidRPr="00F422EF" w:rsidRDefault="00F422EF" w:rsidP="00F422EF">
      <w:pPr>
        <w:pStyle w:val="List"/>
        <w:spacing w:before="120"/>
        <w:ind w:left="720" w:firstLine="0"/>
        <w:jc w:val="both"/>
        <w:rPr>
          <w:rFonts w:ascii="Arial" w:hAnsi="Arial" w:cs="Arial"/>
          <w:u w:val="single"/>
        </w:rPr>
      </w:pPr>
      <w:r w:rsidRPr="00F422EF">
        <w:rPr>
          <w:rFonts w:ascii="Arial" w:hAnsi="Arial" w:cs="Arial"/>
          <w:u w:val="single"/>
        </w:rPr>
        <w:t xml:space="preserve">There were no securities issued and options or warrants granted during the month of </w:t>
      </w:r>
      <w:r>
        <w:rPr>
          <w:rFonts w:ascii="Arial" w:hAnsi="Arial" w:cs="Arial"/>
          <w:u w:val="single"/>
        </w:rPr>
        <w:t>November 2019</w:t>
      </w:r>
      <w:r w:rsidRPr="00F422EF">
        <w:rPr>
          <w:rFonts w:ascii="Arial" w:hAnsi="Arial" w:cs="Arial"/>
          <w:u w:val="single"/>
        </w:rPr>
        <w:t>.</w:t>
      </w:r>
    </w:p>
    <w:p w14:paraId="4CD175B8"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154D1D4E" w14:textId="77777777">
        <w:tc>
          <w:tcPr>
            <w:tcW w:w="2394" w:type="dxa"/>
          </w:tcPr>
          <w:p w14:paraId="1A9DF421"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38AB5920"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2086F0E0"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73D3897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7597D360" w14:textId="77777777">
        <w:tc>
          <w:tcPr>
            <w:tcW w:w="2394" w:type="dxa"/>
          </w:tcPr>
          <w:p w14:paraId="4A69FE0B"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F43DB7D"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9482F0A"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1416A4C" w14:textId="77777777" w:rsidR="00640E94" w:rsidRDefault="00640E94">
            <w:pPr>
              <w:pStyle w:val="List"/>
              <w:tabs>
                <w:tab w:val="left" w:pos="360"/>
              </w:tabs>
              <w:spacing w:before="0" w:line="280" w:lineRule="exact"/>
              <w:ind w:left="0" w:firstLine="0"/>
              <w:jc w:val="both"/>
              <w:rPr>
                <w:rFonts w:ascii="Arial" w:hAnsi="Arial"/>
              </w:rPr>
            </w:pPr>
          </w:p>
        </w:tc>
      </w:tr>
      <w:tr w:rsidR="00640E94" w14:paraId="42C95328" w14:textId="77777777">
        <w:tc>
          <w:tcPr>
            <w:tcW w:w="2394" w:type="dxa"/>
          </w:tcPr>
          <w:p w14:paraId="5C950E1F"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D4BAC0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B13708B"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3D162D4" w14:textId="77777777" w:rsidR="00640E94" w:rsidRDefault="00640E94">
            <w:pPr>
              <w:pStyle w:val="List"/>
              <w:tabs>
                <w:tab w:val="left" w:pos="360"/>
              </w:tabs>
              <w:spacing w:before="0" w:line="280" w:lineRule="exact"/>
              <w:ind w:left="0" w:firstLine="0"/>
              <w:jc w:val="both"/>
              <w:rPr>
                <w:rFonts w:ascii="Arial" w:hAnsi="Arial"/>
              </w:rPr>
            </w:pPr>
          </w:p>
        </w:tc>
      </w:tr>
      <w:tr w:rsidR="00640E94" w14:paraId="08B7D6A7" w14:textId="77777777">
        <w:tc>
          <w:tcPr>
            <w:tcW w:w="2394" w:type="dxa"/>
          </w:tcPr>
          <w:p w14:paraId="4087EDFD"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9C1CF30"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B363AD4"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A7BC16A" w14:textId="77777777" w:rsidR="00640E94" w:rsidRDefault="00640E94">
            <w:pPr>
              <w:pStyle w:val="List"/>
              <w:tabs>
                <w:tab w:val="left" w:pos="360"/>
              </w:tabs>
              <w:spacing w:before="0" w:line="280" w:lineRule="exact"/>
              <w:ind w:left="0" w:firstLine="0"/>
              <w:jc w:val="both"/>
              <w:rPr>
                <w:rFonts w:ascii="Arial" w:hAnsi="Arial"/>
              </w:rPr>
            </w:pPr>
          </w:p>
        </w:tc>
      </w:tr>
    </w:tbl>
    <w:p w14:paraId="0FB281AA"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4E2504B0" w14:textId="220C71E2" w:rsidR="00640E94" w:rsidRDefault="00640E94">
      <w:pPr>
        <w:pStyle w:val="List"/>
        <w:keepNext/>
        <w:keepLines/>
        <w:numPr>
          <w:ilvl w:val="0"/>
          <w:numId w:val="28"/>
        </w:numPr>
        <w:spacing w:before="120"/>
        <w:jc w:val="both"/>
        <w:rPr>
          <w:rFonts w:ascii="Arial" w:hAnsi="Arial"/>
        </w:rPr>
      </w:pPr>
      <w:r>
        <w:rPr>
          <w:rFonts w:ascii="Arial" w:hAnsi="Arial"/>
        </w:rPr>
        <w:lastRenderedPageBreak/>
        <w:t>Provide details of any loans to or by Related Persons.</w:t>
      </w:r>
    </w:p>
    <w:p w14:paraId="5279A5FF" w14:textId="558331FC" w:rsidR="00F422EF" w:rsidRPr="00F422EF" w:rsidRDefault="00F422EF" w:rsidP="00F422EF">
      <w:pPr>
        <w:pStyle w:val="List"/>
        <w:keepNext/>
        <w:keepLines/>
        <w:spacing w:before="120"/>
        <w:ind w:left="720" w:firstLine="0"/>
        <w:jc w:val="both"/>
        <w:rPr>
          <w:rFonts w:ascii="Arial" w:hAnsi="Arial" w:cs="Arial"/>
          <w:u w:val="single"/>
        </w:rPr>
      </w:pPr>
      <w:r w:rsidRPr="00F422EF">
        <w:rPr>
          <w:rFonts w:ascii="Arial" w:hAnsi="Arial" w:cs="Arial"/>
          <w:u w:val="single"/>
        </w:rPr>
        <w:t xml:space="preserve">There were no loans to or by Related Persons during the month of </w:t>
      </w:r>
      <w:r>
        <w:rPr>
          <w:rFonts w:ascii="Arial" w:hAnsi="Arial" w:cs="Arial"/>
          <w:u w:val="single"/>
        </w:rPr>
        <w:t>November 2019</w:t>
      </w:r>
      <w:r w:rsidRPr="00F422EF">
        <w:rPr>
          <w:rFonts w:ascii="Arial" w:hAnsi="Arial" w:cs="Arial"/>
          <w:u w:val="single"/>
        </w:rPr>
        <w:t>.</w:t>
      </w:r>
    </w:p>
    <w:p w14:paraId="7D31BB09" w14:textId="45681484"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44E7F00F" w14:textId="0F0F1D3A" w:rsidR="00F422EF" w:rsidRPr="00F422EF" w:rsidRDefault="00F422EF" w:rsidP="00F422EF">
      <w:pPr>
        <w:pStyle w:val="List"/>
        <w:keepNext/>
        <w:keepLines/>
        <w:spacing w:before="120"/>
        <w:ind w:left="720" w:firstLine="0"/>
        <w:jc w:val="both"/>
        <w:rPr>
          <w:rFonts w:ascii="Arial" w:hAnsi="Arial" w:cs="Arial"/>
          <w:u w:val="single"/>
        </w:rPr>
      </w:pPr>
      <w:r w:rsidRPr="00F422EF">
        <w:rPr>
          <w:rFonts w:ascii="Arial" w:hAnsi="Arial" w:cs="Arial"/>
          <w:u w:val="single"/>
        </w:rPr>
        <w:t xml:space="preserve">There were no changes in directors, officers or committee members of the Issuer during the month of </w:t>
      </w:r>
      <w:r>
        <w:rPr>
          <w:rFonts w:ascii="Arial" w:hAnsi="Arial" w:cs="Arial"/>
          <w:u w:val="single"/>
        </w:rPr>
        <w:t>November 2019</w:t>
      </w:r>
      <w:r w:rsidRPr="00F422EF">
        <w:rPr>
          <w:rFonts w:ascii="Arial" w:hAnsi="Arial" w:cs="Arial"/>
          <w:u w:val="single"/>
        </w:rPr>
        <w:t>.</w:t>
      </w:r>
    </w:p>
    <w:p w14:paraId="77E14612" w14:textId="4558BB52"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781706F0" w14:textId="4E51197E" w:rsidR="00F422EF" w:rsidRPr="00F422EF" w:rsidRDefault="00F422EF" w:rsidP="00F422EF">
      <w:pPr>
        <w:pStyle w:val="List"/>
        <w:spacing w:before="120"/>
        <w:ind w:left="720" w:firstLine="0"/>
        <w:jc w:val="both"/>
        <w:rPr>
          <w:rFonts w:ascii="Arial" w:hAnsi="Arial" w:cs="Arial"/>
          <w:u w:val="single"/>
        </w:rPr>
      </w:pPr>
      <w:r w:rsidRPr="00F422EF">
        <w:rPr>
          <w:rFonts w:ascii="Arial" w:hAnsi="Arial" w:cs="Arial"/>
          <w:u w:val="single"/>
        </w:rPr>
        <w:t>The trends and risks which are likely to impact the Issuer are detailed in the Issuer’s Management Discussion and Analysis for the period ended July 31, 2019 (the “MD&amp;A”) under the headings “FINANCIAL INSTRUMENTS AND RISKS” and “RISKS AND UNCERTAINTIES”. The MD&amp;A is available on the Issuer’s SEDAR profile at www.sedar.com and on the Issuer’s disclosure hall with the CSE at www.thecse.com</w:t>
      </w:r>
    </w:p>
    <w:p w14:paraId="15ADBDD8" w14:textId="77777777" w:rsidR="00F422EF" w:rsidRDefault="00F422EF">
      <w:pPr>
        <w:pStyle w:val="List"/>
        <w:keepNext/>
        <w:spacing w:before="120"/>
        <w:ind w:left="0" w:firstLine="0"/>
        <w:rPr>
          <w:rFonts w:ascii="Arial" w:hAnsi="Arial"/>
          <w:b/>
        </w:rPr>
      </w:pPr>
    </w:p>
    <w:p w14:paraId="184A1FD8" w14:textId="4D7B7E6B"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6EB46C52" w14:textId="77777777" w:rsidR="00640E94" w:rsidRDefault="00640E94">
      <w:pPr>
        <w:pStyle w:val="BodyText"/>
        <w:keepNext/>
        <w:rPr>
          <w:rFonts w:ascii="Arial" w:hAnsi="Arial"/>
        </w:rPr>
      </w:pPr>
      <w:r>
        <w:rPr>
          <w:rFonts w:ascii="Arial" w:hAnsi="Arial"/>
        </w:rPr>
        <w:t>The undersigned hereby certifies that:</w:t>
      </w:r>
    </w:p>
    <w:p w14:paraId="1AAC713D"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6480F6EB"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428D7355"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478E552D"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3A667C42" w14:textId="3E74079C"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7768FC" w:rsidRPr="007768FC">
        <w:rPr>
          <w:rFonts w:ascii="Arial" w:hAnsi="Arial"/>
          <w:b/>
          <w:bCs/>
          <w:u w:val="single"/>
        </w:rPr>
        <w:t>6</w:t>
      </w:r>
      <w:r w:rsidR="007768FC" w:rsidRPr="007768FC">
        <w:rPr>
          <w:rFonts w:ascii="Arial" w:hAnsi="Arial"/>
          <w:b/>
          <w:bCs/>
          <w:u w:val="single"/>
          <w:vertAlign w:val="superscript"/>
        </w:rPr>
        <w:t>th</w:t>
      </w:r>
      <w:r w:rsidR="007768FC" w:rsidRPr="007768FC">
        <w:rPr>
          <w:rFonts w:ascii="Arial" w:hAnsi="Arial"/>
          <w:b/>
          <w:bCs/>
          <w:u w:val="single"/>
        </w:rPr>
        <w:t xml:space="preserve"> </w:t>
      </w:r>
      <w:proofErr w:type="gramStart"/>
      <w:r w:rsidR="007768FC" w:rsidRPr="007768FC">
        <w:rPr>
          <w:rFonts w:ascii="Arial" w:hAnsi="Arial"/>
          <w:b/>
          <w:bCs/>
          <w:u w:val="single"/>
        </w:rPr>
        <w:t>December,</w:t>
      </w:r>
      <w:proofErr w:type="gramEnd"/>
      <w:r w:rsidR="007768FC" w:rsidRPr="007768FC">
        <w:rPr>
          <w:rFonts w:ascii="Arial" w:hAnsi="Arial"/>
          <w:b/>
          <w:bCs/>
          <w:u w:val="single"/>
        </w:rPr>
        <w:t xml:space="preserve"> 2019</w:t>
      </w:r>
      <w:r w:rsidRPr="007768FC">
        <w:rPr>
          <w:rFonts w:ascii="Arial" w:hAnsi="Arial"/>
          <w:b/>
          <w:bCs/>
        </w:rPr>
        <w:t>.</w:t>
      </w:r>
    </w:p>
    <w:p w14:paraId="08B9D2D0" w14:textId="7EEE8B5A" w:rsidR="00640E94" w:rsidRDefault="00640E94">
      <w:pPr>
        <w:pStyle w:val="List"/>
        <w:tabs>
          <w:tab w:val="left" w:pos="9180"/>
        </w:tabs>
        <w:ind w:left="5760" w:hanging="5760"/>
        <w:rPr>
          <w:rFonts w:ascii="Arial" w:hAnsi="Arial"/>
        </w:rPr>
      </w:pPr>
      <w:r>
        <w:rPr>
          <w:rFonts w:ascii="Arial" w:hAnsi="Arial"/>
        </w:rPr>
        <w:tab/>
      </w:r>
      <w:r w:rsidR="007768FC">
        <w:rPr>
          <w:rFonts w:ascii="Arial" w:hAnsi="Arial"/>
          <w:u w:val="single"/>
        </w:rPr>
        <w:t>Andrey Kontyaev</w:t>
      </w:r>
      <w:r>
        <w:rPr>
          <w:rFonts w:ascii="Arial" w:hAnsi="Arial"/>
          <w:u w:val="single"/>
        </w:rPr>
        <w:br/>
      </w:r>
      <w:r>
        <w:rPr>
          <w:rFonts w:ascii="Arial" w:hAnsi="Arial"/>
        </w:rPr>
        <w:t>Name of Director or Senior Officer</w:t>
      </w:r>
    </w:p>
    <w:p w14:paraId="5BD91914" w14:textId="2D002169" w:rsidR="00640E94" w:rsidRDefault="00640E94">
      <w:pPr>
        <w:pStyle w:val="List"/>
        <w:tabs>
          <w:tab w:val="left" w:pos="9180"/>
          <w:tab w:val="left" w:pos="9360"/>
        </w:tabs>
        <w:ind w:left="5760" w:hanging="5760"/>
        <w:rPr>
          <w:rFonts w:ascii="Arial" w:hAnsi="Arial"/>
        </w:rPr>
      </w:pPr>
      <w:r>
        <w:rPr>
          <w:rFonts w:ascii="Arial" w:hAnsi="Arial"/>
        </w:rPr>
        <w:tab/>
      </w:r>
      <w:r w:rsidR="007768FC">
        <w:rPr>
          <w:rFonts w:ascii="Arial" w:hAnsi="Arial"/>
        </w:rPr>
        <w:t xml:space="preserve">/s/ </w:t>
      </w:r>
      <w:r w:rsidR="007768FC" w:rsidRPr="007768FC">
        <w:rPr>
          <w:rFonts w:ascii="Arial" w:hAnsi="Arial"/>
          <w:u w:val="single"/>
        </w:rPr>
        <w:t>Andrey Kontyaev</w:t>
      </w:r>
      <w:r w:rsidRPr="007768FC">
        <w:rPr>
          <w:rFonts w:ascii="Arial" w:hAnsi="Arial"/>
          <w:u w:val="single"/>
        </w:rPr>
        <w:tab/>
      </w:r>
      <w:r w:rsidRPr="007768FC">
        <w:rPr>
          <w:rFonts w:ascii="Arial" w:hAnsi="Arial"/>
          <w:u w:val="single"/>
        </w:rPr>
        <w:br/>
      </w:r>
      <w:r>
        <w:rPr>
          <w:rFonts w:ascii="Arial" w:hAnsi="Arial"/>
        </w:rPr>
        <w:t>Signature</w:t>
      </w:r>
    </w:p>
    <w:p w14:paraId="790E93A8" w14:textId="77777777" w:rsidR="007768FC" w:rsidRDefault="007768FC">
      <w:pPr>
        <w:pStyle w:val="List"/>
        <w:tabs>
          <w:tab w:val="left" w:pos="9180"/>
          <w:tab w:val="left" w:pos="9360"/>
        </w:tabs>
        <w:ind w:left="5760" w:hanging="5760"/>
        <w:rPr>
          <w:rFonts w:ascii="Arial" w:hAnsi="Arial"/>
        </w:rPr>
      </w:pPr>
    </w:p>
    <w:p w14:paraId="32A3F1DA" w14:textId="254396E2" w:rsidR="00640E94" w:rsidRDefault="007768FC">
      <w:pPr>
        <w:pStyle w:val="BodyText"/>
        <w:tabs>
          <w:tab w:val="left" w:pos="9180"/>
        </w:tabs>
        <w:spacing w:before="0"/>
        <w:ind w:left="5760"/>
        <w:rPr>
          <w:rFonts w:ascii="Arial" w:hAnsi="Arial"/>
        </w:rPr>
      </w:pPr>
      <w:r>
        <w:rPr>
          <w:rFonts w:ascii="Arial" w:hAnsi="Arial"/>
          <w:u w:val="single"/>
        </w:rPr>
        <w:t>Director</w:t>
      </w:r>
      <w:r w:rsidR="00640E94">
        <w:rPr>
          <w:rFonts w:ascii="Arial" w:hAnsi="Arial"/>
        </w:rPr>
        <w:br/>
        <w:t>Official Capacity</w:t>
      </w:r>
      <w:bookmarkEnd w:id="4"/>
    </w:p>
    <w:p w14:paraId="56820D03" w14:textId="77777777" w:rsidR="00640E94" w:rsidRPr="007768FC" w:rsidRDefault="00640E94">
      <w:pPr>
        <w:pStyle w:val="BodyText"/>
        <w:tabs>
          <w:tab w:val="left" w:pos="9180"/>
        </w:tabs>
        <w:spacing w:before="0"/>
        <w:ind w:left="5760"/>
        <w:rPr>
          <w:rFonts w:ascii="Arial" w:hAnsi="Arial" w:cs="Arial"/>
          <w:sz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7768FC" w14:paraId="66950D2A" w14:textId="77777777">
        <w:tc>
          <w:tcPr>
            <w:tcW w:w="4878" w:type="dxa"/>
            <w:tcBorders>
              <w:top w:val="single" w:sz="18" w:space="0" w:color="auto"/>
              <w:bottom w:val="nil"/>
              <w:right w:val="single" w:sz="18" w:space="0" w:color="auto"/>
            </w:tcBorders>
          </w:tcPr>
          <w:p w14:paraId="563A1D9B" w14:textId="77777777" w:rsidR="00640E94" w:rsidRPr="007768FC" w:rsidRDefault="00640E94">
            <w:pPr>
              <w:pStyle w:val="BodyText"/>
              <w:spacing w:before="0"/>
              <w:rPr>
                <w:rFonts w:ascii="Arial" w:hAnsi="Arial" w:cs="Arial"/>
                <w:b/>
                <w:i/>
                <w:sz w:val="20"/>
              </w:rPr>
            </w:pPr>
            <w:bookmarkStart w:id="5" w:name="_GoBack"/>
            <w:r w:rsidRPr="007768FC">
              <w:rPr>
                <w:rFonts w:ascii="Arial" w:hAnsi="Arial" w:cs="Arial"/>
                <w:b/>
                <w:i/>
                <w:sz w:val="20"/>
              </w:rPr>
              <w:t>Issuer Details</w:t>
            </w:r>
          </w:p>
          <w:p w14:paraId="0E8EA445" w14:textId="77777777" w:rsidR="00640E94" w:rsidRPr="007768FC" w:rsidRDefault="00640E94">
            <w:pPr>
              <w:pStyle w:val="BodyText"/>
              <w:spacing w:before="0"/>
              <w:rPr>
                <w:rFonts w:ascii="Arial" w:hAnsi="Arial" w:cs="Arial"/>
                <w:sz w:val="20"/>
              </w:rPr>
            </w:pPr>
            <w:r w:rsidRPr="007768FC">
              <w:rPr>
                <w:rFonts w:ascii="Arial" w:hAnsi="Arial" w:cs="Arial"/>
                <w:sz w:val="20"/>
              </w:rPr>
              <w:t>Name of Issuer</w:t>
            </w:r>
          </w:p>
          <w:p w14:paraId="1140A032" w14:textId="3F64B74C" w:rsidR="00640E94" w:rsidRPr="007768FC" w:rsidRDefault="007768FC">
            <w:pPr>
              <w:pStyle w:val="BodyText"/>
              <w:rPr>
                <w:rFonts w:ascii="Arial" w:hAnsi="Arial" w:cs="Arial"/>
                <w:sz w:val="20"/>
              </w:rPr>
            </w:pPr>
            <w:r w:rsidRPr="007768FC">
              <w:rPr>
                <w:rFonts w:ascii="Arial" w:hAnsi="Arial" w:cs="Arial"/>
                <w:sz w:val="20"/>
              </w:rPr>
              <w:t>Global Gaming Technologies Corp.</w:t>
            </w:r>
          </w:p>
        </w:tc>
        <w:tc>
          <w:tcPr>
            <w:tcW w:w="1800" w:type="dxa"/>
            <w:tcBorders>
              <w:top w:val="single" w:sz="18" w:space="0" w:color="auto"/>
              <w:left w:val="single" w:sz="18" w:space="0" w:color="auto"/>
              <w:bottom w:val="nil"/>
              <w:right w:val="single" w:sz="18" w:space="0" w:color="auto"/>
            </w:tcBorders>
          </w:tcPr>
          <w:p w14:paraId="6B4D3D33" w14:textId="77777777" w:rsidR="00640E94" w:rsidRPr="007768FC" w:rsidRDefault="00640E94">
            <w:pPr>
              <w:pStyle w:val="BodyText"/>
              <w:spacing w:before="0"/>
              <w:rPr>
                <w:rFonts w:ascii="Arial" w:hAnsi="Arial" w:cs="Arial"/>
                <w:sz w:val="20"/>
              </w:rPr>
            </w:pPr>
            <w:proofErr w:type="gramStart"/>
            <w:r w:rsidRPr="007768FC">
              <w:rPr>
                <w:rFonts w:ascii="Arial" w:hAnsi="Arial" w:cs="Arial"/>
                <w:sz w:val="20"/>
              </w:rPr>
              <w:t>For  Month</w:t>
            </w:r>
            <w:proofErr w:type="gramEnd"/>
            <w:r w:rsidRPr="007768FC">
              <w:rPr>
                <w:rFonts w:ascii="Arial" w:hAnsi="Arial" w:cs="Arial"/>
                <w:sz w:val="20"/>
              </w:rPr>
              <w:t xml:space="preserve"> End</w:t>
            </w:r>
          </w:p>
          <w:p w14:paraId="774E4952" w14:textId="33587FE7" w:rsidR="007768FC" w:rsidRPr="007768FC" w:rsidRDefault="007768FC">
            <w:pPr>
              <w:pStyle w:val="BodyText"/>
              <w:spacing w:before="0"/>
              <w:rPr>
                <w:rFonts w:ascii="Arial" w:hAnsi="Arial" w:cs="Arial"/>
                <w:sz w:val="20"/>
              </w:rPr>
            </w:pPr>
            <w:r w:rsidRPr="007768FC">
              <w:rPr>
                <w:rFonts w:ascii="Arial" w:hAnsi="Arial" w:cs="Arial"/>
                <w:sz w:val="20"/>
              </w:rPr>
              <w:t>November 2019</w:t>
            </w:r>
          </w:p>
        </w:tc>
        <w:tc>
          <w:tcPr>
            <w:tcW w:w="2898" w:type="dxa"/>
            <w:tcBorders>
              <w:top w:val="single" w:sz="18" w:space="0" w:color="auto"/>
              <w:left w:val="single" w:sz="18" w:space="0" w:color="auto"/>
              <w:bottom w:val="nil"/>
            </w:tcBorders>
          </w:tcPr>
          <w:p w14:paraId="115FC09C" w14:textId="77777777" w:rsidR="00640E94" w:rsidRPr="007768FC" w:rsidRDefault="00640E94">
            <w:pPr>
              <w:pStyle w:val="BodyText"/>
              <w:spacing w:before="0"/>
              <w:rPr>
                <w:rFonts w:ascii="Arial" w:hAnsi="Arial" w:cs="Arial"/>
                <w:sz w:val="20"/>
              </w:rPr>
            </w:pPr>
            <w:r w:rsidRPr="007768FC">
              <w:rPr>
                <w:rFonts w:ascii="Arial" w:hAnsi="Arial" w:cs="Arial"/>
                <w:sz w:val="20"/>
              </w:rPr>
              <w:t>Date of Report</w:t>
            </w:r>
          </w:p>
          <w:p w14:paraId="6A688327" w14:textId="77777777" w:rsidR="00640E94" w:rsidRPr="007768FC" w:rsidRDefault="00640E94">
            <w:pPr>
              <w:pStyle w:val="BodyText"/>
              <w:spacing w:before="0"/>
              <w:rPr>
                <w:rFonts w:ascii="Arial" w:hAnsi="Arial" w:cs="Arial"/>
                <w:sz w:val="20"/>
              </w:rPr>
            </w:pPr>
            <w:r w:rsidRPr="007768FC">
              <w:rPr>
                <w:rFonts w:ascii="Arial" w:hAnsi="Arial" w:cs="Arial"/>
                <w:sz w:val="20"/>
              </w:rPr>
              <w:t>YY/MM/D</w:t>
            </w:r>
          </w:p>
          <w:p w14:paraId="2B2BCAD4" w14:textId="77777777" w:rsidR="007768FC" w:rsidRPr="007768FC" w:rsidRDefault="007768FC">
            <w:pPr>
              <w:pStyle w:val="BodyText"/>
              <w:spacing w:before="0"/>
              <w:rPr>
                <w:rFonts w:ascii="Arial" w:hAnsi="Arial" w:cs="Arial"/>
                <w:sz w:val="20"/>
              </w:rPr>
            </w:pPr>
          </w:p>
          <w:p w14:paraId="216CD0DA" w14:textId="2AE60700" w:rsidR="007768FC" w:rsidRPr="007768FC" w:rsidRDefault="007768FC">
            <w:pPr>
              <w:pStyle w:val="BodyText"/>
              <w:spacing w:before="0"/>
              <w:rPr>
                <w:rFonts w:ascii="Arial" w:hAnsi="Arial" w:cs="Arial"/>
                <w:sz w:val="20"/>
              </w:rPr>
            </w:pPr>
            <w:r w:rsidRPr="007768FC">
              <w:rPr>
                <w:rFonts w:ascii="Arial" w:hAnsi="Arial" w:cs="Arial"/>
                <w:sz w:val="20"/>
              </w:rPr>
              <w:t>2019/12/06</w:t>
            </w:r>
          </w:p>
        </w:tc>
      </w:tr>
      <w:tr w:rsidR="00640E94" w:rsidRPr="007768FC" w14:paraId="2128C44E" w14:textId="77777777">
        <w:trPr>
          <w:cantSplit/>
        </w:trPr>
        <w:tc>
          <w:tcPr>
            <w:tcW w:w="9576" w:type="dxa"/>
            <w:gridSpan w:val="3"/>
            <w:tcBorders>
              <w:top w:val="single" w:sz="18" w:space="0" w:color="auto"/>
              <w:bottom w:val="single" w:sz="18" w:space="0" w:color="auto"/>
            </w:tcBorders>
          </w:tcPr>
          <w:p w14:paraId="7F26F984" w14:textId="77777777" w:rsidR="00640E94" w:rsidRPr="007768FC" w:rsidRDefault="00640E94">
            <w:pPr>
              <w:pStyle w:val="BodyText"/>
              <w:spacing w:before="0"/>
              <w:rPr>
                <w:rFonts w:ascii="Arial" w:hAnsi="Arial" w:cs="Arial"/>
                <w:sz w:val="20"/>
              </w:rPr>
            </w:pPr>
            <w:r w:rsidRPr="007768FC">
              <w:rPr>
                <w:rFonts w:ascii="Arial" w:hAnsi="Arial" w:cs="Arial"/>
                <w:sz w:val="20"/>
              </w:rPr>
              <w:t>Issuer Address</w:t>
            </w:r>
          </w:p>
          <w:p w14:paraId="153F476C" w14:textId="59D7CF17" w:rsidR="00640E94" w:rsidRPr="007768FC" w:rsidRDefault="007768FC">
            <w:pPr>
              <w:pStyle w:val="BodyText"/>
              <w:spacing w:before="0"/>
              <w:rPr>
                <w:rFonts w:ascii="Arial" w:hAnsi="Arial" w:cs="Arial"/>
                <w:sz w:val="20"/>
              </w:rPr>
            </w:pPr>
            <w:r w:rsidRPr="007768FC">
              <w:rPr>
                <w:rFonts w:ascii="Arial" w:hAnsi="Arial" w:cs="Arial"/>
                <w:sz w:val="20"/>
              </w:rPr>
              <w:t>789 West Pender Street, Suite 810</w:t>
            </w:r>
          </w:p>
          <w:p w14:paraId="37A3C77C" w14:textId="77777777" w:rsidR="00640E94" w:rsidRPr="007768FC" w:rsidRDefault="00640E94">
            <w:pPr>
              <w:pStyle w:val="BodyText"/>
              <w:spacing w:before="0"/>
              <w:rPr>
                <w:rFonts w:ascii="Arial" w:hAnsi="Arial" w:cs="Arial"/>
                <w:sz w:val="20"/>
              </w:rPr>
            </w:pPr>
          </w:p>
        </w:tc>
      </w:tr>
      <w:tr w:rsidR="00640E94" w:rsidRPr="007768FC" w14:paraId="06C821A9" w14:textId="77777777">
        <w:tc>
          <w:tcPr>
            <w:tcW w:w="4878" w:type="dxa"/>
            <w:tcBorders>
              <w:top w:val="single" w:sz="18" w:space="0" w:color="auto"/>
              <w:bottom w:val="single" w:sz="18" w:space="0" w:color="auto"/>
              <w:right w:val="single" w:sz="18" w:space="0" w:color="auto"/>
            </w:tcBorders>
          </w:tcPr>
          <w:p w14:paraId="33FF9929" w14:textId="77777777" w:rsidR="00640E94" w:rsidRPr="007768FC" w:rsidRDefault="00640E94">
            <w:pPr>
              <w:pStyle w:val="BodyText"/>
              <w:spacing w:before="0"/>
              <w:rPr>
                <w:rFonts w:ascii="Arial" w:hAnsi="Arial" w:cs="Arial"/>
                <w:sz w:val="20"/>
              </w:rPr>
            </w:pPr>
            <w:r w:rsidRPr="007768FC">
              <w:rPr>
                <w:rFonts w:ascii="Arial" w:hAnsi="Arial" w:cs="Arial"/>
                <w:sz w:val="20"/>
              </w:rPr>
              <w:t>City/Province/Postal Code</w:t>
            </w:r>
          </w:p>
          <w:p w14:paraId="6FA395E7" w14:textId="27C4FB02" w:rsidR="00640E94" w:rsidRPr="007768FC" w:rsidRDefault="007768FC">
            <w:pPr>
              <w:pStyle w:val="BodyText"/>
              <w:spacing w:before="0"/>
              <w:rPr>
                <w:rFonts w:ascii="Arial" w:hAnsi="Arial" w:cs="Arial"/>
                <w:sz w:val="20"/>
              </w:rPr>
            </w:pPr>
            <w:r w:rsidRPr="007768FC">
              <w:rPr>
                <w:rFonts w:ascii="Arial" w:hAnsi="Arial" w:cs="Arial"/>
                <w:sz w:val="20"/>
              </w:rPr>
              <w:t>Vancouver, B.C., V6C 1H2</w:t>
            </w:r>
          </w:p>
          <w:p w14:paraId="71BAC137" w14:textId="77777777" w:rsidR="00640E94" w:rsidRPr="007768FC" w:rsidRDefault="00640E94">
            <w:pPr>
              <w:pStyle w:val="BodyText"/>
              <w:spacing w:before="0"/>
              <w:rPr>
                <w:rFonts w:ascii="Arial" w:hAnsi="Arial" w:cs="Arial"/>
                <w:sz w:val="20"/>
              </w:rPr>
            </w:pPr>
          </w:p>
        </w:tc>
        <w:tc>
          <w:tcPr>
            <w:tcW w:w="1800" w:type="dxa"/>
            <w:tcBorders>
              <w:top w:val="single" w:sz="18" w:space="0" w:color="auto"/>
              <w:left w:val="single" w:sz="18" w:space="0" w:color="auto"/>
              <w:bottom w:val="single" w:sz="18" w:space="0" w:color="auto"/>
              <w:right w:val="single" w:sz="18" w:space="0" w:color="auto"/>
            </w:tcBorders>
          </w:tcPr>
          <w:p w14:paraId="24935664" w14:textId="77777777" w:rsidR="00640E94" w:rsidRPr="007768FC" w:rsidRDefault="00640E94">
            <w:pPr>
              <w:pStyle w:val="BodyText"/>
              <w:spacing w:before="0"/>
              <w:rPr>
                <w:rFonts w:ascii="Arial" w:hAnsi="Arial" w:cs="Arial"/>
                <w:sz w:val="20"/>
              </w:rPr>
            </w:pPr>
            <w:r w:rsidRPr="007768FC">
              <w:rPr>
                <w:rFonts w:ascii="Arial" w:hAnsi="Arial" w:cs="Arial"/>
                <w:sz w:val="20"/>
              </w:rPr>
              <w:t>Issuer Fax No.</w:t>
            </w:r>
          </w:p>
          <w:p w14:paraId="4365F419" w14:textId="08869A51" w:rsidR="00640E94" w:rsidRPr="007768FC" w:rsidRDefault="007768FC">
            <w:pPr>
              <w:pStyle w:val="BodyText"/>
              <w:spacing w:before="0"/>
              <w:rPr>
                <w:rFonts w:ascii="Arial" w:hAnsi="Arial" w:cs="Arial"/>
                <w:sz w:val="20"/>
              </w:rPr>
            </w:pPr>
            <w:r w:rsidRPr="007768FC">
              <w:rPr>
                <w:rFonts w:ascii="Arial" w:hAnsi="Arial" w:cs="Arial"/>
                <w:sz w:val="20"/>
              </w:rPr>
              <w:t>(604) 687-3141</w:t>
            </w:r>
          </w:p>
        </w:tc>
        <w:tc>
          <w:tcPr>
            <w:tcW w:w="2898" w:type="dxa"/>
            <w:tcBorders>
              <w:top w:val="single" w:sz="18" w:space="0" w:color="auto"/>
              <w:left w:val="single" w:sz="18" w:space="0" w:color="auto"/>
              <w:bottom w:val="single" w:sz="18" w:space="0" w:color="auto"/>
            </w:tcBorders>
          </w:tcPr>
          <w:p w14:paraId="39523EA5" w14:textId="77777777" w:rsidR="00640E94" w:rsidRPr="007768FC" w:rsidRDefault="00640E94">
            <w:pPr>
              <w:pStyle w:val="BodyText"/>
              <w:spacing w:before="0"/>
              <w:rPr>
                <w:rFonts w:ascii="Arial" w:hAnsi="Arial" w:cs="Arial"/>
                <w:sz w:val="20"/>
              </w:rPr>
            </w:pPr>
            <w:r w:rsidRPr="007768FC">
              <w:rPr>
                <w:rFonts w:ascii="Arial" w:hAnsi="Arial" w:cs="Arial"/>
                <w:sz w:val="20"/>
              </w:rPr>
              <w:t>Issuer Telephone No.</w:t>
            </w:r>
          </w:p>
          <w:p w14:paraId="233A186F" w14:textId="0B8F6053" w:rsidR="00640E94" w:rsidRPr="007768FC" w:rsidRDefault="007768FC">
            <w:pPr>
              <w:pStyle w:val="BodyText"/>
              <w:spacing w:before="0"/>
              <w:rPr>
                <w:rFonts w:ascii="Arial" w:hAnsi="Arial" w:cs="Arial"/>
                <w:sz w:val="20"/>
              </w:rPr>
            </w:pPr>
            <w:r w:rsidRPr="007768FC">
              <w:rPr>
                <w:rFonts w:ascii="Arial" w:hAnsi="Arial" w:cs="Arial"/>
                <w:sz w:val="20"/>
              </w:rPr>
              <w:t>(604) 687-2038</w:t>
            </w:r>
          </w:p>
        </w:tc>
      </w:tr>
      <w:tr w:rsidR="00640E94" w:rsidRPr="007768FC" w14:paraId="508EDA32" w14:textId="77777777">
        <w:tc>
          <w:tcPr>
            <w:tcW w:w="4878" w:type="dxa"/>
            <w:tcBorders>
              <w:top w:val="single" w:sz="18" w:space="0" w:color="auto"/>
              <w:bottom w:val="single" w:sz="18" w:space="0" w:color="auto"/>
              <w:right w:val="single" w:sz="18" w:space="0" w:color="auto"/>
            </w:tcBorders>
          </w:tcPr>
          <w:p w14:paraId="46C000E0" w14:textId="77777777" w:rsidR="00640E94" w:rsidRPr="007768FC" w:rsidRDefault="00640E94">
            <w:pPr>
              <w:pStyle w:val="BodyText"/>
              <w:spacing w:before="0"/>
              <w:rPr>
                <w:rFonts w:ascii="Arial" w:hAnsi="Arial" w:cs="Arial"/>
                <w:sz w:val="20"/>
              </w:rPr>
            </w:pPr>
            <w:r w:rsidRPr="007768FC">
              <w:rPr>
                <w:rFonts w:ascii="Arial" w:hAnsi="Arial" w:cs="Arial"/>
                <w:sz w:val="20"/>
              </w:rPr>
              <w:t>Contact Name</w:t>
            </w:r>
          </w:p>
          <w:p w14:paraId="4EEE58DB" w14:textId="77777777" w:rsidR="00640E94" w:rsidRPr="007768FC" w:rsidRDefault="00640E94">
            <w:pPr>
              <w:pStyle w:val="BodyText"/>
              <w:spacing w:before="0"/>
              <w:rPr>
                <w:rFonts w:ascii="Arial" w:hAnsi="Arial" w:cs="Arial"/>
                <w:sz w:val="20"/>
              </w:rPr>
            </w:pPr>
          </w:p>
          <w:p w14:paraId="28D3AE57" w14:textId="62737C5D" w:rsidR="00640E94" w:rsidRPr="007768FC" w:rsidRDefault="007768FC">
            <w:pPr>
              <w:pStyle w:val="BodyText"/>
              <w:spacing w:before="0"/>
              <w:rPr>
                <w:rFonts w:ascii="Arial" w:hAnsi="Arial" w:cs="Arial"/>
                <w:sz w:val="20"/>
              </w:rPr>
            </w:pPr>
            <w:r w:rsidRPr="007768FC">
              <w:rPr>
                <w:rFonts w:ascii="Arial" w:hAnsi="Arial" w:cs="Arial"/>
                <w:sz w:val="20"/>
              </w:rPr>
              <w:t>Andrey Kontyaev</w:t>
            </w:r>
          </w:p>
        </w:tc>
        <w:tc>
          <w:tcPr>
            <w:tcW w:w="1800" w:type="dxa"/>
            <w:tcBorders>
              <w:top w:val="single" w:sz="18" w:space="0" w:color="auto"/>
              <w:left w:val="single" w:sz="18" w:space="0" w:color="auto"/>
              <w:bottom w:val="single" w:sz="18" w:space="0" w:color="auto"/>
              <w:right w:val="single" w:sz="18" w:space="0" w:color="auto"/>
            </w:tcBorders>
          </w:tcPr>
          <w:p w14:paraId="0A767E7F" w14:textId="7EDF93F7" w:rsidR="007768FC" w:rsidRPr="007768FC" w:rsidRDefault="00640E94">
            <w:pPr>
              <w:pStyle w:val="BodyText"/>
              <w:spacing w:before="0"/>
              <w:rPr>
                <w:rFonts w:ascii="Arial" w:hAnsi="Arial" w:cs="Arial"/>
                <w:sz w:val="20"/>
              </w:rPr>
            </w:pPr>
            <w:r w:rsidRPr="007768FC">
              <w:rPr>
                <w:rFonts w:ascii="Arial" w:hAnsi="Arial" w:cs="Arial"/>
                <w:sz w:val="20"/>
              </w:rPr>
              <w:t>Contact Position</w:t>
            </w:r>
          </w:p>
          <w:p w14:paraId="5BD3FED8" w14:textId="7FB7F37C" w:rsidR="007768FC" w:rsidRPr="007768FC" w:rsidRDefault="007768FC">
            <w:pPr>
              <w:pStyle w:val="BodyText"/>
              <w:spacing w:before="0"/>
              <w:rPr>
                <w:rFonts w:ascii="Arial" w:hAnsi="Arial" w:cs="Arial"/>
                <w:sz w:val="20"/>
              </w:rPr>
            </w:pPr>
            <w:r w:rsidRPr="007768FC">
              <w:rPr>
                <w:rFonts w:ascii="Arial" w:hAnsi="Arial" w:cs="Arial"/>
                <w:sz w:val="20"/>
              </w:rPr>
              <w:t>Director</w:t>
            </w:r>
          </w:p>
        </w:tc>
        <w:tc>
          <w:tcPr>
            <w:tcW w:w="2898" w:type="dxa"/>
            <w:tcBorders>
              <w:top w:val="single" w:sz="18" w:space="0" w:color="auto"/>
              <w:left w:val="single" w:sz="18" w:space="0" w:color="auto"/>
              <w:bottom w:val="single" w:sz="18" w:space="0" w:color="auto"/>
            </w:tcBorders>
          </w:tcPr>
          <w:p w14:paraId="6EE489FE" w14:textId="77777777" w:rsidR="00640E94" w:rsidRPr="007768FC" w:rsidRDefault="00640E94">
            <w:pPr>
              <w:pStyle w:val="BodyText"/>
              <w:spacing w:before="0"/>
              <w:rPr>
                <w:rFonts w:ascii="Arial" w:hAnsi="Arial" w:cs="Arial"/>
                <w:sz w:val="20"/>
              </w:rPr>
            </w:pPr>
            <w:r w:rsidRPr="007768FC">
              <w:rPr>
                <w:rFonts w:ascii="Arial" w:hAnsi="Arial" w:cs="Arial"/>
                <w:sz w:val="20"/>
              </w:rPr>
              <w:t>Contact Telephone No.</w:t>
            </w:r>
          </w:p>
        </w:tc>
      </w:tr>
      <w:tr w:rsidR="00640E94" w:rsidRPr="007768FC" w14:paraId="47B554CB" w14:textId="77777777">
        <w:trPr>
          <w:cantSplit/>
        </w:trPr>
        <w:tc>
          <w:tcPr>
            <w:tcW w:w="4878" w:type="dxa"/>
            <w:tcBorders>
              <w:top w:val="single" w:sz="18" w:space="0" w:color="auto"/>
              <w:bottom w:val="single" w:sz="18" w:space="0" w:color="auto"/>
              <w:right w:val="single" w:sz="18" w:space="0" w:color="auto"/>
            </w:tcBorders>
          </w:tcPr>
          <w:p w14:paraId="135592FF" w14:textId="623C7605" w:rsidR="00640E94" w:rsidRPr="007768FC" w:rsidRDefault="00640E94">
            <w:pPr>
              <w:pStyle w:val="BodyText"/>
              <w:spacing w:before="0"/>
              <w:rPr>
                <w:rFonts w:ascii="Arial" w:hAnsi="Arial" w:cs="Arial"/>
                <w:sz w:val="20"/>
              </w:rPr>
            </w:pPr>
            <w:r w:rsidRPr="007768FC">
              <w:rPr>
                <w:rFonts w:ascii="Arial" w:hAnsi="Arial" w:cs="Arial"/>
                <w:sz w:val="20"/>
              </w:rPr>
              <w:t>Contact Email Address</w:t>
            </w:r>
          </w:p>
          <w:p w14:paraId="4488916E" w14:textId="2F24F37A" w:rsidR="007768FC" w:rsidRPr="007768FC" w:rsidRDefault="007768FC">
            <w:pPr>
              <w:pStyle w:val="BodyText"/>
              <w:spacing w:before="0"/>
              <w:rPr>
                <w:rFonts w:ascii="Arial" w:hAnsi="Arial" w:cs="Arial"/>
                <w:sz w:val="20"/>
              </w:rPr>
            </w:pPr>
            <w:proofErr w:type="spellStart"/>
            <w:r w:rsidRPr="007768FC">
              <w:rPr>
                <w:rFonts w:ascii="Arial" w:hAnsi="Arial" w:cs="Arial"/>
                <w:sz w:val="20"/>
              </w:rPr>
              <w:t>info@globalgaming.tech</w:t>
            </w:r>
            <w:proofErr w:type="spellEnd"/>
          </w:p>
          <w:p w14:paraId="54F50A84" w14:textId="77777777" w:rsidR="00640E94" w:rsidRPr="007768FC" w:rsidRDefault="00640E94">
            <w:pPr>
              <w:pStyle w:val="BodyText"/>
              <w:spacing w:before="0"/>
              <w:rPr>
                <w:rFonts w:ascii="Arial" w:hAnsi="Arial" w:cs="Arial"/>
                <w:sz w:val="20"/>
              </w:rPr>
            </w:pPr>
          </w:p>
        </w:tc>
        <w:tc>
          <w:tcPr>
            <w:tcW w:w="4698" w:type="dxa"/>
            <w:gridSpan w:val="2"/>
            <w:tcBorders>
              <w:top w:val="single" w:sz="18" w:space="0" w:color="auto"/>
              <w:left w:val="single" w:sz="18" w:space="0" w:color="auto"/>
              <w:bottom w:val="single" w:sz="18" w:space="0" w:color="auto"/>
            </w:tcBorders>
          </w:tcPr>
          <w:p w14:paraId="57A1478A" w14:textId="77777777" w:rsidR="00640E94" w:rsidRPr="007768FC" w:rsidRDefault="00640E94">
            <w:pPr>
              <w:pStyle w:val="BodyText"/>
              <w:spacing w:before="0"/>
              <w:rPr>
                <w:rFonts w:ascii="Arial" w:hAnsi="Arial" w:cs="Arial"/>
                <w:sz w:val="20"/>
              </w:rPr>
            </w:pPr>
            <w:r w:rsidRPr="007768FC">
              <w:rPr>
                <w:rFonts w:ascii="Arial" w:hAnsi="Arial" w:cs="Arial"/>
                <w:sz w:val="20"/>
              </w:rPr>
              <w:t>Web Site Address</w:t>
            </w:r>
          </w:p>
          <w:p w14:paraId="61424DF3" w14:textId="5603CB2E" w:rsidR="00640E94" w:rsidRPr="007768FC" w:rsidRDefault="007768FC">
            <w:pPr>
              <w:pStyle w:val="BodyText"/>
              <w:spacing w:before="0"/>
              <w:rPr>
                <w:rFonts w:ascii="Arial" w:hAnsi="Arial" w:cs="Arial"/>
                <w:sz w:val="20"/>
              </w:rPr>
            </w:pPr>
            <w:r w:rsidRPr="007768FC">
              <w:rPr>
                <w:rFonts w:ascii="Arial" w:hAnsi="Arial" w:cs="Arial"/>
                <w:sz w:val="20"/>
              </w:rPr>
              <w:t>www.globalgaming.tech</w:t>
            </w:r>
          </w:p>
        </w:tc>
      </w:tr>
      <w:bookmarkEnd w:id="5"/>
    </w:tbl>
    <w:p w14:paraId="1282D0B5"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02D07" w14:textId="77777777" w:rsidR="00600A4E" w:rsidRDefault="00600A4E">
      <w:r>
        <w:separator/>
      </w:r>
    </w:p>
  </w:endnote>
  <w:endnote w:type="continuationSeparator" w:id="0">
    <w:p w14:paraId="730B03D3" w14:textId="77777777" w:rsidR="00600A4E" w:rsidRDefault="00600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B56C2" w14:textId="77777777" w:rsidR="00640E94" w:rsidRDefault="00640E94">
    <w:pPr>
      <w:pStyle w:val="Footer"/>
      <w:tabs>
        <w:tab w:val="clear" w:pos="4320"/>
        <w:tab w:val="clear" w:pos="8640"/>
        <w:tab w:val="center" w:pos="4680"/>
        <w:tab w:val="right" w:pos="9360"/>
      </w:tabs>
      <w:rPr>
        <w:b/>
      </w:rPr>
    </w:pPr>
  </w:p>
  <w:p w14:paraId="3F1BFDE2"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4881C3C" wp14:editId="64AFFA91">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21543"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2FE7A3CA"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4834A4E"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69004" w14:textId="77777777" w:rsidR="00640E94" w:rsidRDefault="00640E94">
    <w:pPr>
      <w:pStyle w:val="Footer"/>
      <w:tabs>
        <w:tab w:val="clear" w:pos="4320"/>
        <w:tab w:val="clear" w:pos="8640"/>
        <w:tab w:val="center" w:pos="4680"/>
        <w:tab w:val="right" w:pos="9360"/>
      </w:tabs>
      <w:rPr>
        <w:b/>
      </w:rPr>
    </w:pPr>
  </w:p>
  <w:p w14:paraId="18AFA27A"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4E2C8589" wp14:editId="1D0BB21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81F79"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24F8DE91"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A7F15A6"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3CD92" w14:textId="77777777" w:rsidR="00600A4E" w:rsidRDefault="00600A4E">
      <w:r>
        <w:separator/>
      </w:r>
    </w:p>
  </w:footnote>
  <w:footnote w:type="continuationSeparator" w:id="0">
    <w:p w14:paraId="57F55D67" w14:textId="77777777" w:rsidR="00600A4E" w:rsidRDefault="00600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F62F2"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943A52C"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1BB87"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4301913"/>
    <w:multiLevelType w:val="hybridMultilevel"/>
    <w:tmpl w:val="1728ACDA"/>
    <w:lvl w:ilvl="0" w:tplc="A8A65F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5"/>
  </w:num>
  <w:num w:numId="9">
    <w:abstractNumId w:val="19"/>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6"/>
  </w:num>
  <w:num w:numId="27">
    <w:abstractNumId w:val="28"/>
  </w:num>
  <w:num w:numId="28">
    <w:abstractNumId w:val="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A1AB1"/>
    <w:rsid w:val="002C281E"/>
    <w:rsid w:val="002F00EB"/>
    <w:rsid w:val="00341594"/>
    <w:rsid w:val="003669A9"/>
    <w:rsid w:val="00371A64"/>
    <w:rsid w:val="00387FA8"/>
    <w:rsid w:val="005453C8"/>
    <w:rsid w:val="005F6D8F"/>
    <w:rsid w:val="00600A4E"/>
    <w:rsid w:val="00620E7F"/>
    <w:rsid w:val="00633ED3"/>
    <w:rsid w:val="00635E9A"/>
    <w:rsid w:val="00640E94"/>
    <w:rsid w:val="006D1A06"/>
    <w:rsid w:val="007768FC"/>
    <w:rsid w:val="008B7E92"/>
    <w:rsid w:val="00922A46"/>
    <w:rsid w:val="009F1BD1"/>
    <w:rsid w:val="00A1228D"/>
    <w:rsid w:val="00A47914"/>
    <w:rsid w:val="00AB0BF2"/>
    <w:rsid w:val="00BD67E2"/>
    <w:rsid w:val="00C27A18"/>
    <w:rsid w:val="00C54C06"/>
    <w:rsid w:val="00C6383E"/>
    <w:rsid w:val="00C74AAB"/>
    <w:rsid w:val="00E36141"/>
    <w:rsid w:val="00E83E58"/>
    <w:rsid w:val="00F42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11581020"/>
  <w15:docId w15:val="{309EFA49-BE74-4F3D-8E34-33DABFB6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1336</Words>
  <Characters>7992</Characters>
  <Application>Microsoft Office Word</Application>
  <DocSecurity>0</DocSecurity>
  <Lines>1332</Lines>
  <Paragraphs>717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Andrey Kontyaev</cp:lastModifiedBy>
  <cp:revision>2</cp:revision>
  <cp:lastPrinted>2004-05-10T18:28:00Z</cp:lastPrinted>
  <dcterms:created xsi:type="dcterms:W3CDTF">2020-02-27T13:11:00Z</dcterms:created>
  <dcterms:modified xsi:type="dcterms:W3CDTF">2020-02-27T13:11:00Z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