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 xml:space="preserve"> Technology Inc. (the “Issuer” or “</w:t>
      </w:r>
      <w:proofErr w:type="spellStart"/>
      <w:r w:rsidR="00AA7259" w:rsidRPr="00DD5566">
        <w:rPr>
          <w:rFonts w:ascii="Arial" w:hAnsi="Arial" w:cs="Arial"/>
          <w:szCs w:val="24"/>
          <w:u w:val="single"/>
        </w:rPr>
        <w:t>NetCents</w:t>
      </w:r>
      <w:proofErr w:type="spellEnd"/>
      <w:r w:rsidR="00AA7259" w:rsidRPr="00DD5566">
        <w:rPr>
          <w:rFonts w:ascii="Arial" w:hAnsi="Arial" w:cs="Arial"/>
          <w:szCs w:val="24"/>
          <w:u w:val="single"/>
        </w:rPr>
        <w:t>”)</w:t>
      </w:r>
      <w:r w:rsidR="00AA7259" w:rsidRPr="00DD5566">
        <w:rPr>
          <w:rFonts w:ascii="Arial" w:hAnsi="Arial" w:cs="Arial"/>
          <w:szCs w:val="24"/>
        </w:rPr>
        <w:t xml:space="preserve"> </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4B3B90">
        <w:rPr>
          <w:rFonts w:ascii="Arial" w:hAnsi="Arial" w:cs="Arial"/>
          <w:color w:val="000000"/>
          <w:szCs w:val="24"/>
          <w:u w:val="single"/>
        </w:rPr>
        <w:t>December 1</w:t>
      </w:r>
      <w:r w:rsidR="00AA7259" w:rsidRPr="00DD5566">
        <w:rPr>
          <w:rFonts w:ascii="Arial" w:hAnsi="Arial" w:cs="Arial"/>
          <w:color w:val="000000"/>
          <w:szCs w:val="24"/>
          <w:u w:val="single"/>
        </w:rPr>
        <w:t>, 2021</w:t>
      </w:r>
      <w:r w:rsidRPr="00DD5566">
        <w:rPr>
          <w:rFonts w:ascii="Arial" w:hAnsi="Arial" w:cs="Arial"/>
          <w:color w:val="000000"/>
          <w:szCs w:val="24"/>
          <w:u w:val="single"/>
        </w:rPr>
        <w:tab/>
      </w:r>
      <w:r w:rsidRPr="00DD5566">
        <w:rPr>
          <w:rFonts w:ascii="Arial" w:hAnsi="Arial" w:cs="Arial"/>
          <w:color w:val="000000"/>
          <w:szCs w:val="24"/>
          <w:u w:val="single"/>
        </w:rPr>
        <w:tab/>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4B3B90">
        <w:rPr>
          <w:rFonts w:ascii="Arial" w:hAnsi="Arial" w:cs="Arial"/>
          <w:b/>
          <w:szCs w:val="24"/>
        </w:rPr>
        <w:t>November</w:t>
      </w:r>
      <w:r w:rsidRPr="00DD5566">
        <w:rPr>
          <w:rFonts w:ascii="Arial" w:hAnsi="Arial" w:cs="Arial"/>
          <w:b/>
          <w:szCs w:val="24"/>
        </w:rPr>
        <w:t xml:space="preserve"> 2021.</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rsidR="007E15FB" w:rsidRPr="00B37C75" w:rsidRDefault="00B37C75" w:rsidP="007E15FB">
      <w:pPr>
        <w:pStyle w:val="List"/>
        <w:spacing w:before="120"/>
        <w:ind w:left="720" w:firstLine="0"/>
        <w:jc w:val="both"/>
        <w:rPr>
          <w:rFonts w:ascii="Arial" w:hAnsi="Arial" w:cs="Arial"/>
          <w:b/>
          <w:szCs w:val="24"/>
        </w:rPr>
      </w:pPr>
      <w:r w:rsidRPr="00B37C75">
        <w:rPr>
          <w:rFonts w:ascii="Arial" w:hAnsi="Arial" w:cs="Arial"/>
          <w:b/>
          <w:color w:val="222222"/>
          <w:shd w:val="clear" w:color="auto" w:fill="FFFFFF"/>
        </w:rPr>
        <w:lastRenderedPageBreak/>
        <w:t>Management continues to work with their external auditors on completion of the October 31, 2020 financial statements and manag</w:t>
      </w:r>
      <w:r w:rsidR="003C36FC">
        <w:rPr>
          <w:rFonts w:ascii="Arial" w:hAnsi="Arial" w:cs="Arial"/>
          <w:b/>
          <w:color w:val="222222"/>
          <w:shd w:val="clear" w:color="auto" w:fill="FFFFFF"/>
        </w:rPr>
        <w:t>ement discussion and analysis. </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E46DD7">
        <w:rPr>
          <w:rFonts w:ascii="Arial" w:hAnsi="Arial" w:cs="Arial"/>
          <w:szCs w:val="24"/>
        </w:rPr>
        <w:t>s of the relationship.</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any new developments or effects on intangible products such as brand names, circulation lists, copyrights, franchises, licenses, patents, software, subscription lists and trade-marks.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rsidR="002B5399" w:rsidRPr="002B5399" w:rsidRDefault="002B5399" w:rsidP="002B5399">
      <w:pPr>
        <w:pStyle w:val="List"/>
        <w:spacing w:before="120"/>
        <w:ind w:left="720" w:firstLine="0"/>
        <w:jc w:val="both"/>
        <w:rPr>
          <w:rFonts w:ascii="Arial" w:hAnsi="Arial" w:cs="Arial"/>
          <w:b/>
          <w:szCs w:val="24"/>
        </w:rPr>
      </w:pPr>
      <w:r w:rsidRPr="002B5399">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lastRenderedPageBreak/>
        <w:t>Report on any labour disputes and resolutions of those disputes if applicable.</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rsidR="00640E94" w:rsidRDefault="00640E94">
      <w:pPr>
        <w:pStyle w:val="List"/>
        <w:keepNext/>
        <w:keepLines/>
        <w:numPr>
          <w:ilvl w:val="0"/>
          <w:numId w:val="28"/>
        </w:numPr>
        <w:spacing w:before="120"/>
        <w:jc w:val="both"/>
        <w:rPr>
          <w:rFonts w:ascii="Arial" w:hAnsi="Arial" w:cs="Arial"/>
          <w:szCs w:val="24"/>
        </w:rPr>
      </w:pPr>
      <w:bookmarkStart w:id="5" w:name="_GoBack"/>
      <w:bookmarkEnd w:id="5"/>
      <w:r w:rsidRPr="00DD5566">
        <w:rPr>
          <w:rFonts w:ascii="Arial" w:hAnsi="Arial" w:cs="Arial"/>
          <w:szCs w:val="24"/>
        </w:rPr>
        <w:t>Provide details of any loans to or by Related Persons.</w:t>
      </w:r>
    </w:p>
    <w:p w:rsidR="00B560FF" w:rsidRPr="00E553C1" w:rsidRDefault="00B560FF" w:rsidP="00B560FF">
      <w:pPr>
        <w:pStyle w:val="List"/>
        <w:keepNext/>
        <w:keepLines/>
        <w:spacing w:before="120"/>
        <w:ind w:left="720" w:firstLine="0"/>
        <w:jc w:val="both"/>
        <w:rPr>
          <w:rFonts w:ascii="Arial" w:hAnsi="Arial" w:cs="Arial"/>
          <w:b/>
          <w:szCs w:val="24"/>
        </w:rPr>
      </w:pPr>
      <w:r w:rsidRPr="00E553C1">
        <w:rPr>
          <w:rFonts w:ascii="Arial" w:hAnsi="Arial" w:cs="Arial"/>
          <w:b/>
          <w:szCs w:val="24"/>
        </w:rPr>
        <w:t>N/A</w:t>
      </w:r>
    </w:p>
    <w:p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changes in directors, officers or committee members.</w:t>
      </w:r>
    </w:p>
    <w:p w:rsidR="001D14A5" w:rsidRPr="001D14A5" w:rsidRDefault="003C36FC" w:rsidP="001D14A5">
      <w:pPr>
        <w:pStyle w:val="List"/>
        <w:keepNext/>
        <w:keepLines/>
        <w:spacing w:before="120"/>
        <w:ind w:left="720" w:firstLine="0"/>
        <w:jc w:val="both"/>
        <w:rPr>
          <w:rFonts w:ascii="Arial" w:hAnsi="Arial" w:cs="Arial"/>
          <w:b/>
          <w:szCs w:val="24"/>
        </w:rPr>
      </w:pPr>
      <w:r>
        <w:rPr>
          <w:rFonts w:ascii="Arial" w:hAnsi="Arial" w:cs="Arial"/>
          <w:b/>
          <w:szCs w:val="24"/>
        </w:rPr>
        <w:t>N/A</w:t>
      </w:r>
    </w:p>
    <w:p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were is no material information concerning the Issuer which has not been publicly disclosed.</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is in compliance with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All of the information in this Form 7 Monthly Progress Report is true.</w:t>
      </w:r>
    </w:p>
    <w:p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4B3B90">
        <w:rPr>
          <w:rFonts w:ascii="Arial" w:hAnsi="Arial" w:cs="Arial"/>
          <w:szCs w:val="24"/>
          <w:u w:val="single"/>
        </w:rPr>
        <w:t>December 1</w:t>
      </w:r>
      <w:r w:rsidR="00B26A70">
        <w:rPr>
          <w:rFonts w:ascii="Arial" w:hAnsi="Arial" w:cs="Arial"/>
          <w:szCs w:val="24"/>
          <w:u w:val="single"/>
        </w:rPr>
        <w:t>, 2021</w:t>
      </w:r>
      <w:r w:rsidRPr="00DD5566">
        <w:rPr>
          <w:rFonts w:ascii="Arial" w:hAnsi="Arial" w:cs="Arial"/>
          <w:szCs w:val="24"/>
          <w:u w:val="single"/>
        </w:rPr>
        <w:tab/>
      </w:r>
      <w:r w:rsidRPr="00DD5566">
        <w:rPr>
          <w:rFonts w:ascii="Arial" w:hAnsi="Arial" w:cs="Arial"/>
          <w:szCs w:val="24"/>
        </w:rPr>
        <w:t>.</w:t>
      </w:r>
    </w:p>
    <w:p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1D14A5">
        <w:rPr>
          <w:rFonts w:ascii="Arial" w:hAnsi="Arial" w:cs="Arial"/>
          <w:szCs w:val="24"/>
          <w:u w:val="single"/>
        </w:rPr>
        <w:t>Colin Sutherland</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“Colin Sutherland”</w:t>
      </w:r>
      <w:r w:rsidRPr="00DD5566">
        <w:rPr>
          <w:rFonts w:ascii="Arial" w:hAnsi="Arial" w:cs="Arial"/>
          <w:szCs w:val="24"/>
          <w:u w:val="single"/>
        </w:rPr>
        <w:tab/>
      </w:r>
      <w:r w:rsidRPr="00DD5566">
        <w:rPr>
          <w:rFonts w:ascii="Arial" w:hAnsi="Arial" w:cs="Arial"/>
          <w:szCs w:val="24"/>
        </w:rPr>
        <w:br/>
        <w:t>Signature</w:t>
      </w:r>
    </w:p>
    <w:p w:rsidR="00640E94" w:rsidRPr="00DD5566" w:rsidRDefault="004C101F">
      <w:pPr>
        <w:pStyle w:val="BodyText"/>
        <w:tabs>
          <w:tab w:val="left" w:pos="9180"/>
        </w:tabs>
        <w:spacing w:before="0"/>
        <w:ind w:left="5760"/>
        <w:rPr>
          <w:rFonts w:ascii="Arial" w:hAnsi="Arial" w:cs="Arial"/>
          <w:szCs w:val="24"/>
        </w:rPr>
      </w:pPr>
      <w:r>
        <w:rPr>
          <w:rFonts w:ascii="Arial" w:hAnsi="Arial" w:cs="Arial"/>
          <w:szCs w:val="24"/>
          <w:u w:val="single"/>
        </w:rPr>
        <w:t xml:space="preserve">Interim </w:t>
      </w:r>
      <w:r w:rsidR="00B560FF">
        <w:rPr>
          <w:rFonts w:ascii="Arial" w:hAnsi="Arial" w:cs="Arial"/>
          <w:szCs w:val="24"/>
          <w:u w:val="single"/>
        </w:rPr>
        <w:t>CFO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tc>
          <w:tcPr>
            <w:tcW w:w="4878" w:type="dxa"/>
            <w:tcBorders>
              <w:top w:val="single" w:sz="18" w:space="0" w:color="auto"/>
              <w:bottom w:val="nil"/>
              <w:right w:val="single" w:sz="18" w:space="0" w:color="auto"/>
            </w:tcBorders>
          </w:tcPr>
          <w:p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rsidR="00640E94" w:rsidRPr="00B560FF" w:rsidRDefault="00B560FF">
            <w:pPr>
              <w:pStyle w:val="BodyText"/>
              <w:rPr>
                <w:rFonts w:ascii="Arial" w:hAnsi="Arial" w:cs="Arial"/>
                <w:sz w:val="22"/>
                <w:szCs w:val="22"/>
              </w:rPr>
            </w:pPr>
            <w:proofErr w:type="spellStart"/>
            <w:r w:rsidRPr="00B560FF">
              <w:rPr>
                <w:rFonts w:ascii="Arial" w:hAnsi="Arial" w:cs="Arial"/>
                <w:sz w:val="22"/>
                <w:szCs w:val="22"/>
              </w:rPr>
              <w:t>Netcents</w:t>
            </w:r>
            <w:proofErr w:type="spellEnd"/>
            <w:r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For  Month End</w:t>
            </w:r>
          </w:p>
          <w:p w:rsidR="00B560FF" w:rsidRPr="00B560FF" w:rsidRDefault="00B560FF">
            <w:pPr>
              <w:pStyle w:val="BodyText"/>
              <w:spacing w:before="0"/>
              <w:rPr>
                <w:rFonts w:ascii="Arial" w:hAnsi="Arial" w:cs="Arial"/>
                <w:sz w:val="22"/>
                <w:szCs w:val="22"/>
              </w:rPr>
            </w:pPr>
          </w:p>
          <w:p w:rsidR="00B560FF" w:rsidRPr="00B560FF" w:rsidRDefault="00E97310">
            <w:pPr>
              <w:pStyle w:val="BodyText"/>
              <w:spacing w:before="0"/>
              <w:rPr>
                <w:rFonts w:ascii="Arial" w:hAnsi="Arial" w:cs="Arial"/>
                <w:sz w:val="22"/>
                <w:szCs w:val="22"/>
              </w:rPr>
            </w:pPr>
            <w:r>
              <w:rPr>
                <w:rFonts w:ascii="Arial" w:hAnsi="Arial" w:cs="Arial"/>
                <w:sz w:val="22"/>
                <w:szCs w:val="22"/>
              </w:rPr>
              <w:t>November</w:t>
            </w:r>
            <w:r w:rsidR="00F6100D">
              <w:rPr>
                <w:rFonts w:ascii="Arial" w:hAnsi="Arial" w:cs="Arial"/>
                <w:sz w:val="22"/>
                <w:szCs w:val="22"/>
              </w:rPr>
              <w:t xml:space="preserve"> </w:t>
            </w:r>
            <w:r w:rsidR="00B560FF" w:rsidRPr="00B560FF">
              <w:rPr>
                <w:rFonts w:ascii="Arial" w:hAnsi="Arial" w:cs="Arial"/>
                <w:sz w:val="22"/>
                <w:szCs w:val="22"/>
              </w:rPr>
              <w:t>2021</w:t>
            </w:r>
          </w:p>
        </w:tc>
        <w:tc>
          <w:tcPr>
            <w:tcW w:w="2898" w:type="dxa"/>
            <w:tcBorders>
              <w:top w:val="single" w:sz="18" w:space="0" w:color="auto"/>
              <w:left w:val="single" w:sz="18" w:space="0" w:color="auto"/>
              <w:bottom w:val="nil"/>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p>
          <w:p w:rsidR="00B560FF" w:rsidRPr="00B560FF" w:rsidRDefault="00B560FF">
            <w:pPr>
              <w:pStyle w:val="BodyText"/>
              <w:spacing w:before="0"/>
              <w:rPr>
                <w:rFonts w:ascii="Arial" w:hAnsi="Arial" w:cs="Arial"/>
                <w:sz w:val="22"/>
                <w:szCs w:val="22"/>
              </w:rPr>
            </w:pPr>
          </w:p>
          <w:p w:rsidR="00B560FF" w:rsidRPr="00B560FF" w:rsidRDefault="00F6100D" w:rsidP="00E97310">
            <w:pPr>
              <w:pStyle w:val="BodyText"/>
              <w:spacing w:before="0"/>
              <w:rPr>
                <w:rFonts w:ascii="Arial" w:hAnsi="Arial" w:cs="Arial"/>
                <w:sz w:val="22"/>
                <w:szCs w:val="22"/>
              </w:rPr>
            </w:pPr>
            <w:r>
              <w:rPr>
                <w:rFonts w:ascii="Arial" w:hAnsi="Arial" w:cs="Arial"/>
                <w:sz w:val="22"/>
                <w:szCs w:val="22"/>
              </w:rPr>
              <w:t>21/</w:t>
            </w:r>
            <w:r w:rsidR="00E97310">
              <w:rPr>
                <w:rFonts w:ascii="Arial" w:hAnsi="Arial" w:cs="Arial"/>
                <w:sz w:val="22"/>
                <w:szCs w:val="22"/>
              </w:rPr>
              <w:t>12/01</w:t>
            </w:r>
          </w:p>
        </w:tc>
      </w:tr>
      <w:tr w:rsidR="00640E94" w:rsidRPr="00DD5566">
        <w:trPr>
          <w:cantSplit/>
        </w:trPr>
        <w:tc>
          <w:tcPr>
            <w:tcW w:w="9576" w:type="dxa"/>
            <w:gridSpan w:val="3"/>
            <w:tcBorders>
              <w:top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rsidR="00640E94" w:rsidRPr="00B560FF" w:rsidRDefault="00640E94">
            <w:pPr>
              <w:pStyle w:val="BodyText"/>
              <w:spacing w:before="0"/>
              <w:rPr>
                <w:rFonts w:ascii="Arial" w:hAnsi="Arial" w:cs="Arial"/>
                <w:sz w:val="22"/>
                <w:szCs w:val="22"/>
              </w:rPr>
            </w:pPr>
          </w:p>
          <w:p w:rsidR="00640E94" w:rsidRPr="00B560FF" w:rsidRDefault="00C009F6">
            <w:pPr>
              <w:pStyle w:val="BodyText"/>
              <w:spacing w:before="0"/>
              <w:rPr>
                <w:rFonts w:ascii="Arial" w:hAnsi="Arial" w:cs="Arial"/>
                <w:sz w:val="22"/>
                <w:szCs w:val="22"/>
              </w:rPr>
            </w:pPr>
            <w:r>
              <w:rPr>
                <w:rFonts w:ascii="Arial" w:hAnsi="Arial" w:cs="Arial"/>
                <w:sz w:val="22"/>
                <w:szCs w:val="22"/>
              </w:rPr>
              <w:t>350 – 375 Water Street</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City/Province/Postal Code</w:t>
            </w:r>
          </w:p>
          <w:p w:rsidR="00640E94" w:rsidRPr="00B560FF" w:rsidRDefault="00640E94">
            <w:pPr>
              <w:pStyle w:val="BodyText"/>
              <w:spacing w:before="0"/>
              <w:rPr>
                <w:rFonts w:ascii="Arial" w:hAnsi="Arial" w:cs="Arial"/>
                <w:sz w:val="22"/>
                <w:szCs w:val="22"/>
              </w:rPr>
            </w:pPr>
          </w:p>
          <w:p w:rsidR="00640E94" w:rsidRPr="00B560FF" w:rsidRDefault="00B560FF" w:rsidP="00C009F6">
            <w:pPr>
              <w:pStyle w:val="BodyText"/>
              <w:spacing w:before="0"/>
              <w:rPr>
                <w:rFonts w:ascii="Arial" w:hAnsi="Arial" w:cs="Arial"/>
                <w:sz w:val="22"/>
                <w:szCs w:val="22"/>
              </w:rPr>
            </w:pPr>
            <w:r w:rsidRPr="00B560FF">
              <w:rPr>
                <w:rFonts w:ascii="Arial" w:hAnsi="Arial" w:cs="Arial"/>
                <w:sz w:val="22"/>
                <w:szCs w:val="22"/>
              </w:rPr>
              <w:t xml:space="preserve">Vancouver, BC, </w:t>
            </w:r>
            <w:r w:rsidR="00C009F6">
              <w:rPr>
                <w:rFonts w:ascii="Arial" w:hAnsi="Arial" w:cs="Arial"/>
                <w:sz w:val="22"/>
                <w:szCs w:val="22"/>
              </w:rPr>
              <w:t>V6B 5C6</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rsidR="00640E94" w:rsidRPr="00B560FF" w:rsidRDefault="00640E94">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sidRPr="00B560FF">
              <w:rPr>
                <w:rFonts w:ascii="Arial" w:hAnsi="Arial" w:cs="Arial"/>
                <w:sz w:val="22"/>
                <w:szCs w:val="22"/>
              </w:rPr>
              <w:t>(604) 633 - 9967</w:t>
            </w:r>
          </w:p>
        </w:tc>
      </w:tr>
      <w:tr w:rsidR="00640E94" w:rsidRPr="00DD5566">
        <w:tc>
          <w:tcPr>
            <w:tcW w:w="4878" w:type="dxa"/>
            <w:tcBorders>
              <w:top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rsidR="00640E94" w:rsidRPr="00B560FF" w:rsidRDefault="00640E94">
            <w:pPr>
              <w:pStyle w:val="BodyText"/>
              <w:spacing w:before="0"/>
              <w:rPr>
                <w:rFonts w:ascii="Arial" w:hAnsi="Arial" w:cs="Arial"/>
                <w:sz w:val="22"/>
                <w:szCs w:val="22"/>
              </w:rPr>
            </w:pPr>
          </w:p>
          <w:p w:rsidR="00640E94" w:rsidRPr="00B560FF" w:rsidRDefault="00814C33">
            <w:pPr>
              <w:pStyle w:val="BodyText"/>
              <w:spacing w:before="0"/>
              <w:rPr>
                <w:rFonts w:ascii="Arial" w:hAnsi="Arial" w:cs="Arial"/>
                <w:sz w:val="22"/>
                <w:szCs w:val="22"/>
              </w:rPr>
            </w:pPr>
            <w:r>
              <w:rPr>
                <w:rFonts w:ascii="Arial" w:hAnsi="Arial" w:cs="Arial"/>
                <w:sz w:val="22"/>
                <w:szCs w:val="22"/>
              </w:rPr>
              <w:t>Colin Sutherland</w:t>
            </w:r>
          </w:p>
        </w:tc>
        <w:tc>
          <w:tcPr>
            <w:tcW w:w="1800" w:type="dxa"/>
            <w:tcBorders>
              <w:top w:val="single" w:sz="18" w:space="0" w:color="auto"/>
              <w:left w:val="single" w:sz="18" w:space="0" w:color="auto"/>
              <w:bottom w:val="single" w:sz="18" w:space="0" w:color="auto"/>
              <w:right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rsidR="00B560FF" w:rsidRPr="00B560FF" w:rsidRDefault="00814C33" w:rsidP="00814C33">
            <w:pPr>
              <w:pStyle w:val="BodyText"/>
              <w:spacing w:before="0"/>
              <w:rPr>
                <w:rFonts w:ascii="Arial" w:hAnsi="Arial" w:cs="Arial"/>
                <w:sz w:val="22"/>
                <w:szCs w:val="22"/>
              </w:rPr>
            </w:pPr>
            <w:r>
              <w:rPr>
                <w:rFonts w:ascii="Arial" w:hAnsi="Arial" w:cs="Arial"/>
                <w:sz w:val="22"/>
                <w:szCs w:val="22"/>
              </w:rPr>
              <w:t xml:space="preserve">Interim </w:t>
            </w:r>
            <w:r w:rsidR="00B560FF" w:rsidRPr="00B560FF">
              <w:rPr>
                <w:rFonts w:ascii="Arial" w:hAnsi="Arial" w:cs="Arial"/>
                <w:sz w:val="22"/>
                <w:szCs w:val="22"/>
              </w:rPr>
              <w:t xml:space="preserve">CFO </w:t>
            </w:r>
          </w:p>
        </w:tc>
        <w:tc>
          <w:tcPr>
            <w:tcW w:w="2898"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rsidR="00B560FF" w:rsidRDefault="00B560FF">
            <w:pPr>
              <w:pStyle w:val="BodyText"/>
              <w:spacing w:before="0"/>
              <w:rPr>
                <w:rFonts w:ascii="Arial" w:hAnsi="Arial" w:cs="Arial"/>
                <w:sz w:val="22"/>
                <w:szCs w:val="22"/>
              </w:rPr>
            </w:pPr>
          </w:p>
          <w:p w:rsidR="00B560FF" w:rsidRPr="00B560FF" w:rsidRDefault="00B560FF">
            <w:pPr>
              <w:pStyle w:val="BodyText"/>
              <w:spacing w:before="0"/>
              <w:rPr>
                <w:rFonts w:ascii="Arial" w:hAnsi="Arial" w:cs="Arial"/>
                <w:sz w:val="22"/>
                <w:szCs w:val="22"/>
              </w:rPr>
            </w:pPr>
            <w:r>
              <w:rPr>
                <w:rFonts w:ascii="Arial" w:hAnsi="Arial" w:cs="Arial"/>
                <w:sz w:val="22"/>
                <w:szCs w:val="22"/>
              </w:rPr>
              <w:t>(604) 633 - 9967</w:t>
            </w:r>
          </w:p>
        </w:tc>
      </w:tr>
      <w:tr w:rsidR="00640E94" w:rsidRPr="00DD5566">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rsidR="00B560FF" w:rsidRPr="00B560FF" w:rsidRDefault="00814C33">
            <w:pPr>
              <w:pStyle w:val="BodyText"/>
              <w:spacing w:before="0"/>
              <w:rPr>
                <w:rFonts w:ascii="Arial" w:hAnsi="Arial" w:cs="Arial"/>
                <w:sz w:val="22"/>
                <w:szCs w:val="22"/>
              </w:rPr>
            </w:pPr>
            <w:r>
              <w:rPr>
                <w:rFonts w:ascii="Arial" w:hAnsi="Arial" w:cs="Arial"/>
                <w:sz w:val="22"/>
                <w:szCs w:val="22"/>
              </w:rPr>
              <w:t>Colin.sutherland</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rsidR="00640E94" w:rsidRPr="00DD5566" w:rsidRDefault="00640E94" w:rsidP="00922A46">
      <w:pPr>
        <w:pStyle w:val="BodyText"/>
        <w:rPr>
          <w:rFonts w:ascii="Arial" w:hAnsi="Arial" w:cs="Arial"/>
          <w:szCs w:val="24"/>
        </w:rPr>
      </w:pPr>
    </w:p>
    <w:sectPr w:rsidR="00640E94" w:rsidRPr="00DD5566"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65" w:rsidRDefault="00BB1365">
      <w:r>
        <w:separator/>
      </w:r>
    </w:p>
  </w:endnote>
  <w:endnote w:type="continuationSeparator" w:id="0">
    <w:p w:rsidR="00BB1365" w:rsidRDefault="00BB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711145">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65" w:rsidRDefault="00BB1365">
      <w:r>
        <w:separator/>
      </w:r>
    </w:p>
  </w:footnote>
  <w:footnote w:type="continuationSeparator" w:id="0">
    <w:p w:rsidR="00BB1365" w:rsidRDefault="00BB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85E"/>
    <w:rsid w:val="000A1AB1"/>
    <w:rsid w:val="000C73C5"/>
    <w:rsid w:val="000D1F37"/>
    <w:rsid w:val="001910AE"/>
    <w:rsid w:val="001B37A3"/>
    <w:rsid w:val="001D14A5"/>
    <w:rsid w:val="001F47BD"/>
    <w:rsid w:val="00247A5E"/>
    <w:rsid w:val="002530D5"/>
    <w:rsid w:val="00254CBA"/>
    <w:rsid w:val="002B5399"/>
    <w:rsid w:val="002C281E"/>
    <w:rsid w:val="002F00EB"/>
    <w:rsid w:val="00337D9B"/>
    <w:rsid w:val="003669A9"/>
    <w:rsid w:val="00371A64"/>
    <w:rsid w:val="00375937"/>
    <w:rsid w:val="00387FA8"/>
    <w:rsid w:val="003C36FC"/>
    <w:rsid w:val="003D3247"/>
    <w:rsid w:val="00406AC8"/>
    <w:rsid w:val="00424719"/>
    <w:rsid w:val="004378A2"/>
    <w:rsid w:val="004B3B90"/>
    <w:rsid w:val="004C101F"/>
    <w:rsid w:val="00501F16"/>
    <w:rsid w:val="0054327E"/>
    <w:rsid w:val="005453C8"/>
    <w:rsid w:val="005E3228"/>
    <w:rsid w:val="005F6D8F"/>
    <w:rsid w:val="00620E7F"/>
    <w:rsid w:val="00633ED3"/>
    <w:rsid w:val="00635E9A"/>
    <w:rsid w:val="00640E94"/>
    <w:rsid w:val="00682FEF"/>
    <w:rsid w:val="006947DD"/>
    <w:rsid w:val="006D1A06"/>
    <w:rsid w:val="00711145"/>
    <w:rsid w:val="00722CAB"/>
    <w:rsid w:val="007301C0"/>
    <w:rsid w:val="0079699F"/>
    <w:rsid w:val="007E15FB"/>
    <w:rsid w:val="007F086F"/>
    <w:rsid w:val="00814C33"/>
    <w:rsid w:val="008B7E92"/>
    <w:rsid w:val="0092163B"/>
    <w:rsid w:val="00922A46"/>
    <w:rsid w:val="009419B5"/>
    <w:rsid w:val="00964EEC"/>
    <w:rsid w:val="0097070E"/>
    <w:rsid w:val="009B660F"/>
    <w:rsid w:val="009F45BE"/>
    <w:rsid w:val="00A47914"/>
    <w:rsid w:val="00AA7259"/>
    <w:rsid w:val="00AC0477"/>
    <w:rsid w:val="00B07F39"/>
    <w:rsid w:val="00B12EC6"/>
    <w:rsid w:val="00B26A70"/>
    <w:rsid w:val="00B37C75"/>
    <w:rsid w:val="00B418A4"/>
    <w:rsid w:val="00B45663"/>
    <w:rsid w:val="00B560FF"/>
    <w:rsid w:val="00B633C4"/>
    <w:rsid w:val="00BB1365"/>
    <w:rsid w:val="00C009F6"/>
    <w:rsid w:val="00C067A1"/>
    <w:rsid w:val="00C27A18"/>
    <w:rsid w:val="00C6383E"/>
    <w:rsid w:val="00D02EF7"/>
    <w:rsid w:val="00D1447F"/>
    <w:rsid w:val="00D41C89"/>
    <w:rsid w:val="00D700EC"/>
    <w:rsid w:val="00D879C6"/>
    <w:rsid w:val="00DD5566"/>
    <w:rsid w:val="00E05389"/>
    <w:rsid w:val="00E14C65"/>
    <w:rsid w:val="00E36141"/>
    <w:rsid w:val="00E43D05"/>
    <w:rsid w:val="00E46DD7"/>
    <w:rsid w:val="00E553C1"/>
    <w:rsid w:val="00E62BBC"/>
    <w:rsid w:val="00E83E58"/>
    <w:rsid w:val="00E87494"/>
    <w:rsid w:val="00E97310"/>
    <w:rsid w:val="00EB5428"/>
    <w:rsid w:val="00ED70D2"/>
    <w:rsid w:val="00F6100D"/>
    <w:rsid w:val="00F82A86"/>
    <w:rsid w:val="00F951D5"/>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Microsoft account</cp:lastModifiedBy>
  <cp:revision>5</cp:revision>
  <cp:lastPrinted>2004-05-10T18:28:00Z</cp:lastPrinted>
  <dcterms:created xsi:type="dcterms:W3CDTF">2021-11-30T21:48:00Z</dcterms:created>
  <dcterms:modified xsi:type="dcterms:W3CDTF">2021-11-30T21:51:00Z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