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B2C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AFA0DD" w14:textId="3B527FB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D0E5F">
        <w:rPr>
          <w:rFonts w:ascii="Arial" w:hAnsi="Arial"/>
          <w:b/>
          <w:color w:val="000000"/>
        </w:rPr>
        <w:t>First Energy Metals Limited</w:t>
      </w:r>
      <w:r w:rsidR="00D14DE3" w:rsidRPr="00D14DE3">
        <w:rPr>
          <w:rFonts w:ascii="Arial" w:hAnsi="Arial"/>
          <w:color w:val="000000"/>
        </w:rPr>
        <w:t xml:space="preserve"> </w:t>
      </w:r>
      <w:r>
        <w:rPr>
          <w:rFonts w:ascii="Arial" w:hAnsi="Arial"/>
          <w:color w:val="000000"/>
        </w:rPr>
        <w:t>(the “Issuer”).</w:t>
      </w:r>
    </w:p>
    <w:p w14:paraId="1DBB2D2E" w14:textId="33B8C08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D0E5F">
        <w:rPr>
          <w:rFonts w:ascii="Arial" w:hAnsi="Arial"/>
          <w:color w:val="000000"/>
        </w:rPr>
        <w:t>FE</w:t>
      </w:r>
    </w:p>
    <w:p w14:paraId="30C110F5" w14:textId="55B573B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D0E5F">
        <w:rPr>
          <w:rFonts w:ascii="Arial" w:hAnsi="Arial"/>
          <w:color w:val="000000"/>
        </w:rPr>
        <w:t>17,631,003</w:t>
      </w:r>
    </w:p>
    <w:p w14:paraId="79B45946" w14:textId="516DCD6C" w:rsidR="00640E94" w:rsidRDefault="00640E94">
      <w:pPr>
        <w:pStyle w:val="BodyText"/>
        <w:tabs>
          <w:tab w:val="left" w:pos="7920"/>
          <w:tab w:val="left" w:pos="9180"/>
        </w:tabs>
        <w:rPr>
          <w:rFonts w:ascii="Arial" w:hAnsi="Arial"/>
          <w:color w:val="000000"/>
        </w:rPr>
      </w:pPr>
      <w:r>
        <w:rPr>
          <w:rFonts w:ascii="Arial" w:hAnsi="Arial"/>
          <w:color w:val="000000"/>
        </w:rPr>
        <w:t>Date:</w:t>
      </w:r>
      <w:r w:rsidR="006C1DDB">
        <w:rPr>
          <w:rFonts w:ascii="Arial" w:hAnsi="Arial"/>
          <w:color w:val="000000"/>
        </w:rPr>
        <w:t xml:space="preserve"> </w:t>
      </w:r>
      <w:proofErr w:type="gramStart"/>
      <w:r w:rsidR="00B03711">
        <w:rPr>
          <w:rFonts w:ascii="Arial" w:hAnsi="Arial"/>
          <w:color w:val="000000"/>
        </w:rPr>
        <w:t>Novem</w:t>
      </w:r>
      <w:r w:rsidR="00EE042B">
        <w:rPr>
          <w:rFonts w:ascii="Arial" w:hAnsi="Arial"/>
          <w:color w:val="000000"/>
        </w:rPr>
        <w:t xml:space="preserve">ber </w:t>
      </w:r>
      <w:r w:rsidR="00EC3A2C">
        <w:rPr>
          <w:rFonts w:ascii="Arial" w:hAnsi="Arial"/>
          <w:color w:val="000000"/>
        </w:rPr>
        <w:t xml:space="preserve"> </w:t>
      </w:r>
      <w:r w:rsidR="00B03711">
        <w:rPr>
          <w:rFonts w:ascii="Arial" w:hAnsi="Arial"/>
          <w:color w:val="000000"/>
        </w:rPr>
        <w:t>3</w:t>
      </w:r>
      <w:proofErr w:type="gramEnd"/>
      <w:r w:rsidR="00CD0E5F">
        <w:rPr>
          <w:rFonts w:ascii="Arial" w:hAnsi="Arial"/>
          <w:color w:val="000000"/>
        </w:rPr>
        <w:t>, 2019</w:t>
      </w:r>
    </w:p>
    <w:p w14:paraId="16D1BD3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754479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CAC862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1A306C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647786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EE3C4A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ED5D0CD" w14:textId="77777777" w:rsidR="00640E94" w:rsidRDefault="00640E94">
      <w:pPr>
        <w:pStyle w:val="List"/>
        <w:keepLines/>
        <w:spacing w:before="120"/>
        <w:ind w:left="0" w:firstLine="0"/>
        <w:rPr>
          <w:rFonts w:ascii="Arial" w:hAnsi="Arial"/>
          <w:b/>
        </w:rPr>
      </w:pPr>
      <w:r>
        <w:rPr>
          <w:rFonts w:ascii="Arial" w:hAnsi="Arial"/>
          <w:b/>
        </w:rPr>
        <w:t>Report on Business</w:t>
      </w:r>
    </w:p>
    <w:p w14:paraId="5BB802D7" w14:textId="35677C3F"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A352D72" w14:textId="77777777" w:rsidR="00781288" w:rsidRDefault="000575CA" w:rsidP="00360983">
      <w:pPr>
        <w:pStyle w:val="List"/>
        <w:spacing w:before="120"/>
        <w:ind w:left="720" w:firstLine="0"/>
        <w:jc w:val="both"/>
        <w:rPr>
          <w:rFonts w:ascii="Arial" w:hAnsi="Arial"/>
        </w:rPr>
      </w:pPr>
      <w:r>
        <w:rPr>
          <w:rFonts w:ascii="Arial" w:hAnsi="Arial"/>
        </w:rPr>
        <w:t xml:space="preserve">The Issuer </w:t>
      </w:r>
      <w:r w:rsidR="00781288">
        <w:rPr>
          <w:rFonts w:ascii="Arial" w:hAnsi="Arial"/>
        </w:rPr>
        <w:t>announced the completion of a phase 1 drill program at its Phyllis cobalt property in Ontario.</w:t>
      </w:r>
    </w:p>
    <w:p w14:paraId="3C61E741" w14:textId="77777777" w:rsidR="007B362D" w:rsidRPr="00CF09D5" w:rsidRDefault="00640E94" w:rsidP="00955780">
      <w:pPr>
        <w:pStyle w:val="List"/>
        <w:numPr>
          <w:ilvl w:val="0"/>
          <w:numId w:val="28"/>
        </w:numPr>
        <w:spacing w:before="120"/>
        <w:jc w:val="both"/>
        <w:rPr>
          <w:lang w:val="en-CA"/>
        </w:rPr>
      </w:pPr>
      <w:r w:rsidRPr="007B362D">
        <w:rPr>
          <w:rFonts w:ascii="Arial" w:hAnsi="Arial"/>
        </w:rPr>
        <w:t>Provide a general overview and discussion of the activities of management.</w:t>
      </w:r>
    </w:p>
    <w:p w14:paraId="1630E924" w14:textId="22060755" w:rsidR="007B362D" w:rsidRDefault="00B03711" w:rsidP="007B362D">
      <w:pPr>
        <w:pStyle w:val="List"/>
        <w:spacing w:before="120"/>
        <w:ind w:left="720" w:firstLine="0"/>
        <w:jc w:val="both"/>
        <w:rPr>
          <w:rFonts w:ascii="Arial" w:hAnsi="Arial" w:cs="Arial"/>
          <w:szCs w:val="24"/>
          <w:lang w:val="en-CA"/>
        </w:rPr>
      </w:pPr>
      <w:r>
        <w:rPr>
          <w:rFonts w:ascii="Arial" w:hAnsi="Arial" w:cs="Arial"/>
          <w:szCs w:val="24"/>
          <w:lang w:val="en-CA"/>
        </w:rPr>
        <w:lastRenderedPageBreak/>
        <w:t xml:space="preserve">On October 23, 2019 </w:t>
      </w:r>
      <w:r w:rsidR="00657525" w:rsidRPr="00657525">
        <w:rPr>
          <w:rFonts w:ascii="Arial" w:hAnsi="Arial" w:cs="Arial"/>
          <w:szCs w:val="24"/>
          <w:lang w:val="en-CA"/>
        </w:rPr>
        <w:t>Management</w:t>
      </w:r>
      <w:r w:rsidR="00EC3A2C">
        <w:rPr>
          <w:rFonts w:ascii="Arial" w:hAnsi="Arial" w:cs="Arial"/>
          <w:szCs w:val="24"/>
          <w:lang w:val="en-CA"/>
        </w:rPr>
        <w:t xml:space="preserve"> announced private placement</w:t>
      </w:r>
      <w:r w:rsidR="00657525" w:rsidRPr="00657525">
        <w:rPr>
          <w:rFonts w:ascii="Arial" w:hAnsi="Arial" w:cs="Arial"/>
          <w:szCs w:val="24"/>
          <w:lang w:val="en-CA"/>
        </w:rPr>
        <w:t xml:space="preserve"> up to</w:t>
      </w:r>
      <w:r>
        <w:rPr>
          <w:rFonts w:ascii="Arial" w:hAnsi="Arial" w:cs="Arial"/>
          <w:szCs w:val="24"/>
          <w:lang w:val="en-CA"/>
        </w:rPr>
        <w:t xml:space="preserve"> $1,500,000 </w:t>
      </w:r>
      <w:r w:rsidRPr="00657525">
        <w:rPr>
          <w:rFonts w:ascii="Arial" w:hAnsi="Arial" w:cs="Arial"/>
          <w:szCs w:val="24"/>
          <w:lang w:val="en-CA"/>
        </w:rPr>
        <w:t>as</w:t>
      </w:r>
      <w:r>
        <w:rPr>
          <w:rFonts w:ascii="Arial" w:hAnsi="Arial" w:cs="Arial"/>
          <w:szCs w:val="24"/>
          <w:lang w:val="en-CA"/>
        </w:rPr>
        <w:t xml:space="preserve"> described below;</w:t>
      </w:r>
    </w:p>
    <w:p w14:paraId="0AC90657" w14:textId="5D04E250" w:rsidR="00B03711" w:rsidRDefault="00B03711" w:rsidP="007B362D">
      <w:pPr>
        <w:pStyle w:val="List"/>
        <w:spacing w:before="120"/>
        <w:ind w:left="720" w:firstLine="0"/>
        <w:jc w:val="both"/>
        <w:rPr>
          <w:rFonts w:ascii="Arial" w:hAnsi="Arial" w:cs="Arial"/>
          <w:szCs w:val="24"/>
          <w:lang w:val="en-CA"/>
        </w:rPr>
      </w:pPr>
    </w:p>
    <w:p w14:paraId="6148A244" w14:textId="4FDFF3A7" w:rsidR="00B03711" w:rsidRPr="00B03711" w:rsidRDefault="00B03711" w:rsidP="00B03711">
      <w:pPr>
        <w:pStyle w:val="NormalWeb"/>
        <w:rPr>
          <w:rFonts w:ascii="Verdana" w:hAnsi="Verdana"/>
          <w:i/>
          <w:iCs/>
          <w:color w:val="000000"/>
          <w:sz w:val="20"/>
          <w:szCs w:val="20"/>
        </w:rPr>
      </w:pPr>
      <w:r>
        <w:rPr>
          <w:rFonts w:ascii="Verdana" w:hAnsi="Verdana"/>
          <w:i/>
          <w:iCs/>
          <w:color w:val="000000"/>
          <w:sz w:val="20"/>
          <w:szCs w:val="20"/>
        </w:rPr>
        <w:tab/>
      </w:r>
      <w:r w:rsidRPr="00B03711">
        <w:rPr>
          <w:rFonts w:ascii="Verdana" w:hAnsi="Verdana"/>
          <w:i/>
          <w:iCs/>
          <w:color w:val="000000"/>
          <w:sz w:val="20"/>
          <w:szCs w:val="20"/>
        </w:rPr>
        <w:t xml:space="preserve">First Energy </w:t>
      </w:r>
      <w:r w:rsidRPr="00B03711">
        <w:rPr>
          <w:rFonts w:ascii="Verdana" w:hAnsi="Verdana"/>
          <w:i/>
          <w:iCs/>
          <w:color w:val="000000"/>
          <w:sz w:val="20"/>
          <w:szCs w:val="20"/>
        </w:rPr>
        <w:t xml:space="preserve">has </w:t>
      </w:r>
      <w:r w:rsidRPr="00B03711">
        <w:rPr>
          <w:rFonts w:ascii="Verdana" w:hAnsi="Verdana"/>
          <w:i/>
          <w:iCs/>
          <w:color w:val="000000"/>
          <w:sz w:val="20"/>
          <w:szCs w:val="20"/>
        </w:rPr>
        <w:t>announced</w:t>
      </w:r>
      <w:r w:rsidRPr="00B03711">
        <w:rPr>
          <w:rFonts w:ascii="Verdana" w:hAnsi="Verdana"/>
          <w:i/>
          <w:iCs/>
          <w:color w:val="000000"/>
          <w:sz w:val="20"/>
          <w:szCs w:val="20"/>
        </w:rPr>
        <w:t xml:space="preserve"> a non-brokered private placement of up to 10 million </w:t>
      </w:r>
      <w:r>
        <w:rPr>
          <w:rFonts w:ascii="Verdana" w:hAnsi="Verdana"/>
          <w:i/>
          <w:iCs/>
          <w:color w:val="000000"/>
          <w:sz w:val="20"/>
          <w:szCs w:val="20"/>
        </w:rPr>
        <w:tab/>
      </w:r>
      <w:r w:rsidRPr="00B03711">
        <w:rPr>
          <w:rFonts w:ascii="Verdana" w:hAnsi="Verdana"/>
          <w:i/>
          <w:iCs/>
          <w:color w:val="000000"/>
          <w:sz w:val="20"/>
          <w:szCs w:val="20"/>
        </w:rPr>
        <w:t xml:space="preserve">units of the company for gross proceeds of </w:t>
      </w:r>
      <w:proofErr w:type="gramStart"/>
      <w:r w:rsidRPr="00B03711">
        <w:rPr>
          <w:rFonts w:ascii="Verdana" w:hAnsi="Verdana"/>
          <w:i/>
          <w:iCs/>
          <w:color w:val="000000"/>
          <w:sz w:val="20"/>
          <w:szCs w:val="20"/>
        </w:rPr>
        <w:t>$1.5-million</w:t>
      </w:r>
      <w:proofErr w:type="gramEnd"/>
      <w:r w:rsidRPr="00B03711">
        <w:rPr>
          <w:rFonts w:ascii="Verdana" w:hAnsi="Verdana"/>
          <w:i/>
          <w:iCs/>
          <w:color w:val="000000"/>
          <w:sz w:val="20"/>
          <w:szCs w:val="20"/>
        </w:rPr>
        <w:t xml:space="preserve"> at a price of 15 cents per </w:t>
      </w:r>
      <w:r>
        <w:rPr>
          <w:rFonts w:ascii="Verdana" w:hAnsi="Verdana"/>
          <w:i/>
          <w:iCs/>
          <w:color w:val="000000"/>
          <w:sz w:val="20"/>
          <w:szCs w:val="20"/>
        </w:rPr>
        <w:tab/>
      </w:r>
      <w:r w:rsidRPr="00B03711">
        <w:rPr>
          <w:rFonts w:ascii="Verdana" w:hAnsi="Verdana"/>
          <w:i/>
          <w:iCs/>
          <w:color w:val="000000"/>
          <w:sz w:val="20"/>
          <w:szCs w:val="20"/>
        </w:rPr>
        <w:t>share.</w:t>
      </w:r>
    </w:p>
    <w:p w14:paraId="3A85E2AB" w14:textId="2C2983B0" w:rsidR="00B03711" w:rsidRPr="00B03711" w:rsidRDefault="00B03711" w:rsidP="00B03711">
      <w:pPr>
        <w:pStyle w:val="NormalWeb"/>
        <w:rPr>
          <w:rFonts w:ascii="Verdana" w:hAnsi="Verdana"/>
          <w:i/>
          <w:iCs/>
          <w:color w:val="000000"/>
          <w:sz w:val="20"/>
          <w:szCs w:val="20"/>
        </w:rPr>
      </w:pPr>
      <w:r>
        <w:rPr>
          <w:rFonts w:ascii="Verdana" w:hAnsi="Verdana"/>
          <w:i/>
          <w:iCs/>
          <w:color w:val="000000"/>
          <w:sz w:val="20"/>
          <w:szCs w:val="20"/>
        </w:rPr>
        <w:tab/>
      </w:r>
      <w:r w:rsidRPr="00B03711">
        <w:rPr>
          <w:rFonts w:ascii="Verdana" w:hAnsi="Verdana"/>
          <w:i/>
          <w:iCs/>
          <w:color w:val="000000"/>
          <w:sz w:val="20"/>
          <w:szCs w:val="20"/>
        </w:rPr>
        <w:t xml:space="preserve">Each unit is composed of one common share of the company and one common share </w:t>
      </w:r>
      <w:r>
        <w:rPr>
          <w:rFonts w:ascii="Verdana" w:hAnsi="Verdana"/>
          <w:i/>
          <w:iCs/>
          <w:color w:val="000000"/>
          <w:sz w:val="20"/>
          <w:szCs w:val="20"/>
        </w:rPr>
        <w:tab/>
      </w:r>
      <w:r w:rsidRPr="00B03711">
        <w:rPr>
          <w:rFonts w:ascii="Verdana" w:hAnsi="Verdana"/>
          <w:i/>
          <w:iCs/>
          <w:color w:val="000000"/>
          <w:sz w:val="20"/>
          <w:szCs w:val="20"/>
        </w:rPr>
        <w:t xml:space="preserve">purchase warrant of the company. Each warrant entitles the holder thereof to </w:t>
      </w:r>
      <w:r>
        <w:rPr>
          <w:rFonts w:ascii="Verdana" w:hAnsi="Verdana"/>
          <w:i/>
          <w:iCs/>
          <w:color w:val="000000"/>
          <w:sz w:val="20"/>
          <w:szCs w:val="20"/>
        </w:rPr>
        <w:tab/>
      </w:r>
      <w:r w:rsidRPr="00B03711">
        <w:rPr>
          <w:rFonts w:ascii="Verdana" w:hAnsi="Verdana"/>
          <w:i/>
          <w:iCs/>
          <w:color w:val="000000"/>
          <w:sz w:val="20"/>
          <w:szCs w:val="20"/>
        </w:rPr>
        <w:t xml:space="preserve">purchase one common share of the company at an exercise price of 30 cents for a </w:t>
      </w:r>
      <w:r>
        <w:rPr>
          <w:rFonts w:ascii="Verdana" w:hAnsi="Verdana"/>
          <w:i/>
          <w:iCs/>
          <w:color w:val="000000"/>
          <w:sz w:val="20"/>
          <w:szCs w:val="20"/>
        </w:rPr>
        <w:tab/>
      </w:r>
      <w:r w:rsidRPr="00B03711">
        <w:rPr>
          <w:rFonts w:ascii="Verdana" w:hAnsi="Verdana"/>
          <w:i/>
          <w:iCs/>
          <w:color w:val="000000"/>
          <w:sz w:val="20"/>
          <w:szCs w:val="20"/>
        </w:rPr>
        <w:t xml:space="preserve">period of 12 months from the date of issuance of the warrant, subject to accelerated </w:t>
      </w:r>
      <w:r>
        <w:rPr>
          <w:rFonts w:ascii="Verdana" w:hAnsi="Verdana"/>
          <w:i/>
          <w:iCs/>
          <w:color w:val="000000"/>
          <w:sz w:val="20"/>
          <w:szCs w:val="20"/>
        </w:rPr>
        <w:tab/>
      </w:r>
      <w:r w:rsidRPr="00B03711">
        <w:rPr>
          <w:rFonts w:ascii="Verdana" w:hAnsi="Verdana"/>
          <w:i/>
          <w:iCs/>
          <w:color w:val="000000"/>
          <w:sz w:val="20"/>
          <w:szCs w:val="20"/>
        </w:rPr>
        <w:t xml:space="preserve">expiry in the event that the 10-day volume-weighted average price of the common </w:t>
      </w:r>
      <w:r>
        <w:rPr>
          <w:rFonts w:ascii="Verdana" w:hAnsi="Verdana"/>
          <w:i/>
          <w:iCs/>
          <w:color w:val="000000"/>
          <w:sz w:val="20"/>
          <w:szCs w:val="20"/>
        </w:rPr>
        <w:tab/>
      </w:r>
      <w:r w:rsidRPr="00B03711">
        <w:rPr>
          <w:rFonts w:ascii="Verdana" w:hAnsi="Verdana"/>
          <w:i/>
          <w:iCs/>
          <w:color w:val="000000"/>
          <w:sz w:val="20"/>
          <w:szCs w:val="20"/>
        </w:rPr>
        <w:t xml:space="preserve">shares on the Canadian Securities Exchange or other exchange or quotation system </w:t>
      </w:r>
      <w:r>
        <w:rPr>
          <w:rFonts w:ascii="Verdana" w:hAnsi="Verdana"/>
          <w:i/>
          <w:iCs/>
          <w:color w:val="000000"/>
          <w:sz w:val="20"/>
          <w:szCs w:val="20"/>
        </w:rPr>
        <w:tab/>
      </w:r>
      <w:r w:rsidRPr="00B03711">
        <w:rPr>
          <w:rFonts w:ascii="Verdana" w:hAnsi="Verdana"/>
          <w:i/>
          <w:iCs/>
          <w:color w:val="000000"/>
          <w:sz w:val="20"/>
          <w:szCs w:val="20"/>
        </w:rPr>
        <w:t xml:space="preserve">where the company's shares are listed and where a majority of the trading volume of </w:t>
      </w:r>
      <w:r>
        <w:rPr>
          <w:rFonts w:ascii="Verdana" w:hAnsi="Verdana"/>
          <w:i/>
          <w:iCs/>
          <w:color w:val="000000"/>
          <w:sz w:val="20"/>
          <w:szCs w:val="20"/>
        </w:rPr>
        <w:tab/>
      </w:r>
      <w:r w:rsidRPr="00B03711">
        <w:rPr>
          <w:rFonts w:ascii="Verdana" w:hAnsi="Verdana"/>
          <w:i/>
          <w:iCs/>
          <w:color w:val="000000"/>
          <w:sz w:val="20"/>
          <w:szCs w:val="20"/>
        </w:rPr>
        <w:t xml:space="preserve">the common shares occur equals or exceeds 30 cents per share. Subject to </w:t>
      </w:r>
      <w:r>
        <w:rPr>
          <w:rFonts w:ascii="Verdana" w:hAnsi="Verdana"/>
          <w:i/>
          <w:iCs/>
          <w:color w:val="000000"/>
          <w:sz w:val="20"/>
          <w:szCs w:val="20"/>
        </w:rPr>
        <w:tab/>
      </w:r>
      <w:r w:rsidRPr="00B03711">
        <w:rPr>
          <w:rFonts w:ascii="Verdana" w:hAnsi="Verdana"/>
          <w:i/>
          <w:iCs/>
          <w:color w:val="000000"/>
          <w:sz w:val="20"/>
          <w:szCs w:val="20"/>
        </w:rPr>
        <w:t xml:space="preserve">customary closing conditions, including Canadian Securities Exchange approval, the </w:t>
      </w:r>
      <w:r>
        <w:rPr>
          <w:rFonts w:ascii="Verdana" w:hAnsi="Verdana"/>
          <w:i/>
          <w:iCs/>
          <w:color w:val="000000"/>
          <w:sz w:val="20"/>
          <w:szCs w:val="20"/>
        </w:rPr>
        <w:tab/>
      </w:r>
      <w:r w:rsidRPr="00B03711">
        <w:rPr>
          <w:rFonts w:ascii="Verdana" w:hAnsi="Verdana"/>
          <w:i/>
          <w:iCs/>
          <w:color w:val="000000"/>
          <w:sz w:val="20"/>
          <w:szCs w:val="20"/>
        </w:rPr>
        <w:t>non-brokered offering is expected to close on or about Nov. 30, 2019.</w:t>
      </w:r>
    </w:p>
    <w:p w14:paraId="3D559D67" w14:textId="4E2358EC" w:rsidR="00B03711" w:rsidRPr="00B03711" w:rsidRDefault="00B03711" w:rsidP="00B03711">
      <w:pPr>
        <w:pStyle w:val="NormalWeb"/>
        <w:rPr>
          <w:rFonts w:ascii="Verdana" w:hAnsi="Verdana"/>
          <w:i/>
          <w:iCs/>
          <w:color w:val="000000"/>
          <w:sz w:val="20"/>
          <w:szCs w:val="20"/>
        </w:rPr>
      </w:pPr>
      <w:r>
        <w:rPr>
          <w:rFonts w:ascii="Verdana" w:hAnsi="Verdana"/>
          <w:i/>
          <w:iCs/>
          <w:color w:val="000000"/>
          <w:sz w:val="20"/>
          <w:szCs w:val="20"/>
        </w:rPr>
        <w:tab/>
      </w:r>
      <w:r w:rsidRPr="00B03711">
        <w:rPr>
          <w:rFonts w:ascii="Verdana" w:hAnsi="Verdana"/>
          <w:i/>
          <w:iCs/>
          <w:color w:val="000000"/>
          <w:sz w:val="20"/>
          <w:szCs w:val="20"/>
        </w:rPr>
        <w:t xml:space="preserve">All securities issued in the financing will be subject to a statutory hold period expiring </w:t>
      </w:r>
      <w:r>
        <w:rPr>
          <w:rFonts w:ascii="Verdana" w:hAnsi="Verdana"/>
          <w:i/>
          <w:iCs/>
          <w:color w:val="000000"/>
          <w:sz w:val="20"/>
          <w:szCs w:val="20"/>
        </w:rPr>
        <w:tab/>
      </w:r>
      <w:r w:rsidRPr="00B03711">
        <w:rPr>
          <w:rFonts w:ascii="Verdana" w:hAnsi="Verdana"/>
          <w:i/>
          <w:iCs/>
          <w:color w:val="000000"/>
          <w:sz w:val="20"/>
          <w:szCs w:val="20"/>
        </w:rPr>
        <w:t xml:space="preserve">four months and one day after closing of the financing. Completion of the financing is </w:t>
      </w:r>
      <w:r>
        <w:rPr>
          <w:rFonts w:ascii="Verdana" w:hAnsi="Verdana"/>
          <w:i/>
          <w:iCs/>
          <w:color w:val="000000"/>
          <w:sz w:val="20"/>
          <w:szCs w:val="20"/>
        </w:rPr>
        <w:tab/>
      </w:r>
      <w:r w:rsidRPr="00B03711">
        <w:rPr>
          <w:rFonts w:ascii="Verdana" w:hAnsi="Verdana"/>
          <w:i/>
          <w:iCs/>
          <w:color w:val="000000"/>
          <w:sz w:val="20"/>
          <w:szCs w:val="20"/>
        </w:rPr>
        <w:t xml:space="preserve">subject to a number of conditions, including, without limitation, receipt of all </w:t>
      </w:r>
      <w:r>
        <w:rPr>
          <w:rFonts w:ascii="Verdana" w:hAnsi="Verdana"/>
          <w:i/>
          <w:iCs/>
          <w:color w:val="000000"/>
          <w:sz w:val="20"/>
          <w:szCs w:val="20"/>
        </w:rPr>
        <w:tab/>
      </w:r>
      <w:r w:rsidRPr="00B03711">
        <w:rPr>
          <w:rFonts w:ascii="Verdana" w:hAnsi="Verdana"/>
          <w:i/>
          <w:iCs/>
          <w:color w:val="000000"/>
          <w:sz w:val="20"/>
          <w:szCs w:val="20"/>
        </w:rPr>
        <w:t xml:space="preserve">regulatory approvals, including approval of the Canadian Securities Exchange. The </w:t>
      </w:r>
      <w:r>
        <w:rPr>
          <w:rFonts w:ascii="Verdana" w:hAnsi="Verdana"/>
          <w:i/>
          <w:iCs/>
          <w:color w:val="000000"/>
          <w:sz w:val="20"/>
          <w:szCs w:val="20"/>
        </w:rPr>
        <w:tab/>
      </w:r>
      <w:r w:rsidRPr="00B03711">
        <w:rPr>
          <w:rFonts w:ascii="Verdana" w:hAnsi="Verdana"/>
          <w:i/>
          <w:iCs/>
          <w:color w:val="000000"/>
          <w:sz w:val="20"/>
          <w:szCs w:val="20"/>
        </w:rPr>
        <w:t xml:space="preserve">company may, in its sole discretion, pay a finder's fee within CSE policy guidelines in </w:t>
      </w:r>
      <w:r>
        <w:rPr>
          <w:rFonts w:ascii="Verdana" w:hAnsi="Verdana"/>
          <w:i/>
          <w:iCs/>
          <w:color w:val="000000"/>
          <w:sz w:val="20"/>
          <w:szCs w:val="20"/>
        </w:rPr>
        <w:tab/>
      </w:r>
      <w:r w:rsidRPr="00B03711">
        <w:rPr>
          <w:rFonts w:ascii="Verdana" w:hAnsi="Verdana"/>
          <w:i/>
          <w:iCs/>
          <w:color w:val="000000"/>
          <w:sz w:val="20"/>
          <w:szCs w:val="20"/>
        </w:rPr>
        <w:t>connection with the private placement.</w:t>
      </w:r>
    </w:p>
    <w:p w14:paraId="3B5C934A" w14:textId="77777777" w:rsidR="00B03711" w:rsidRDefault="00B03711" w:rsidP="007B362D">
      <w:pPr>
        <w:pStyle w:val="List"/>
        <w:spacing w:before="120"/>
        <w:ind w:left="720" w:firstLine="0"/>
        <w:jc w:val="both"/>
        <w:rPr>
          <w:rFonts w:ascii="Arial" w:hAnsi="Arial" w:cs="Arial"/>
          <w:szCs w:val="24"/>
          <w:lang w:val="en-CA"/>
        </w:rPr>
      </w:pPr>
    </w:p>
    <w:p w14:paraId="21F22439" w14:textId="43FA9EA0" w:rsidR="00B03711" w:rsidRPr="00B03711" w:rsidRDefault="006C1DDB" w:rsidP="00B03711">
      <w:pPr>
        <w:rPr>
          <w:rFonts w:ascii="Arial" w:hAnsi="Arial" w:cs="Arial"/>
          <w:lang w:eastAsia="en-US"/>
        </w:rPr>
      </w:pPr>
      <w:r>
        <w:rPr>
          <w:rFonts w:ascii="Verdana" w:hAnsi="Verdana"/>
          <w:color w:val="000000"/>
        </w:rPr>
        <w:t xml:space="preserve">As of </w:t>
      </w:r>
      <w:r w:rsidR="00B03711">
        <w:rPr>
          <w:rFonts w:ascii="Verdana" w:hAnsi="Verdana"/>
          <w:color w:val="000000"/>
        </w:rPr>
        <w:t>October 31</w:t>
      </w:r>
      <w:r>
        <w:rPr>
          <w:rFonts w:ascii="Verdana" w:hAnsi="Verdana"/>
          <w:color w:val="000000"/>
        </w:rPr>
        <w:t xml:space="preserve">, 2019, the Private Placement has not closed, the Company is </w:t>
      </w:r>
      <w:proofErr w:type="gramStart"/>
      <w:r w:rsidR="00B03711">
        <w:rPr>
          <w:rFonts w:ascii="Verdana" w:hAnsi="Verdana"/>
          <w:color w:val="000000"/>
        </w:rPr>
        <w:t>continues</w:t>
      </w:r>
      <w:proofErr w:type="gramEnd"/>
      <w:r w:rsidR="00B03711">
        <w:rPr>
          <w:rFonts w:ascii="Verdana" w:hAnsi="Verdana"/>
          <w:color w:val="000000"/>
        </w:rPr>
        <w:t xml:space="preserve"> to work towards completing the financing. </w:t>
      </w:r>
    </w:p>
    <w:p w14:paraId="608F284C" w14:textId="77777777" w:rsidR="00B03711" w:rsidRDefault="00B03711" w:rsidP="00B03711">
      <w:pPr>
        <w:rPr>
          <w:rFonts w:ascii="Verdana" w:hAnsi="Verdana"/>
          <w:color w:val="000000"/>
        </w:rPr>
      </w:pPr>
    </w:p>
    <w:p w14:paraId="08E6D39D" w14:textId="61645148" w:rsidR="00640E94" w:rsidRPr="00CB4371" w:rsidRDefault="00640E94" w:rsidP="00B03711">
      <w:pPr>
        <w:rPr>
          <w:rFonts w:asciiTheme="minorBidi" w:hAnsiTheme="minorBidi" w:cstheme="minorBidi"/>
        </w:rPr>
      </w:pPr>
      <w:r w:rsidRPr="00CB4371">
        <w:rPr>
          <w:rFonts w:asciiTheme="minorBidi" w:hAnsiTheme="minorBidi" w:cstheme="minorBidi"/>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CEB9567" w14:textId="694A5E28" w:rsidR="00B03711" w:rsidRPr="00B03711" w:rsidRDefault="00781288" w:rsidP="00B03711">
      <w:pPr>
        <w:pStyle w:val="NormalWeb"/>
        <w:rPr>
          <w:rFonts w:asciiTheme="majorBidi" w:hAnsiTheme="majorBidi" w:cstheme="majorBidi"/>
          <w:i/>
          <w:iCs/>
          <w:color w:val="000000"/>
          <w:sz w:val="21"/>
          <w:szCs w:val="21"/>
        </w:rPr>
      </w:pPr>
      <w:r w:rsidRPr="008D2144">
        <w:rPr>
          <w:rFonts w:asciiTheme="majorBidi" w:hAnsiTheme="majorBidi" w:cstheme="majorBidi"/>
          <w:i/>
          <w:iCs/>
          <w:sz w:val="21"/>
          <w:szCs w:val="21"/>
        </w:rPr>
        <w:t>On</w:t>
      </w:r>
      <w:r w:rsidR="00EE042B" w:rsidRPr="008D2144">
        <w:rPr>
          <w:rFonts w:asciiTheme="majorBidi" w:hAnsiTheme="majorBidi" w:cstheme="majorBidi"/>
          <w:b/>
          <w:bCs/>
          <w:i/>
          <w:iCs/>
          <w:sz w:val="21"/>
          <w:szCs w:val="21"/>
        </w:rPr>
        <w:t xml:space="preserve"> </w:t>
      </w:r>
      <w:r w:rsidR="00B03711" w:rsidRPr="008D2144">
        <w:rPr>
          <w:rFonts w:asciiTheme="majorBidi" w:hAnsiTheme="majorBidi" w:cstheme="majorBidi"/>
          <w:b/>
          <w:bCs/>
          <w:i/>
          <w:iCs/>
          <w:sz w:val="21"/>
          <w:szCs w:val="21"/>
        </w:rPr>
        <w:t>October 7</w:t>
      </w:r>
      <w:r w:rsidRPr="008D2144">
        <w:rPr>
          <w:rFonts w:asciiTheme="majorBidi" w:hAnsiTheme="majorBidi" w:cstheme="majorBidi"/>
          <w:b/>
          <w:bCs/>
          <w:i/>
          <w:iCs/>
          <w:sz w:val="21"/>
          <w:szCs w:val="21"/>
        </w:rPr>
        <w:t>, 2019</w:t>
      </w:r>
      <w:r w:rsidR="00CB4371" w:rsidRPr="00EE042B">
        <w:rPr>
          <w:rFonts w:asciiTheme="majorBidi" w:hAnsiTheme="majorBidi" w:cstheme="majorBidi"/>
          <w:i/>
          <w:iCs/>
          <w:sz w:val="21"/>
          <w:szCs w:val="21"/>
        </w:rPr>
        <w:t xml:space="preserve"> </w:t>
      </w:r>
      <w:r w:rsidR="00B03711">
        <w:rPr>
          <w:rFonts w:asciiTheme="majorBidi" w:hAnsiTheme="majorBidi" w:cstheme="majorBidi"/>
          <w:i/>
          <w:iCs/>
          <w:sz w:val="21"/>
          <w:szCs w:val="21"/>
        </w:rPr>
        <w:t>F</w:t>
      </w:r>
      <w:r w:rsidR="00B03711" w:rsidRPr="00B03711">
        <w:rPr>
          <w:rFonts w:asciiTheme="majorBidi" w:hAnsiTheme="majorBidi" w:cstheme="majorBidi"/>
          <w:i/>
          <w:iCs/>
          <w:color w:val="000000"/>
          <w:sz w:val="21"/>
          <w:szCs w:val="21"/>
        </w:rPr>
        <w:t>IRST ENERGY METALS ENTERS BINDING LETTER OF INTENT AND ANNOUNCES CHANGES TO ITS BOARD OF DIRECTORS</w:t>
      </w:r>
    </w:p>
    <w:p w14:paraId="54CF6D07" w14:textId="77777777" w:rsidR="00B03711" w:rsidRPr="00B03711" w:rsidRDefault="00B03711" w:rsidP="00B03711">
      <w:pPr>
        <w:pStyle w:val="NormalWeb"/>
        <w:rPr>
          <w:rFonts w:asciiTheme="majorBidi" w:hAnsiTheme="majorBidi" w:cstheme="majorBidi"/>
          <w:i/>
          <w:iCs/>
          <w:color w:val="000000"/>
          <w:sz w:val="21"/>
          <w:szCs w:val="21"/>
        </w:rPr>
      </w:pPr>
      <w:r w:rsidRPr="00B03711">
        <w:rPr>
          <w:rFonts w:asciiTheme="majorBidi" w:hAnsiTheme="majorBidi" w:cstheme="majorBidi"/>
          <w:i/>
          <w:iCs/>
          <w:color w:val="000000"/>
          <w:sz w:val="21"/>
          <w:szCs w:val="21"/>
        </w:rPr>
        <w:t xml:space="preserve">First Energy Metals Ltd. has entered into a binding letter of intent (LOI) with </w:t>
      </w:r>
      <w:proofErr w:type="spellStart"/>
      <w:r w:rsidRPr="00B03711">
        <w:rPr>
          <w:rFonts w:asciiTheme="majorBidi" w:hAnsiTheme="majorBidi" w:cstheme="majorBidi"/>
          <w:i/>
          <w:iCs/>
          <w:color w:val="000000"/>
          <w:sz w:val="21"/>
          <w:szCs w:val="21"/>
        </w:rPr>
        <w:t>Muzhu</w:t>
      </w:r>
      <w:proofErr w:type="spellEnd"/>
      <w:r w:rsidRPr="00B03711">
        <w:rPr>
          <w:rFonts w:asciiTheme="majorBidi" w:hAnsiTheme="majorBidi" w:cstheme="majorBidi"/>
          <w:i/>
          <w:iCs/>
          <w:color w:val="000000"/>
          <w:sz w:val="21"/>
          <w:szCs w:val="21"/>
        </w:rPr>
        <w:t xml:space="preserve"> Mining Ltd., a private corporation incorporated in British Columbia, to acquire all of its issued and outstanding shares, subject to the following conditions being met:</w:t>
      </w:r>
    </w:p>
    <w:p w14:paraId="349692DD" w14:textId="77777777" w:rsidR="00B03711" w:rsidRPr="00B03711" w:rsidRDefault="00B03711" w:rsidP="00B03711">
      <w:pPr>
        <w:numPr>
          <w:ilvl w:val="0"/>
          <w:numId w:val="31"/>
        </w:numPr>
        <w:spacing w:before="100" w:beforeAutospacing="1" w:after="100" w:afterAutospacing="1"/>
        <w:rPr>
          <w:rFonts w:asciiTheme="majorBidi" w:hAnsiTheme="majorBidi" w:cstheme="majorBidi"/>
          <w:i/>
          <w:iCs/>
          <w:color w:val="000000"/>
          <w:sz w:val="21"/>
          <w:szCs w:val="21"/>
        </w:rPr>
      </w:pPr>
      <w:r w:rsidRPr="00B03711">
        <w:rPr>
          <w:rFonts w:asciiTheme="majorBidi" w:hAnsiTheme="majorBidi" w:cstheme="majorBidi"/>
          <w:i/>
          <w:iCs/>
          <w:color w:val="000000"/>
          <w:sz w:val="21"/>
          <w:szCs w:val="21"/>
        </w:rPr>
        <w:t xml:space="preserve">Completion of a National Instrument 43-101-compliant report on the Xiao </w:t>
      </w:r>
      <w:proofErr w:type="spellStart"/>
      <w:r w:rsidRPr="00B03711">
        <w:rPr>
          <w:rFonts w:asciiTheme="majorBidi" w:hAnsiTheme="majorBidi" w:cstheme="majorBidi"/>
          <w:i/>
          <w:iCs/>
          <w:color w:val="000000"/>
          <w:sz w:val="21"/>
          <w:szCs w:val="21"/>
        </w:rPr>
        <w:t>Wa</w:t>
      </w:r>
      <w:proofErr w:type="spellEnd"/>
      <w:r w:rsidRPr="00B03711">
        <w:rPr>
          <w:rFonts w:asciiTheme="majorBidi" w:hAnsiTheme="majorBidi" w:cstheme="majorBidi"/>
          <w:i/>
          <w:iCs/>
          <w:color w:val="000000"/>
          <w:sz w:val="21"/>
          <w:szCs w:val="21"/>
        </w:rPr>
        <w:t xml:space="preserve"> Gou property;</w:t>
      </w:r>
    </w:p>
    <w:p w14:paraId="0F8D02A7" w14:textId="77777777" w:rsidR="00B03711" w:rsidRPr="00B03711" w:rsidRDefault="00B03711" w:rsidP="00B03711">
      <w:pPr>
        <w:numPr>
          <w:ilvl w:val="0"/>
          <w:numId w:val="31"/>
        </w:numPr>
        <w:spacing w:before="100" w:beforeAutospacing="1" w:after="100" w:afterAutospacing="1"/>
        <w:rPr>
          <w:rFonts w:asciiTheme="majorBidi" w:hAnsiTheme="majorBidi" w:cstheme="majorBidi"/>
          <w:i/>
          <w:iCs/>
          <w:color w:val="000000"/>
          <w:sz w:val="21"/>
          <w:szCs w:val="21"/>
        </w:rPr>
      </w:pPr>
      <w:r w:rsidRPr="00B03711">
        <w:rPr>
          <w:rFonts w:asciiTheme="majorBidi" w:hAnsiTheme="majorBidi" w:cstheme="majorBidi"/>
          <w:i/>
          <w:iCs/>
          <w:color w:val="000000"/>
          <w:sz w:val="21"/>
          <w:szCs w:val="21"/>
        </w:rPr>
        <w:t>Completion of a debt or equity financing, of which terms will be announced in a subsequent news release.</w:t>
      </w:r>
    </w:p>
    <w:p w14:paraId="2FAB7665" w14:textId="77777777" w:rsidR="00B03711" w:rsidRPr="00B03711" w:rsidRDefault="00B03711" w:rsidP="00B03711">
      <w:pPr>
        <w:pStyle w:val="NormalWeb"/>
        <w:rPr>
          <w:rFonts w:asciiTheme="majorBidi" w:hAnsiTheme="majorBidi" w:cstheme="majorBidi"/>
          <w:i/>
          <w:iCs/>
          <w:color w:val="000000"/>
          <w:sz w:val="21"/>
          <w:szCs w:val="21"/>
        </w:rPr>
      </w:pPr>
      <w:r w:rsidRPr="00B03711">
        <w:rPr>
          <w:rFonts w:asciiTheme="majorBidi" w:hAnsiTheme="majorBidi" w:cstheme="majorBidi"/>
          <w:i/>
          <w:iCs/>
          <w:color w:val="000000"/>
          <w:sz w:val="21"/>
          <w:szCs w:val="21"/>
        </w:rPr>
        <w:t>Further details of the transaction will be provided on or prior to completion of the above conditions and closing of the transaction is subject to obtaining all required approvals, including the Canadian Securities Exchange and shareholder approval if required.</w:t>
      </w:r>
    </w:p>
    <w:p w14:paraId="5587CAB3" w14:textId="77777777" w:rsidR="00CB4371" w:rsidRPr="00634AA7" w:rsidRDefault="00CB4371" w:rsidP="00634AA7">
      <w:pPr>
        <w:spacing w:before="120"/>
        <w:ind w:left="720"/>
        <w:jc w:val="both"/>
        <w:rPr>
          <w:rFonts w:ascii="Arial" w:hAnsi="Arial" w:cs="Arial"/>
        </w:rPr>
      </w:pPr>
      <w:bookmarkStart w:id="5" w:name="_GoBack"/>
      <w:bookmarkEnd w:id="5"/>
    </w:p>
    <w:p w14:paraId="1A50D201" w14:textId="04EC321E"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44B5720" w14:textId="794672C0" w:rsidR="00360983" w:rsidRDefault="00781288" w:rsidP="00360983">
      <w:pPr>
        <w:pStyle w:val="List"/>
        <w:spacing w:before="120"/>
        <w:ind w:left="720" w:firstLine="0"/>
        <w:jc w:val="both"/>
        <w:rPr>
          <w:rFonts w:ascii="Arial" w:hAnsi="Arial"/>
        </w:rPr>
      </w:pPr>
      <w:r>
        <w:rPr>
          <w:rFonts w:ascii="Arial" w:hAnsi="Arial"/>
        </w:rPr>
        <w:t>N/A</w:t>
      </w:r>
    </w:p>
    <w:p w14:paraId="29952B09" w14:textId="74FD5696"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5EFB912" w14:textId="4F5A7817" w:rsidR="00360983" w:rsidRDefault="00360983" w:rsidP="00360983">
      <w:pPr>
        <w:pStyle w:val="List"/>
        <w:spacing w:before="120"/>
        <w:ind w:left="720" w:firstLine="0"/>
        <w:jc w:val="both"/>
        <w:rPr>
          <w:rFonts w:ascii="Arial" w:hAnsi="Arial"/>
        </w:rPr>
      </w:pPr>
      <w:r>
        <w:rPr>
          <w:rFonts w:ascii="Arial" w:hAnsi="Arial"/>
        </w:rPr>
        <w:t>N/A</w:t>
      </w:r>
    </w:p>
    <w:p w14:paraId="5AA0B45C" w14:textId="5CBDEAD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CE7F853" w14:textId="5B5C5919" w:rsidR="00360983" w:rsidRDefault="00360983" w:rsidP="00360983">
      <w:pPr>
        <w:pStyle w:val="List"/>
        <w:spacing w:before="120"/>
        <w:ind w:left="720" w:firstLine="0"/>
        <w:jc w:val="both"/>
        <w:rPr>
          <w:rFonts w:ascii="Arial" w:hAnsi="Arial"/>
        </w:rPr>
      </w:pPr>
      <w:r>
        <w:rPr>
          <w:rFonts w:ascii="Arial" w:hAnsi="Arial"/>
        </w:rPr>
        <w:t>N/A</w:t>
      </w:r>
    </w:p>
    <w:p w14:paraId="6234212F" w14:textId="2A8B8C7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A905F48" w14:textId="3B45D3ED" w:rsidR="00360983" w:rsidRDefault="00360983" w:rsidP="00360983">
      <w:pPr>
        <w:pStyle w:val="List"/>
        <w:spacing w:before="120"/>
        <w:ind w:left="720" w:firstLine="0"/>
        <w:jc w:val="both"/>
        <w:rPr>
          <w:rFonts w:ascii="Arial" w:hAnsi="Arial"/>
        </w:rPr>
      </w:pPr>
      <w:r>
        <w:rPr>
          <w:rFonts w:ascii="Arial" w:hAnsi="Arial"/>
        </w:rPr>
        <w:t>N/A</w:t>
      </w:r>
    </w:p>
    <w:p w14:paraId="04E9FA45" w14:textId="00DFEE03"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9BAA46F" w14:textId="68FE207D" w:rsidR="00360983" w:rsidRDefault="00360983" w:rsidP="00360983">
      <w:pPr>
        <w:pStyle w:val="List"/>
        <w:spacing w:before="120"/>
        <w:ind w:left="720" w:firstLine="0"/>
        <w:jc w:val="both"/>
        <w:rPr>
          <w:rFonts w:ascii="Arial" w:hAnsi="Arial"/>
        </w:rPr>
      </w:pPr>
      <w:r>
        <w:rPr>
          <w:rFonts w:ascii="Arial" w:hAnsi="Arial"/>
        </w:rPr>
        <w:t>N/A</w:t>
      </w:r>
    </w:p>
    <w:p w14:paraId="1F32D5A7" w14:textId="78313DDD"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41F3B0D" w14:textId="3D74B146" w:rsidR="00360983" w:rsidRDefault="00360983" w:rsidP="00360983">
      <w:pPr>
        <w:pStyle w:val="List"/>
        <w:spacing w:before="120"/>
        <w:ind w:left="720" w:firstLine="0"/>
        <w:jc w:val="both"/>
        <w:rPr>
          <w:rFonts w:ascii="Arial" w:hAnsi="Arial"/>
        </w:rPr>
      </w:pPr>
      <w:r>
        <w:rPr>
          <w:rFonts w:ascii="Arial" w:hAnsi="Arial"/>
        </w:rPr>
        <w:t>N/A</w:t>
      </w:r>
    </w:p>
    <w:p w14:paraId="7C3B1E10" w14:textId="40C19FC6"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F1B447F" w14:textId="7CF0B3E3" w:rsidR="00360983" w:rsidRDefault="00360983" w:rsidP="00360983">
      <w:pPr>
        <w:pStyle w:val="List"/>
        <w:spacing w:before="120"/>
        <w:ind w:left="720" w:firstLine="0"/>
        <w:jc w:val="both"/>
        <w:rPr>
          <w:rFonts w:ascii="Arial" w:hAnsi="Arial"/>
        </w:rPr>
      </w:pPr>
      <w:r>
        <w:rPr>
          <w:rFonts w:ascii="Arial" w:hAnsi="Arial"/>
        </w:rPr>
        <w:t>N/A</w:t>
      </w:r>
    </w:p>
    <w:p w14:paraId="02FD4713" w14:textId="3932067F"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F3019DE" w14:textId="05003641" w:rsidR="00360983" w:rsidRDefault="00360983" w:rsidP="00360983">
      <w:pPr>
        <w:pStyle w:val="List"/>
        <w:spacing w:before="120"/>
        <w:ind w:left="720" w:firstLine="0"/>
        <w:jc w:val="both"/>
        <w:rPr>
          <w:rFonts w:ascii="Arial" w:hAnsi="Arial"/>
        </w:rPr>
      </w:pPr>
      <w:r>
        <w:rPr>
          <w:rFonts w:ascii="Arial" w:hAnsi="Arial"/>
        </w:rPr>
        <w:t>N/A</w:t>
      </w:r>
    </w:p>
    <w:p w14:paraId="499C4FBC" w14:textId="66E7241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C6075D9" w14:textId="66DA12D6" w:rsidR="007B362D" w:rsidRDefault="00D04937" w:rsidP="007B362D">
      <w:pPr>
        <w:pStyle w:val="List"/>
        <w:spacing w:before="120"/>
        <w:ind w:left="720" w:firstLine="0"/>
        <w:jc w:val="both"/>
        <w:rPr>
          <w:rFonts w:ascii="Arial" w:hAnsi="Arial"/>
        </w:rPr>
      </w:pPr>
      <w:r>
        <w:rPr>
          <w:rFonts w:ascii="Arial" w:hAnsi="Arial"/>
        </w:rPr>
        <w:t>N/A</w:t>
      </w:r>
      <w:r w:rsidR="007B362D">
        <w:rPr>
          <w:rFonts w:ascii="Arial" w:hAnsi="Arial"/>
        </w:rPr>
        <w:t xml:space="preserve"> </w:t>
      </w:r>
    </w:p>
    <w:p w14:paraId="0CABC31B" w14:textId="7014CC32"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68EA8C81" w14:textId="33152495" w:rsidR="00360983" w:rsidRDefault="00360983" w:rsidP="00360983">
      <w:pPr>
        <w:pStyle w:val="List"/>
        <w:spacing w:before="120"/>
        <w:ind w:left="720" w:firstLine="0"/>
        <w:jc w:val="both"/>
        <w:rPr>
          <w:rFonts w:ascii="Arial" w:hAnsi="Arial"/>
        </w:rPr>
      </w:pPr>
      <w:r>
        <w:rPr>
          <w:rFonts w:ascii="Arial" w:hAnsi="Arial"/>
        </w:rPr>
        <w:t>N/A</w:t>
      </w:r>
    </w:p>
    <w:p w14:paraId="3468AB3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E7C3C1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5F8BA4F" w14:textId="77777777">
        <w:tc>
          <w:tcPr>
            <w:tcW w:w="2394" w:type="dxa"/>
          </w:tcPr>
          <w:p w14:paraId="6F1AD8A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F79B9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D19175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6A07D6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2893EEB4" w14:textId="77777777">
        <w:tc>
          <w:tcPr>
            <w:tcW w:w="2394" w:type="dxa"/>
          </w:tcPr>
          <w:p w14:paraId="021017E8" w14:textId="11F643BA" w:rsidR="00640E94" w:rsidRDefault="00D14DE3">
            <w:pPr>
              <w:pStyle w:val="List"/>
              <w:tabs>
                <w:tab w:val="left" w:pos="360"/>
              </w:tabs>
              <w:spacing w:before="0" w:line="280" w:lineRule="exact"/>
              <w:ind w:left="0" w:firstLine="0"/>
              <w:jc w:val="both"/>
              <w:rPr>
                <w:rFonts w:ascii="Arial" w:hAnsi="Arial"/>
              </w:rPr>
            </w:pPr>
            <w:r>
              <w:rPr>
                <w:rFonts w:ascii="Arial" w:hAnsi="Arial"/>
              </w:rPr>
              <w:t>N/A</w:t>
            </w:r>
          </w:p>
        </w:tc>
        <w:tc>
          <w:tcPr>
            <w:tcW w:w="2394" w:type="dxa"/>
          </w:tcPr>
          <w:p w14:paraId="3E71E36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D517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F9A2BED" w14:textId="77777777" w:rsidR="00640E94" w:rsidRDefault="00640E94">
            <w:pPr>
              <w:pStyle w:val="List"/>
              <w:tabs>
                <w:tab w:val="left" w:pos="360"/>
              </w:tabs>
              <w:spacing w:before="0" w:line="280" w:lineRule="exact"/>
              <w:ind w:left="0" w:firstLine="0"/>
              <w:jc w:val="both"/>
              <w:rPr>
                <w:rFonts w:ascii="Arial" w:hAnsi="Arial"/>
              </w:rPr>
            </w:pPr>
          </w:p>
        </w:tc>
      </w:tr>
      <w:tr w:rsidR="00640E94" w14:paraId="3B57CDF6" w14:textId="77777777">
        <w:tc>
          <w:tcPr>
            <w:tcW w:w="2394" w:type="dxa"/>
          </w:tcPr>
          <w:p w14:paraId="4E392D6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290BE1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5D925C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68A8687" w14:textId="77777777" w:rsidR="00640E94" w:rsidRDefault="00640E94">
            <w:pPr>
              <w:pStyle w:val="List"/>
              <w:tabs>
                <w:tab w:val="left" w:pos="360"/>
              </w:tabs>
              <w:spacing w:before="0" w:line="280" w:lineRule="exact"/>
              <w:ind w:left="0" w:firstLine="0"/>
              <w:jc w:val="both"/>
              <w:rPr>
                <w:rFonts w:ascii="Arial" w:hAnsi="Arial"/>
              </w:rPr>
            </w:pPr>
          </w:p>
        </w:tc>
      </w:tr>
      <w:tr w:rsidR="00640E94" w14:paraId="2E8BC4A1" w14:textId="77777777">
        <w:tc>
          <w:tcPr>
            <w:tcW w:w="2394" w:type="dxa"/>
          </w:tcPr>
          <w:p w14:paraId="32853AB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C29A0D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40B702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5DB7105" w14:textId="77777777" w:rsidR="00640E94" w:rsidRDefault="00640E94">
            <w:pPr>
              <w:pStyle w:val="List"/>
              <w:tabs>
                <w:tab w:val="left" w:pos="360"/>
              </w:tabs>
              <w:spacing w:before="0" w:line="280" w:lineRule="exact"/>
              <w:ind w:left="0" w:firstLine="0"/>
              <w:jc w:val="both"/>
              <w:rPr>
                <w:rFonts w:ascii="Arial" w:hAnsi="Arial"/>
              </w:rPr>
            </w:pPr>
          </w:p>
        </w:tc>
      </w:tr>
    </w:tbl>
    <w:p w14:paraId="430318F9"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8E1E30B" w14:textId="4D293B1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1CC24AA" w14:textId="51C08C38" w:rsidR="00360983" w:rsidRDefault="00360983" w:rsidP="00360983">
      <w:pPr>
        <w:pStyle w:val="List"/>
        <w:keepNext/>
        <w:keepLines/>
        <w:spacing w:before="120"/>
        <w:ind w:left="720" w:firstLine="0"/>
        <w:jc w:val="both"/>
        <w:rPr>
          <w:rFonts w:ascii="Arial" w:hAnsi="Arial"/>
        </w:rPr>
      </w:pPr>
      <w:r>
        <w:rPr>
          <w:rFonts w:ascii="Arial" w:hAnsi="Arial"/>
        </w:rPr>
        <w:t>N/A</w:t>
      </w:r>
    </w:p>
    <w:p w14:paraId="2FC06C65" w14:textId="2B5E3CB3" w:rsidR="008D2144" w:rsidRPr="008D2144" w:rsidRDefault="00640E94" w:rsidP="008D214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9E3C421" w14:textId="624340F0" w:rsidR="008D2144" w:rsidRPr="00B03711" w:rsidRDefault="008D2144" w:rsidP="008D2144">
      <w:pPr>
        <w:pStyle w:val="NormalWeb"/>
        <w:rPr>
          <w:rFonts w:asciiTheme="majorBidi" w:hAnsiTheme="majorBidi" w:cstheme="majorBidi"/>
          <w:i/>
          <w:iCs/>
          <w:color w:val="000000"/>
          <w:sz w:val="21"/>
          <w:szCs w:val="21"/>
        </w:rPr>
      </w:pPr>
      <w:r>
        <w:rPr>
          <w:rFonts w:ascii="Arial" w:hAnsi="Arial"/>
        </w:rPr>
        <w:tab/>
      </w:r>
      <w:r w:rsidRPr="008D2144">
        <w:rPr>
          <w:rFonts w:asciiTheme="majorBidi" w:hAnsiTheme="majorBidi" w:cstheme="majorBidi"/>
          <w:i/>
          <w:iCs/>
          <w:sz w:val="21"/>
          <w:szCs w:val="21"/>
        </w:rPr>
        <w:t xml:space="preserve"> </w:t>
      </w:r>
      <w:r w:rsidRPr="00EE042B">
        <w:rPr>
          <w:rFonts w:asciiTheme="majorBidi" w:hAnsiTheme="majorBidi" w:cstheme="majorBidi"/>
          <w:i/>
          <w:iCs/>
          <w:sz w:val="21"/>
          <w:szCs w:val="21"/>
        </w:rPr>
        <w:t xml:space="preserve">On </w:t>
      </w:r>
      <w:r w:rsidRPr="008D2144">
        <w:rPr>
          <w:rFonts w:asciiTheme="majorBidi" w:hAnsiTheme="majorBidi" w:cstheme="majorBidi"/>
          <w:b/>
          <w:bCs/>
          <w:i/>
          <w:iCs/>
          <w:sz w:val="21"/>
          <w:szCs w:val="21"/>
        </w:rPr>
        <w:t xml:space="preserve">October </w:t>
      </w:r>
      <w:r>
        <w:rPr>
          <w:rFonts w:asciiTheme="majorBidi" w:hAnsiTheme="majorBidi" w:cstheme="majorBidi"/>
          <w:b/>
          <w:bCs/>
          <w:i/>
          <w:iCs/>
          <w:sz w:val="21"/>
          <w:szCs w:val="21"/>
        </w:rPr>
        <w:t>07</w:t>
      </w:r>
      <w:r w:rsidRPr="008D2144">
        <w:rPr>
          <w:rFonts w:asciiTheme="majorBidi" w:hAnsiTheme="majorBidi" w:cstheme="majorBidi"/>
          <w:b/>
          <w:bCs/>
          <w:i/>
          <w:iCs/>
          <w:sz w:val="21"/>
          <w:szCs w:val="21"/>
        </w:rPr>
        <w:t>, 2019</w:t>
      </w:r>
      <w:r>
        <w:rPr>
          <w:rFonts w:asciiTheme="majorBidi" w:hAnsiTheme="majorBidi" w:cstheme="majorBidi"/>
          <w:i/>
          <w:iCs/>
          <w:sz w:val="21"/>
          <w:szCs w:val="21"/>
        </w:rPr>
        <w:t xml:space="preserve"> First Energy </w:t>
      </w:r>
      <w:r w:rsidRPr="00B03711">
        <w:rPr>
          <w:rFonts w:asciiTheme="majorBidi" w:hAnsiTheme="majorBidi" w:cstheme="majorBidi"/>
          <w:i/>
          <w:iCs/>
          <w:color w:val="000000"/>
          <w:sz w:val="21"/>
          <w:szCs w:val="21"/>
        </w:rPr>
        <w:t>announce</w:t>
      </w:r>
      <w:r>
        <w:rPr>
          <w:rFonts w:asciiTheme="majorBidi" w:hAnsiTheme="majorBidi" w:cstheme="majorBidi"/>
          <w:i/>
          <w:iCs/>
          <w:color w:val="000000"/>
          <w:sz w:val="21"/>
          <w:szCs w:val="21"/>
        </w:rPr>
        <w:t>d</w:t>
      </w:r>
      <w:r w:rsidRPr="00B03711">
        <w:rPr>
          <w:rFonts w:asciiTheme="majorBidi" w:hAnsiTheme="majorBidi" w:cstheme="majorBidi"/>
          <w:i/>
          <w:iCs/>
          <w:color w:val="000000"/>
          <w:sz w:val="21"/>
          <w:szCs w:val="21"/>
        </w:rPr>
        <w:t xml:space="preserve"> it has appointed Craig Alford to its board of directors.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Concurrently, Muzaffar Sultan has resigned from the board to focus on other business ventures. The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company thanks Mr. Sultan for his contribution to the company and wishes him well in his future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endeavours.</w:t>
      </w:r>
      <w:r w:rsidRPr="00B03711">
        <w:rPr>
          <w:rStyle w:val="apple-converted-space"/>
          <w:rFonts w:asciiTheme="majorBidi" w:hAnsiTheme="majorBidi" w:cstheme="majorBidi"/>
          <w:i/>
          <w:iCs/>
          <w:color w:val="000000"/>
          <w:sz w:val="21"/>
          <w:szCs w:val="21"/>
        </w:rPr>
        <w:t> </w:t>
      </w:r>
    </w:p>
    <w:p w14:paraId="61E8181A" w14:textId="5917552A" w:rsidR="008D2144" w:rsidRPr="00B03711" w:rsidRDefault="008D2144" w:rsidP="008D2144">
      <w:pPr>
        <w:pStyle w:val="NormalWeb"/>
        <w:rPr>
          <w:rFonts w:asciiTheme="majorBidi" w:hAnsiTheme="majorBidi" w:cstheme="majorBidi"/>
          <w:i/>
          <w:iCs/>
          <w:color w:val="000000"/>
          <w:sz w:val="21"/>
          <w:szCs w:val="21"/>
        </w:rPr>
      </w:pP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Mr. Alford is a professional geoscientist with over 33 years of experience in mineral exploration and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development. Throughout his career, he has managed large exploration projects in North America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and South America, several Central Asian Republics, Russia, Australia, and Africa. This experience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has included independent consulting assignments and positions within the management of major and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junior company exploration companies.</w:t>
      </w:r>
    </w:p>
    <w:p w14:paraId="1FF18FCA" w14:textId="14D56F34" w:rsidR="008D2144" w:rsidRPr="00B03711" w:rsidRDefault="008D2144" w:rsidP="008D2144">
      <w:pPr>
        <w:pStyle w:val="NormalWeb"/>
        <w:rPr>
          <w:rFonts w:asciiTheme="majorBidi" w:hAnsiTheme="majorBidi" w:cstheme="majorBidi"/>
          <w:i/>
          <w:iCs/>
          <w:color w:val="000000"/>
          <w:sz w:val="21"/>
          <w:szCs w:val="21"/>
        </w:rPr>
      </w:pP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More recently, Mr. Alford was the deputy general manager for one of China's largest mining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companies, Zijin Mining Group of China, whereby his sole responsibility was to identify and assess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projects for mergers and acquisitions. During his tenure there Mr. Alford met and negotiated with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several heads of state and many executives in the mining communities of China, Canada, Central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Asia, Africa and Australia. During his time with Zijin, several successful partnerships and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acquisitions were made by his division, specifically the </w:t>
      </w:r>
      <w:proofErr w:type="spellStart"/>
      <w:r w:rsidRPr="00B03711">
        <w:rPr>
          <w:rFonts w:asciiTheme="majorBidi" w:hAnsiTheme="majorBidi" w:cstheme="majorBidi"/>
          <w:i/>
          <w:iCs/>
          <w:color w:val="000000"/>
          <w:sz w:val="21"/>
          <w:szCs w:val="21"/>
        </w:rPr>
        <w:t>Kamoa</w:t>
      </w:r>
      <w:proofErr w:type="spellEnd"/>
      <w:r w:rsidRPr="00B03711">
        <w:rPr>
          <w:rFonts w:asciiTheme="majorBidi" w:hAnsiTheme="majorBidi" w:cstheme="majorBidi"/>
          <w:i/>
          <w:iCs/>
          <w:color w:val="000000"/>
          <w:sz w:val="21"/>
          <w:szCs w:val="21"/>
        </w:rPr>
        <w:t xml:space="preserve"> copper project with Ivanhoe Mines, the </w:t>
      </w:r>
      <w:r>
        <w:rPr>
          <w:rFonts w:asciiTheme="majorBidi" w:hAnsiTheme="majorBidi" w:cstheme="majorBidi"/>
          <w:i/>
          <w:iCs/>
          <w:color w:val="000000"/>
          <w:sz w:val="21"/>
          <w:szCs w:val="21"/>
        </w:rPr>
        <w:tab/>
      </w:r>
      <w:proofErr w:type="spellStart"/>
      <w:r w:rsidRPr="00B03711">
        <w:rPr>
          <w:rFonts w:asciiTheme="majorBidi" w:hAnsiTheme="majorBidi" w:cstheme="majorBidi"/>
          <w:i/>
          <w:iCs/>
          <w:color w:val="000000"/>
          <w:sz w:val="21"/>
          <w:szCs w:val="21"/>
        </w:rPr>
        <w:t>Porgera</w:t>
      </w:r>
      <w:proofErr w:type="spellEnd"/>
      <w:r w:rsidRPr="00B03711">
        <w:rPr>
          <w:rFonts w:asciiTheme="majorBidi" w:hAnsiTheme="majorBidi" w:cstheme="majorBidi"/>
          <w:i/>
          <w:iCs/>
          <w:color w:val="000000"/>
          <w:sz w:val="21"/>
          <w:szCs w:val="21"/>
        </w:rPr>
        <w:t xml:space="preserve"> project with Barrick, the </w:t>
      </w:r>
      <w:proofErr w:type="spellStart"/>
      <w:r w:rsidRPr="00B03711">
        <w:rPr>
          <w:rFonts w:asciiTheme="majorBidi" w:hAnsiTheme="majorBidi" w:cstheme="majorBidi"/>
          <w:i/>
          <w:iCs/>
          <w:color w:val="000000"/>
          <w:sz w:val="21"/>
          <w:szCs w:val="21"/>
        </w:rPr>
        <w:t>Taldybulak</w:t>
      </w:r>
      <w:proofErr w:type="spellEnd"/>
      <w:r w:rsidRPr="00B03711">
        <w:rPr>
          <w:rFonts w:asciiTheme="majorBidi" w:hAnsiTheme="majorBidi" w:cstheme="majorBidi"/>
          <w:i/>
          <w:iCs/>
          <w:color w:val="000000"/>
          <w:sz w:val="21"/>
          <w:szCs w:val="21"/>
        </w:rPr>
        <w:t xml:space="preserve"> mine in Kyrgyzstan and the Paddington gold mine in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Western Australia.</w:t>
      </w:r>
      <w:r w:rsidRPr="00B03711">
        <w:rPr>
          <w:rStyle w:val="apple-converted-space"/>
          <w:rFonts w:asciiTheme="majorBidi" w:hAnsiTheme="majorBidi" w:cstheme="majorBidi"/>
          <w:i/>
          <w:iCs/>
          <w:color w:val="000000"/>
          <w:sz w:val="21"/>
          <w:szCs w:val="21"/>
        </w:rPr>
        <w:t> </w:t>
      </w:r>
    </w:p>
    <w:p w14:paraId="1125F2E8" w14:textId="03835F9A" w:rsidR="008D2144" w:rsidRPr="00B03711" w:rsidRDefault="008D2144" w:rsidP="008D2144">
      <w:pPr>
        <w:pStyle w:val="NormalWeb"/>
        <w:rPr>
          <w:rFonts w:asciiTheme="majorBidi" w:hAnsiTheme="majorBidi" w:cstheme="majorBidi"/>
          <w:i/>
          <w:iCs/>
          <w:color w:val="000000"/>
          <w:sz w:val="21"/>
          <w:szCs w:val="21"/>
        </w:rPr>
      </w:pP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Mr. Alford holds both a </w:t>
      </w:r>
      <w:proofErr w:type="gramStart"/>
      <w:r w:rsidRPr="00B03711">
        <w:rPr>
          <w:rFonts w:asciiTheme="majorBidi" w:hAnsiTheme="majorBidi" w:cstheme="majorBidi"/>
          <w:i/>
          <w:iCs/>
          <w:color w:val="000000"/>
          <w:sz w:val="21"/>
          <w:szCs w:val="21"/>
        </w:rPr>
        <w:t>bachelor of science</w:t>
      </w:r>
      <w:proofErr w:type="gramEnd"/>
      <w:r w:rsidRPr="00B03711">
        <w:rPr>
          <w:rFonts w:asciiTheme="majorBidi" w:hAnsiTheme="majorBidi" w:cstheme="majorBidi"/>
          <w:i/>
          <w:iCs/>
          <w:color w:val="000000"/>
          <w:sz w:val="21"/>
          <w:szCs w:val="21"/>
        </w:rPr>
        <w:t xml:space="preserve"> (honours) and a master of science in geology and is a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qualified person under Canadian National Instrument 43-101. He has authored a number of technical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reports for public companies and has been published in scientific journals in Europe and North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American, including Tectonophysics and the Journal of Structural Geology.</w:t>
      </w:r>
    </w:p>
    <w:p w14:paraId="77E45C6F" w14:textId="284F069E" w:rsidR="008D2144" w:rsidRDefault="008D2144" w:rsidP="008D2144">
      <w:pPr>
        <w:pStyle w:val="NormalWeb"/>
        <w:rPr>
          <w:rFonts w:asciiTheme="majorBidi" w:hAnsiTheme="majorBidi" w:cstheme="majorBidi"/>
          <w:i/>
          <w:iCs/>
          <w:color w:val="000000"/>
          <w:sz w:val="21"/>
          <w:szCs w:val="21"/>
        </w:rPr>
      </w:pP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The company also is pleased to announce it was added Anthony Tam to its advisory board. Mr. Tam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holds a </w:t>
      </w:r>
      <w:proofErr w:type="gramStart"/>
      <w:r w:rsidRPr="00B03711">
        <w:rPr>
          <w:rFonts w:asciiTheme="majorBidi" w:hAnsiTheme="majorBidi" w:cstheme="majorBidi"/>
          <w:i/>
          <w:iCs/>
          <w:color w:val="000000"/>
          <w:sz w:val="21"/>
          <w:szCs w:val="21"/>
        </w:rPr>
        <w:t>bachelor of science</w:t>
      </w:r>
      <w:proofErr w:type="gramEnd"/>
      <w:r w:rsidRPr="00B03711">
        <w:rPr>
          <w:rFonts w:asciiTheme="majorBidi" w:hAnsiTheme="majorBidi" w:cstheme="majorBidi"/>
          <w:i/>
          <w:iCs/>
          <w:color w:val="000000"/>
          <w:sz w:val="21"/>
          <w:szCs w:val="21"/>
        </w:rPr>
        <w:t xml:space="preserve"> in engineering physics and mining engineering from Queens University, in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addition to holding a certified public accountant designation. Mr. Tam brings over 25 years of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experience in the mining industry, including numerous management positions with both public and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private companies in North America and China. He has been successful in negotiating various joint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venture agreements in China, along with conducting preliminary geological and engineering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assessments of mineral properties.</w:t>
      </w:r>
    </w:p>
    <w:p w14:paraId="1786E07F" w14:textId="4800B9F4" w:rsidR="008D2144" w:rsidRDefault="008D2144" w:rsidP="008D2144">
      <w:pPr>
        <w:spacing w:before="100" w:beforeAutospacing="1" w:after="100" w:afterAutospacing="1"/>
        <w:rPr>
          <w:rFonts w:asciiTheme="majorBidi" w:hAnsiTheme="majorBidi" w:cstheme="majorBidi"/>
          <w:i/>
          <w:iCs/>
          <w:sz w:val="21"/>
          <w:szCs w:val="21"/>
        </w:rPr>
      </w:pPr>
      <w:r>
        <w:rPr>
          <w:rFonts w:ascii="Arial" w:hAnsi="Arial"/>
        </w:rPr>
        <w:lastRenderedPageBreak/>
        <w:tab/>
      </w:r>
      <w:r w:rsidRPr="00EE042B">
        <w:rPr>
          <w:rFonts w:asciiTheme="majorBidi" w:hAnsiTheme="majorBidi" w:cstheme="majorBidi"/>
          <w:i/>
          <w:iCs/>
          <w:sz w:val="21"/>
          <w:szCs w:val="21"/>
        </w:rPr>
        <w:t xml:space="preserve">On </w:t>
      </w:r>
      <w:r w:rsidRPr="008D2144">
        <w:rPr>
          <w:rFonts w:asciiTheme="majorBidi" w:hAnsiTheme="majorBidi" w:cstheme="majorBidi"/>
          <w:b/>
          <w:bCs/>
          <w:i/>
          <w:iCs/>
          <w:sz w:val="21"/>
          <w:szCs w:val="21"/>
        </w:rPr>
        <w:t>October 23, 2019</w:t>
      </w:r>
      <w:r>
        <w:rPr>
          <w:rFonts w:asciiTheme="majorBidi" w:hAnsiTheme="majorBidi" w:cstheme="majorBidi"/>
          <w:i/>
          <w:iCs/>
          <w:sz w:val="21"/>
          <w:szCs w:val="21"/>
        </w:rPr>
        <w:t xml:space="preserve"> First Energy announced the appointment of Jason Grewal to its board of </w:t>
      </w:r>
      <w:r>
        <w:rPr>
          <w:rFonts w:asciiTheme="majorBidi" w:hAnsiTheme="majorBidi" w:cstheme="majorBidi"/>
          <w:i/>
          <w:iCs/>
          <w:sz w:val="21"/>
          <w:szCs w:val="21"/>
        </w:rPr>
        <w:tab/>
      </w:r>
      <w:r>
        <w:rPr>
          <w:rFonts w:asciiTheme="majorBidi" w:hAnsiTheme="majorBidi" w:cstheme="majorBidi"/>
          <w:i/>
          <w:iCs/>
          <w:sz w:val="21"/>
          <w:szCs w:val="21"/>
        </w:rPr>
        <w:t>directors.</w:t>
      </w:r>
    </w:p>
    <w:p w14:paraId="3F96AC40" w14:textId="368E618E" w:rsidR="008D2144" w:rsidRPr="008D2144" w:rsidRDefault="008D2144" w:rsidP="008D2144">
      <w:pPr>
        <w:pStyle w:val="NormalWeb"/>
        <w:rPr>
          <w:rFonts w:asciiTheme="majorBidi" w:hAnsiTheme="majorBidi" w:cstheme="majorBidi"/>
          <w:i/>
          <w:iCs/>
          <w:color w:val="000000"/>
          <w:sz w:val="21"/>
          <w:szCs w:val="21"/>
        </w:rPr>
      </w:pP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Mr. Grewal is a solicitor in England and Wales and admitted as an attorney in the state of New York.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He has studied law at the London School of </w:t>
      </w:r>
      <w:r w:rsidRPr="00B03711">
        <w:rPr>
          <w:rFonts w:asciiTheme="majorBidi" w:hAnsiTheme="majorBidi" w:cstheme="majorBidi"/>
          <w:i/>
          <w:iCs/>
          <w:color w:val="000000"/>
          <w:sz w:val="21"/>
          <w:szCs w:val="21"/>
        </w:rPr>
        <w:t>Economics and</w:t>
      </w:r>
      <w:r w:rsidRPr="00B03711">
        <w:rPr>
          <w:rFonts w:asciiTheme="majorBidi" w:hAnsiTheme="majorBidi" w:cstheme="majorBidi"/>
          <w:i/>
          <w:iCs/>
          <w:color w:val="000000"/>
          <w:sz w:val="21"/>
          <w:szCs w:val="21"/>
        </w:rPr>
        <w:t xml:space="preserve"> holds a law degree from the University of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London, an LLM in international business law from the IE Law School in Madrid and an MSc in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global finance from Cass Business School in London. He has experience working in Canada, the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United States and the United Kingdom, and in Europe. He has advised on various capital market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transactions in various jurisdictions, and has experience working with both international law firms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and multinational corporations.</w:t>
      </w:r>
    </w:p>
    <w:p w14:paraId="14B57975" w14:textId="08F9C525"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0CCAD2" w14:textId="51A92349" w:rsidR="00360983" w:rsidRDefault="00360983" w:rsidP="00360983">
      <w:pPr>
        <w:pStyle w:val="List"/>
        <w:spacing w:before="120"/>
        <w:ind w:left="720" w:firstLine="0"/>
        <w:jc w:val="both"/>
        <w:rPr>
          <w:rFonts w:ascii="Arial" w:hAnsi="Arial"/>
        </w:rPr>
      </w:pPr>
      <w:r>
        <w:rPr>
          <w:rFonts w:ascii="Arial" w:hAnsi="Arial"/>
        </w:rPr>
        <w:t>N/A</w:t>
      </w:r>
    </w:p>
    <w:p w14:paraId="1101291E" w14:textId="54AF60F4" w:rsidR="00640E94" w:rsidRDefault="00640E94">
      <w:pPr>
        <w:pStyle w:val="List"/>
        <w:keepNext/>
        <w:spacing w:before="120"/>
        <w:ind w:left="0" w:firstLine="0"/>
        <w:rPr>
          <w:rFonts w:ascii="Arial" w:hAnsi="Arial"/>
          <w:b/>
        </w:rPr>
      </w:pPr>
      <w:r>
        <w:rPr>
          <w:rFonts w:ascii="Arial" w:hAnsi="Arial"/>
          <w:b/>
        </w:rPr>
        <w:t xml:space="preserve">Certificate </w:t>
      </w:r>
      <w:r w:rsidR="00982141">
        <w:rPr>
          <w:rFonts w:ascii="Arial" w:hAnsi="Arial"/>
          <w:b/>
        </w:rPr>
        <w:t>o</w:t>
      </w:r>
      <w:r>
        <w:rPr>
          <w:rFonts w:ascii="Arial" w:hAnsi="Arial"/>
          <w:b/>
        </w:rPr>
        <w:t>f Compliance</w:t>
      </w:r>
    </w:p>
    <w:p w14:paraId="74930C6F" w14:textId="77777777" w:rsidR="00640E94" w:rsidRDefault="00640E94">
      <w:pPr>
        <w:pStyle w:val="BodyText"/>
        <w:keepNext/>
        <w:rPr>
          <w:rFonts w:ascii="Arial" w:hAnsi="Arial"/>
        </w:rPr>
      </w:pPr>
      <w:r>
        <w:rPr>
          <w:rFonts w:ascii="Arial" w:hAnsi="Arial"/>
        </w:rPr>
        <w:t>The undersigned hereby certifies that:</w:t>
      </w:r>
    </w:p>
    <w:p w14:paraId="4850E26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4C3CE7C" w14:textId="77777777" w:rsidR="00C03AD1" w:rsidRDefault="00C03AD1" w:rsidP="00C03AD1">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66D51202" w14:textId="77777777" w:rsidR="00C03AD1" w:rsidRDefault="00C03AD1" w:rsidP="00C03AD1">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4F173033" w14:textId="5DD01E75" w:rsidR="00640E94" w:rsidRDefault="00C03AD1">
      <w:pPr>
        <w:pStyle w:val="List"/>
        <w:numPr>
          <w:ilvl w:val="0"/>
          <w:numId w:val="23"/>
        </w:numPr>
        <w:jc w:val="both"/>
        <w:rPr>
          <w:rFonts w:ascii="Arial" w:hAnsi="Arial"/>
        </w:rPr>
      </w:pPr>
      <w:r>
        <w:rPr>
          <w:rFonts w:ascii="ArialMT" w:hAnsi="ArialMT" w:cs="ArialMT"/>
          <w:szCs w:val="24"/>
        </w:rPr>
        <w:t>To the best of the undersigned’s knowledge and belief, a</w:t>
      </w:r>
      <w:r w:rsidR="00640E94">
        <w:rPr>
          <w:rFonts w:ascii="Arial" w:hAnsi="Arial"/>
        </w:rPr>
        <w:t>ll of the information in this Form 7 Monthly Progress Report is true.</w:t>
      </w:r>
    </w:p>
    <w:p w14:paraId="2C9CE016" w14:textId="0A72FA66" w:rsidR="00C03AD1" w:rsidRDefault="00640E94" w:rsidP="00C03AD1">
      <w:pPr>
        <w:pStyle w:val="BodyText"/>
        <w:tabs>
          <w:tab w:val="left" w:pos="4680"/>
          <w:tab w:val="left" w:pos="7200"/>
        </w:tabs>
        <w:jc w:val="both"/>
        <w:rPr>
          <w:rFonts w:ascii="Arial" w:hAnsi="Arial"/>
        </w:rPr>
      </w:pPr>
      <w:r>
        <w:rPr>
          <w:rFonts w:ascii="Arial" w:hAnsi="Arial"/>
        </w:rPr>
        <w:t xml:space="preserve">Dated </w:t>
      </w:r>
      <w:proofErr w:type="gramStart"/>
      <w:r w:rsidR="00B03711">
        <w:rPr>
          <w:rFonts w:ascii="Arial" w:hAnsi="Arial"/>
        </w:rPr>
        <w:t>November</w:t>
      </w:r>
      <w:r w:rsidR="006C1DDB">
        <w:rPr>
          <w:rFonts w:ascii="Arial" w:hAnsi="Arial"/>
        </w:rPr>
        <w:t xml:space="preserve"> </w:t>
      </w:r>
      <w:r w:rsidR="003F7619">
        <w:rPr>
          <w:rFonts w:ascii="Arial" w:hAnsi="Arial"/>
        </w:rPr>
        <w:t xml:space="preserve"> </w:t>
      </w:r>
      <w:r w:rsidR="00B03711">
        <w:rPr>
          <w:rFonts w:ascii="Arial" w:hAnsi="Arial"/>
        </w:rPr>
        <w:t>3</w:t>
      </w:r>
      <w:proofErr w:type="gramEnd"/>
      <w:r w:rsidR="009B2AA9">
        <w:rPr>
          <w:rFonts w:ascii="Arial" w:hAnsi="Arial"/>
        </w:rPr>
        <w:t>, 201</w:t>
      </w:r>
      <w:r w:rsidR="00D04937">
        <w:rPr>
          <w:rFonts w:ascii="Arial" w:hAnsi="Arial"/>
        </w:rPr>
        <w:t>9</w:t>
      </w:r>
      <w:r>
        <w:rPr>
          <w:rFonts w:ascii="Arial" w:hAnsi="Arial"/>
        </w:rPr>
        <w:t>.</w:t>
      </w:r>
      <w:r>
        <w:rPr>
          <w:rFonts w:ascii="Arial" w:hAnsi="Arial"/>
        </w:rPr>
        <w:tab/>
      </w:r>
    </w:p>
    <w:p w14:paraId="0438BA13" w14:textId="24B1BEAF" w:rsidR="00640E94" w:rsidRDefault="00CD0E5F" w:rsidP="00634AA7">
      <w:pPr>
        <w:pStyle w:val="BodyText"/>
        <w:tabs>
          <w:tab w:val="left" w:pos="4680"/>
          <w:tab w:val="left" w:pos="9180"/>
        </w:tabs>
        <w:spacing w:before="120"/>
        <w:ind w:left="5674"/>
        <w:jc w:val="both"/>
        <w:rPr>
          <w:rFonts w:ascii="Arial" w:hAnsi="Arial"/>
        </w:rPr>
      </w:pPr>
      <w:r>
        <w:rPr>
          <w:rFonts w:ascii="Arial" w:hAnsi="Arial"/>
          <w:u w:val="single"/>
        </w:rPr>
        <w:t>Gurminder Sangha</w:t>
      </w:r>
      <w:r w:rsidR="00C03AD1">
        <w:rPr>
          <w:rFonts w:ascii="Arial" w:hAnsi="Arial"/>
          <w:u w:val="single"/>
        </w:rPr>
        <w:tab/>
      </w:r>
      <w:r w:rsidR="00640E94">
        <w:rPr>
          <w:rFonts w:ascii="Arial" w:hAnsi="Arial"/>
          <w:u w:val="single"/>
        </w:rPr>
        <w:br/>
      </w:r>
      <w:r w:rsidR="00640E94">
        <w:rPr>
          <w:rFonts w:ascii="Arial" w:hAnsi="Arial"/>
        </w:rPr>
        <w:t>Name of Director or Senior Officer</w:t>
      </w:r>
    </w:p>
    <w:p w14:paraId="0F471983" w14:textId="1A96EB1B" w:rsidR="00640E94" w:rsidRDefault="006E3F22" w:rsidP="00C03AD1">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sidR="00640E94">
        <w:rPr>
          <w:rFonts w:ascii="Arial" w:hAnsi="Arial"/>
          <w:u w:val="single"/>
        </w:rPr>
        <w:tab/>
      </w:r>
      <w:r w:rsidR="00640E94">
        <w:rPr>
          <w:rFonts w:ascii="Arial" w:hAnsi="Arial"/>
        </w:rPr>
        <w:br/>
        <w:t>Signature</w:t>
      </w:r>
    </w:p>
    <w:p w14:paraId="35AA6951" w14:textId="1489FE0A" w:rsidR="00640E94" w:rsidRDefault="002C15BF" w:rsidP="00D31A24">
      <w:pPr>
        <w:pStyle w:val="BodyText"/>
        <w:tabs>
          <w:tab w:val="left" w:pos="9180"/>
        </w:tabs>
        <w:spacing w:before="120"/>
        <w:ind w:left="5674"/>
        <w:rPr>
          <w:rFonts w:ascii="Arial" w:hAnsi="Arial"/>
        </w:rPr>
      </w:pPr>
      <w:r>
        <w:rPr>
          <w:rFonts w:ascii="Arial" w:hAnsi="Arial"/>
          <w:u w:val="single"/>
        </w:rPr>
        <w:t>President</w:t>
      </w:r>
      <w:r w:rsidR="00C03AD1">
        <w:rPr>
          <w:rFonts w:ascii="Arial" w:hAnsi="Arial"/>
          <w:u w:val="single"/>
        </w:rPr>
        <w:tab/>
      </w:r>
      <w:r w:rsidR="00640E94">
        <w:rPr>
          <w:rFonts w:ascii="Arial" w:hAnsi="Arial"/>
        </w:rPr>
        <w:br/>
        <w:t>Official Capacity</w:t>
      </w:r>
      <w:bookmarkEnd w:id="4"/>
    </w:p>
    <w:p w14:paraId="65972124"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640E94" w14:paraId="003F85E1" w14:textId="77777777" w:rsidTr="00EE042B">
        <w:tc>
          <w:tcPr>
            <w:tcW w:w="4230" w:type="dxa"/>
          </w:tcPr>
          <w:p w14:paraId="71DF3E50" w14:textId="77777777" w:rsidR="00640E94" w:rsidRDefault="00640E94">
            <w:pPr>
              <w:pStyle w:val="BodyText"/>
              <w:spacing w:before="0"/>
              <w:rPr>
                <w:rFonts w:ascii="Arial" w:hAnsi="Arial"/>
                <w:b/>
                <w:i/>
              </w:rPr>
            </w:pPr>
            <w:r>
              <w:rPr>
                <w:rFonts w:ascii="Arial" w:hAnsi="Arial"/>
                <w:b/>
                <w:i/>
              </w:rPr>
              <w:t>Issuer Details</w:t>
            </w:r>
          </w:p>
          <w:p w14:paraId="1C6673E8" w14:textId="77777777" w:rsidR="00640E94" w:rsidRDefault="00640E94">
            <w:pPr>
              <w:pStyle w:val="BodyText"/>
              <w:spacing w:before="0"/>
              <w:rPr>
                <w:rFonts w:ascii="Arial" w:hAnsi="Arial"/>
              </w:rPr>
            </w:pPr>
            <w:r>
              <w:rPr>
                <w:rFonts w:ascii="Arial" w:hAnsi="Arial"/>
              </w:rPr>
              <w:t>Name of Issuer</w:t>
            </w:r>
          </w:p>
          <w:p w14:paraId="2179540A" w14:textId="7A339565" w:rsidR="00640E94" w:rsidRDefault="00CD0E5F">
            <w:pPr>
              <w:pStyle w:val="BodyText"/>
              <w:rPr>
                <w:rFonts w:ascii="Arial" w:hAnsi="Arial"/>
              </w:rPr>
            </w:pPr>
            <w:r>
              <w:rPr>
                <w:rFonts w:ascii="Arial" w:hAnsi="Arial"/>
              </w:rPr>
              <w:lastRenderedPageBreak/>
              <w:t>First Energy Metals Limited</w:t>
            </w:r>
          </w:p>
        </w:tc>
        <w:tc>
          <w:tcPr>
            <w:tcW w:w="2448" w:type="dxa"/>
          </w:tcPr>
          <w:p w14:paraId="7B34A8A5" w14:textId="77777777" w:rsidR="00640E94" w:rsidRDefault="00640E94">
            <w:pPr>
              <w:pStyle w:val="BodyText"/>
              <w:spacing w:before="0"/>
              <w:rPr>
                <w:rFonts w:ascii="Arial" w:hAnsi="Arial"/>
              </w:rPr>
            </w:pPr>
            <w:proofErr w:type="gramStart"/>
            <w:r>
              <w:rPr>
                <w:rFonts w:ascii="Arial" w:hAnsi="Arial"/>
              </w:rPr>
              <w:lastRenderedPageBreak/>
              <w:t>For  Month</w:t>
            </w:r>
            <w:proofErr w:type="gramEnd"/>
            <w:r>
              <w:rPr>
                <w:rFonts w:ascii="Arial" w:hAnsi="Arial"/>
              </w:rPr>
              <w:t xml:space="preserve"> End</w:t>
            </w:r>
          </w:p>
          <w:p w14:paraId="241A62E2" w14:textId="77777777" w:rsidR="008B64B5" w:rsidRDefault="008B64B5">
            <w:pPr>
              <w:pStyle w:val="BodyText"/>
              <w:spacing w:before="0"/>
              <w:rPr>
                <w:rFonts w:ascii="Arial" w:hAnsi="Arial"/>
              </w:rPr>
            </w:pPr>
          </w:p>
          <w:p w14:paraId="578D4873" w14:textId="77777777" w:rsidR="008B64B5" w:rsidRDefault="008B64B5">
            <w:pPr>
              <w:pStyle w:val="BodyText"/>
              <w:spacing w:before="0"/>
              <w:rPr>
                <w:rFonts w:ascii="Arial" w:hAnsi="Arial"/>
              </w:rPr>
            </w:pPr>
          </w:p>
          <w:p w14:paraId="4699C56B" w14:textId="0F72F6D4" w:rsidR="00D14DE3" w:rsidRDefault="00B03711">
            <w:pPr>
              <w:pStyle w:val="BodyText"/>
              <w:spacing w:before="0"/>
              <w:rPr>
                <w:rFonts w:ascii="Arial" w:hAnsi="Arial"/>
              </w:rPr>
            </w:pPr>
            <w:r>
              <w:rPr>
                <w:rFonts w:ascii="Arial" w:hAnsi="Arial"/>
              </w:rPr>
              <w:lastRenderedPageBreak/>
              <w:t>October 31</w:t>
            </w:r>
            <w:r w:rsidR="008B64B5">
              <w:rPr>
                <w:rFonts w:ascii="Arial" w:hAnsi="Arial"/>
              </w:rPr>
              <w:t xml:space="preserve">, </w:t>
            </w:r>
            <w:r w:rsidR="00657525">
              <w:rPr>
                <w:rFonts w:ascii="Arial" w:hAnsi="Arial"/>
              </w:rPr>
              <w:t>2019</w:t>
            </w:r>
          </w:p>
        </w:tc>
        <w:tc>
          <w:tcPr>
            <w:tcW w:w="2898" w:type="dxa"/>
          </w:tcPr>
          <w:p w14:paraId="14378625" w14:textId="77777777" w:rsidR="00640E94" w:rsidRDefault="00640E94">
            <w:pPr>
              <w:pStyle w:val="BodyText"/>
              <w:spacing w:before="0"/>
              <w:rPr>
                <w:rFonts w:ascii="Arial" w:hAnsi="Arial"/>
              </w:rPr>
            </w:pPr>
            <w:r>
              <w:rPr>
                <w:rFonts w:ascii="Arial" w:hAnsi="Arial"/>
              </w:rPr>
              <w:lastRenderedPageBreak/>
              <w:t>Date of Report</w:t>
            </w:r>
          </w:p>
          <w:p w14:paraId="56DF387B" w14:textId="0C3BC723" w:rsidR="00640E94" w:rsidRDefault="00640E94">
            <w:pPr>
              <w:pStyle w:val="BodyText"/>
              <w:spacing w:before="0"/>
              <w:rPr>
                <w:rFonts w:ascii="Arial" w:hAnsi="Arial"/>
              </w:rPr>
            </w:pPr>
            <w:r>
              <w:rPr>
                <w:rFonts w:ascii="Arial" w:hAnsi="Arial"/>
              </w:rPr>
              <w:t>YY/MM/D</w:t>
            </w:r>
          </w:p>
          <w:p w14:paraId="63280D98" w14:textId="77777777" w:rsidR="00D14DE3" w:rsidRDefault="00D14DE3">
            <w:pPr>
              <w:pStyle w:val="BodyText"/>
              <w:spacing w:before="0"/>
              <w:rPr>
                <w:rFonts w:ascii="Arial" w:hAnsi="Arial"/>
              </w:rPr>
            </w:pPr>
          </w:p>
          <w:p w14:paraId="3121FEFA" w14:textId="588F9197" w:rsidR="00D14DE3" w:rsidRDefault="00DC4F66">
            <w:pPr>
              <w:pStyle w:val="BodyText"/>
              <w:spacing w:before="0"/>
              <w:rPr>
                <w:rFonts w:ascii="Arial" w:hAnsi="Arial"/>
              </w:rPr>
            </w:pPr>
            <w:r>
              <w:rPr>
                <w:rFonts w:ascii="Arial" w:hAnsi="Arial"/>
              </w:rPr>
              <w:lastRenderedPageBreak/>
              <w:t>19</w:t>
            </w:r>
            <w:r w:rsidR="00D14DE3">
              <w:rPr>
                <w:rFonts w:ascii="Arial" w:hAnsi="Arial"/>
              </w:rPr>
              <w:t>/</w:t>
            </w:r>
            <w:r w:rsidR="00EE042B">
              <w:rPr>
                <w:rFonts w:ascii="Arial" w:hAnsi="Arial"/>
              </w:rPr>
              <w:t>1</w:t>
            </w:r>
            <w:r w:rsidR="00B03711">
              <w:rPr>
                <w:rFonts w:ascii="Arial" w:hAnsi="Arial"/>
              </w:rPr>
              <w:t>1</w:t>
            </w:r>
            <w:r w:rsidR="00EC3A2C">
              <w:rPr>
                <w:rFonts w:ascii="Arial" w:hAnsi="Arial"/>
              </w:rPr>
              <w:t>/0</w:t>
            </w:r>
            <w:r w:rsidR="00B03711">
              <w:rPr>
                <w:rFonts w:ascii="Arial" w:hAnsi="Arial"/>
              </w:rPr>
              <w:t>3</w:t>
            </w:r>
          </w:p>
        </w:tc>
      </w:tr>
      <w:tr w:rsidR="00640E94" w14:paraId="20E7C230" w14:textId="77777777" w:rsidTr="008B64B5">
        <w:trPr>
          <w:cantSplit/>
        </w:trPr>
        <w:tc>
          <w:tcPr>
            <w:tcW w:w="9576" w:type="dxa"/>
            <w:gridSpan w:val="3"/>
          </w:tcPr>
          <w:p w14:paraId="1FFFC00A" w14:textId="77777777" w:rsidR="00640E94" w:rsidRDefault="00640E94">
            <w:pPr>
              <w:pStyle w:val="BodyText"/>
              <w:spacing w:before="0"/>
              <w:rPr>
                <w:rFonts w:ascii="Arial" w:hAnsi="Arial"/>
              </w:rPr>
            </w:pPr>
            <w:r>
              <w:rPr>
                <w:rFonts w:ascii="Arial" w:hAnsi="Arial"/>
              </w:rPr>
              <w:lastRenderedPageBreak/>
              <w:t>Issuer Address</w:t>
            </w:r>
          </w:p>
          <w:p w14:paraId="403E4E2A" w14:textId="77777777" w:rsidR="00657525" w:rsidRDefault="00657525">
            <w:pPr>
              <w:pStyle w:val="BodyText"/>
              <w:spacing w:before="0"/>
              <w:rPr>
                <w:rFonts w:ascii="Arial" w:hAnsi="Arial"/>
              </w:rPr>
            </w:pPr>
          </w:p>
          <w:p w14:paraId="3BA415DE" w14:textId="1F924CE2" w:rsidR="00640E94" w:rsidRDefault="00657525" w:rsidP="00657525">
            <w:pPr>
              <w:pStyle w:val="BodyText"/>
              <w:spacing w:before="0"/>
              <w:rPr>
                <w:rFonts w:ascii="Arial" w:hAnsi="Arial"/>
              </w:rPr>
            </w:pPr>
            <w:r>
              <w:rPr>
                <w:rFonts w:ascii="Arial" w:hAnsi="Arial"/>
              </w:rPr>
              <w:t>1206 – 588 Broughton Street</w:t>
            </w:r>
          </w:p>
        </w:tc>
      </w:tr>
      <w:tr w:rsidR="00640E94" w14:paraId="14473DAB" w14:textId="77777777" w:rsidTr="00EE042B">
        <w:tc>
          <w:tcPr>
            <w:tcW w:w="4230" w:type="dxa"/>
          </w:tcPr>
          <w:p w14:paraId="76116B6C" w14:textId="77777777" w:rsidR="00640E94" w:rsidRDefault="00640E94">
            <w:pPr>
              <w:pStyle w:val="BodyText"/>
              <w:spacing w:before="0"/>
              <w:rPr>
                <w:rFonts w:ascii="Arial" w:hAnsi="Arial"/>
              </w:rPr>
            </w:pPr>
            <w:r>
              <w:rPr>
                <w:rFonts w:ascii="Arial" w:hAnsi="Arial"/>
              </w:rPr>
              <w:t>City/Province/Postal Code</w:t>
            </w:r>
          </w:p>
          <w:p w14:paraId="15531316" w14:textId="77777777" w:rsidR="00640E94" w:rsidRDefault="00640E94">
            <w:pPr>
              <w:pStyle w:val="BodyText"/>
              <w:spacing w:before="0"/>
              <w:rPr>
                <w:rFonts w:ascii="Arial" w:hAnsi="Arial"/>
              </w:rPr>
            </w:pPr>
          </w:p>
          <w:p w14:paraId="2F0FE86B" w14:textId="716AC842" w:rsidR="00640E94" w:rsidRDefault="00657525">
            <w:pPr>
              <w:pStyle w:val="BodyText"/>
              <w:spacing w:before="0"/>
              <w:rPr>
                <w:rFonts w:ascii="Arial" w:hAnsi="Arial"/>
              </w:rPr>
            </w:pPr>
            <w:r>
              <w:rPr>
                <w:rFonts w:ascii="Arial" w:hAnsi="Arial"/>
              </w:rPr>
              <w:t>Vancouver</w:t>
            </w:r>
            <w:r w:rsidR="00D14DE3">
              <w:rPr>
                <w:rFonts w:ascii="Arial" w:hAnsi="Arial"/>
              </w:rPr>
              <w:t xml:space="preserve">, </w:t>
            </w:r>
            <w:proofErr w:type="gramStart"/>
            <w:r w:rsidR="00D14DE3">
              <w:rPr>
                <w:rFonts w:ascii="Arial" w:hAnsi="Arial"/>
              </w:rPr>
              <w:t>BC</w:t>
            </w:r>
            <w:r>
              <w:rPr>
                <w:rFonts w:ascii="Arial" w:hAnsi="Arial"/>
              </w:rPr>
              <w:t xml:space="preserve">  V</w:t>
            </w:r>
            <w:proofErr w:type="gramEnd"/>
            <w:r>
              <w:rPr>
                <w:rFonts w:ascii="Arial" w:hAnsi="Arial"/>
              </w:rPr>
              <w:t>6G 3E3</w:t>
            </w:r>
          </w:p>
        </w:tc>
        <w:tc>
          <w:tcPr>
            <w:tcW w:w="2448" w:type="dxa"/>
          </w:tcPr>
          <w:p w14:paraId="105417E8" w14:textId="77777777" w:rsidR="00640E94" w:rsidRPr="00CB4371" w:rsidRDefault="00640E94">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4DA431A0" w14:textId="77777777" w:rsidR="00657525" w:rsidRPr="00CB4371" w:rsidRDefault="00657525" w:rsidP="00657525">
            <w:pPr>
              <w:pStyle w:val="BodyText"/>
              <w:spacing w:before="0"/>
              <w:rPr>
                <w:rFonts w:ascii="Arial" w:hAnsi="Arial"/>
                <w:lang w:val="pt-BR"/>
              </w:rPr>
            </w:pPr>
          </w:p>
          <w:p w14:paraId="0525DA41" w14:textId="56170EEB" w:rsidR="00640E94" w:rsidRPr="00CB4371" w:rsidRDefault="00640E94" w:rsidP="00657525">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w:t>
            </w:r>
            <w:r w:rsidR="009B2AA9" w:rsidRPr="00CB4371">
              <w:rPr>
                <w:rFonts w:ascii="Arial" w:hAnsi="Arial"/>
                <w:lang w:val="pt-BR"/>
              </w:rPr>
              <w:t>N/A</w:t>
            </w:r>
          </w:p>
        </w:tc>
        <w:tc>
          <w:tcPr>
            <w:tcW w:w="2898" w:type="dxa"/>
          </w:tcPr>
          <w:p w14:paraId="1832A138" w14:textId="77777777" w:rsidR="00640E94" w:rsidRDefault="00640E94">
            <w:pPr>
              <w:pStyle w:val="BodyText"/>
              <w:spacing w:before="0"/>
              <w:rPr>
                <w:rFonts w:ascii="Arial" w:hAnsi="Arial"/>
              </w:rPr>
            </w:pPr>
            <w:r>
              <w:rPr>
                <w:rFonts w:ascii="Arial" w:hAnsi="Arial"/>
              </w:rPr>
              <w:t>Issuer Telephone No.</w:t>
            </w:r>
          </w:p>
          <w:p w14:paraId="72347875" w14:textId="77777777" w:rsidR="00657525" w:rsidRDefault="00657525">
            <w:pPr>
              <w:pStyle w:val="BodyText"/>
              <w:spacing w:before="0"/>
              <w:rPr>
                <w:rFonts w:ascii="Arial" w:hAnsi="Arial"/>
              </w:rPr>
            </w:pPr>
          </w:p>
          <w:p w14:paraId="695F9E42" w14:textId="50EBA5EE" w:rsidR="00640E94" w:rsidRDefault="009B2AA9">
            <w:pPr>
              <w:pStyle w:val="BodyText"/>
              <w:spacing w:before="0"/>
              <w:rPr>
                <w:rFonts w:ascii="Arial" w:hAnsi="Arial"/>
              </w:rPr>
            </w:pPr>
            <w:r>
              <w:rPr>
                <w:rFonts w:ascii="Arial" w:hAnsi="Arial"/>
              </w:rPr>
              <w:t>(604</w:t>
            </w:r>
            <w:r w:rsidR="00640E94">
              <w:rPr>
                <w:rFonts w:ascii="Arial" w:hAnsi="Arial"/>
              </w:rPr>
              <w:t>)</w:t>
            </w:r>
            <w:r w:rsidR="00657525">
              <w:rPr>
                <w:rFonts w:ascii="Arial" w:hAnsi="Arial"/>
              </w:rPr>
              <w:t xml:space="preserve"> 375-6005</w:t>
            </w:r>
          </w:p>
        </w:tc>
      </w:tr>
      <w:tr w:rsidR="00640E94" w14:paraId="7A6B4CF1" w14:textId="77777777" w:rsidTr="00EE042B">
        <w:tc>
          <w:tcPr>
            <w:tcW w:w="4230" w:type="dxa"/>
          </w:tcPr>
          <w:p w14:paraId="0C158DFC" w14:textId="77777777" w:rsidR="00640E94" w:rsidRDefault="00640E94">
            <w:pPr>
              <w:pStyle w:val="BodyText"/>
              <w:spacing w:before="0"/>
              <w:rPr>
                <w:rFonts w:ascii="Arial" w:hAnsi="Arial"/>
              </w:rPr>
            </w:pPr>
            <w:r>
              <w:rPr>
                <w:rFonts w:ascii="Arial" w:hAnsi="Arial"/>
              </w:rPr>
              <w:t>Contact Name</w:t>
            </w:r>
          </w:p>
          <w:p w14:paraId="31F4AD40" w14:textId="77777777" w:rsidR="00640E94" w:rsidRDefault="00640E94">
            <w:pPr>
              <w:pStyle w:val="BodyText"/>
              <w:spacing w:before="0"/>
              <w:rPr>
                <w:rFonts w:ascii="Arial" w:hAnsi="Arial"/>
              </w:rPr>
            </w:pPr>
          </w:p>
          <w:p w14:paraId="12A74CA4" w14:textId="03B234DA" w:rsidR="00640E94" w:rsidRDefault="00CD0E5F">
            <w:pPr>
              <w:pStyle w:val="BodyText"/>
              <w:spacing w:before="0"/>
              <w:rPr>
                <w:rFonts w:ascii="Arial" w:hAnsi="Arial"/>
              </w:rPr>
            </w:pPr>
            <w:r>
              <w:rPr>
                <w:rFonts w:ascii="Arial" w:hAnsi="Arial"/>
              </w:rPr>
              <w:t>Gurminder Sangha</w:t>
            </w:r>
          </w:p>
        </w:tc>
        <w:tc>
          <w:tcPr>
            <w:tcW w:w="2448" w:type="dxa"/>
          </w:tcPr>
          <w:p w14:paraId="7459E806" w14:textId="77777777" w:rsidR="00640E94" w:rsidRDefault="00640E94">
            <w:pPr>
              <w:pStyle w:val="BodyText"/>
              <w:spacing w:before="0"/>
              <w:rPr>
                <w:rFonts w:ascii="Arial" w:hAnsi="Arial"/>
              </w:rPr>
            </w:pPr>
            <w:r>
              <w:rPr>
                <w:rFonts w:ascii="Arial" w:hAnsi="Arial"/>
              </w:rPr>
              <w:t>Contact Position</w:t>
            </w:r>
          </w:p>
          <w:p w14:paraId="3472F7F6" w14:textId="77777777" w:rsidR="008B64B5" w:rsidRDefault="008B64B5">
            <w:pPr>
              <w:pStyle w:val="BodyText"/>
              <w:spacing w:before="0"/>
              <w:rPr>
                <w:rFonts w:ascii="Arial" w:hAnsi="Arial"/>
              </w:rPr>
            </w:pPr>
          </w:p>
          <w:p w14:paraId="3733E1A2" w14:textId="587544C3" w:rsidR="00D14DE3" w:rsidRDefault="00D14DE3">
            <w:pPr>
              <w:pStyle w:val="BodyText"/>
              <w:spacing w:before="0"/>
              <w:rPr>
                <w:rFonts w:ascii="Arial" w:hAnsi="Arial"/>
              </w:rPr>
            </w:pPr>
            <w:r>
              <w:rPr>
                <w:rFonts w:ascii="Arial" w:hAnsi="Arial"/>
              </w:rPr>
              <w:t>President</w:t>
            </w:r>
            <w:r w:rsidR="008B64B5">
              <w:rPr>
                <w:rFonts w:ascii="Arial" w:hAnsi="Arial"/>
              </w:rPr>
              <w:t xml:space="preserve"> &amp; CEO</w:t>
            </w:r>
          </w:p>
        </w:tc>
        <w:tc>
          <w:tcPr>
            <w:tcW w:w="2898" w:type="dxa"/>
          </w:tcPr>
          <w:p w14:paraId="04DA4223" w14:textId="77777777" w:rsidR="00640E94" w:rsidRDefault="00640E94">
            <w:pPr>
              <w:pStyle w:val="BodyText"/>
              <w:spacing w:before="0"/>
              <w:rPr>
                <w:rFonts w:ascii="Arial" w:hAnsi="Arial"/>
              </w:rPr>
            </w:pPr>
            <w:r>
              <w:rPr>
                <w:rFonts w:ascii="Arial" w:hAnsi="Arial"/>
              </w:rPr>
              <w:t>Contact Telephone No.</w:t>
            </w:r>
          </w:p>
          <w:p w14:paraId="48B43B75" w14:textId="77777777" w:rsidR="00D14DE3" w:rsidRDefault="00D14DE3">
            <w:pPr>
              <w:pStyle w:val="BodyText"/>
              <w:spacing w:before="0"/>
              <w:rPr>
                <w:rFonts w:ascii="Arial" w:hAnsi="Arial"/>
              </w:rPr>
            </w:pPr>
          </w:p>
          <w:p w14:paraId="5C63C437" w14:textId="4066E4EE" w:rsidR="00D14DE3" w:rsidRDefault="00657525">
            <w:pPr>
              <w:pStyle w:val="BodyText"/>
              <w:spacing w:before="0"/>
              <w:rPr>
                <w:rFonts w:ascii="Arial" w:hAnsi="Arial"/>
              </w:rPr>
            </w:pPr>
            <w:r>
              <w:rPr>
                <w:rFonts w:ascii="Arial" w:hAnsi="Arial"/>
              </w:rPr>
              <w:t>(604) 375-6005</w:t>
            </w:r>
          </w:p>
        </w:tc>
      </w:tr>
      <w:tr w:rsidR="00640E94" w14:paraId="1C1D666F" w14:textId="77777777" w:rsidTr="00EE042B">
        <w:trPr>
          <w:cantSplit/>
        </w:trPr>
        <w:tc>
          <w:tcPr>
            <w:tcW w:w="4230" w:type="dxa"/>
          </w:tcPr>
          <w:p w14:paraId="0173A706" w14:textId="77777777" w:rsidR="00640E94" w:rsidRPr="00CB4371" w:rsidRDefault="00640E94">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4CDB5331" w14:textId="1935F603" w:rsidR="00640E94" w:rsidRPr="00CB4371" w:rsidRDefault="00BB3C2C">
            <w:pPr>
              <w:pStyle w:val="BodyText"/>
              <w:spacing w:before="0"/>
              <w:rPr>
                <w:rFonts w:ascii="Arial" w:hAnsi="Arial"/>
                <w:lang w:val="fr-CA"/>
              </w:rPr>
            </w:pPr>
            <w:hyperlink r:id="rId7" w:history="1">
              <w:r w:rsidR="00657525" w:rsidRPr="00CB4371">
                <w:rPr>
                  <w:rStyle w:val="Hyperlink"/>
                  <w:rFonts w:ascii="Arial" w:hAnsi="Arial"/>
                  <w:lang w:val="fr-CA"/>
                </w:rPr>
                <w:t>gsangha@firstenergymetals.com</w:t>
              </w:r>
            </w:hyperlink>
            <w:r w:rsidR="00657525" w:rsidRPr="00CB4371">
              <w:rPr>
                <w:rFonts w:ascii="Arial" w:hAnsi="Arial"/>
                <w:lang w:val="fr-CA"/>
              </w:rPr>
              <w:t xml:space="preserve"> </w:t>
            </w:r>
          </w:p>
        </w:tc>
        <w:tc>
          <w:tcPr>
            <w:tcW w:w="5346" w:type="dxa"/>
            <w:gridSpan w:val="2"/>
          </w:tcPr>
          <w:p w14:paraId="1513599E" w14:textId="77777777" w:rsidR="00640E94" w:rsidRDefault="00640E94">
            <w:pPr>
              <w:pStyle w:val="BodyText"/>
              <w:spacing w:before="0"/>
              <w:rPr>
                <w:rFonts w:ascii="Arial" w:hAnsi="Arial"/>
              </w:rPr>
            </w:pPr>
            <w:r>
              <w:rPr>
                <w:rFonts w:ascii="Arial" w:hAnsi="Arial"/>
              </w:rPr>
              <w:t>Web Site Address</w:t>
            </w:r>
          </w:p>
          <w:p w14:paraId="2261C709" w14:textId="7818B62E" w:rsidR="00640E94" w:rsidRDefault="00BB3C2C">
            <w:pPr>
              <w:pStyle w:val="BodyText"/>
              <w:spacing w:before="0"/>
              <w:rPr>
                <w:rFonts w:ascii="Arial" w:hAnsi="Arial"/>
              </w:rPr>
            </w:pPr>
            <w:hyperlink r:id="rId8" w:history="1">
              <w:r w:rsidR="00657525" w:rsidRPr="00AF02F2">
                <w:rPr>
                  <w:rStyle w:val="Hyperlink"/>
                  <w:rFonts w:ascii="Arial" w:hAnsi="Arial"/>
                </w:rPr>
                <w:t>https://www.firstenergymetals.com</w:t>
              </w:r>
            </w:hyperlink>
            <w:r w:rsidR="00657525">
              <w:rPr>
                <w:rFonts w:ascii="Arial" w:hAnsi="Arial"/>
              </w:rPr>
              <w:t xml:space="preserve"> </w:t>
            </w:r>
          </w:p>
        </w:tc>
      </w:tr>
    </w:tbl>
    <w:p w14:paraId="2EEF72B6" w14:textId="77777777" w:rsidR="00640E94" w:rsidRDefault="00640E94" w:rsidP="00C03AD1">
      <w:pPr>
        <w:pStyle w:val="BodyText"/>
        <w:spacing w:before="0"/>
      </w:pPr>
    </w:p>
    <w:sectPr w:rsidR="00640E94" w:rsidSect="000352E8">
      <w:headerReference w:type="even" r:id="rId9"/>
      <w:headerReference w:type="default" r:id="rId10"/>
      <w:footerReference w:type="default" r:id="rId11"/>
      <w:footerReference w:type="first" r:id="rId12"/>
      <w:pgSz w:w="12240" w:h="15840" w:code="1"/>
      <w:pgMar w:top="1008" w:right="1440" w:bottom="806"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CC42" w14:textId="77777777" w:rsidR="00BB3C2C" w:rsidRDefault="00BB3C2C">
      <w:r>
        <w:separator/>
      </w:r>
    </w:p>
  </w:endnote>
  <w:endnote w:type="continuationSeparator" w:id="0">
    <w:p w14:paraId="08872A43" w14:textId="77777777" w:rsidR="00BB3C2C" w:rsidRDefault="00BB3C2C">
      <w:r>
        <w:continuationSeparator/>
      </w:r>
    </w:p>
  </w:endnote>
  <w:endnote w:type="continuationNotice" w:id="1">
    <w:p w14:paraId="26033690" w14:textId="77777777" w:rsidR="00BB3C2C" w:rsidRDefault="00BB3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41D4" w14:textId="77777777" w:rsidR="00640E94" w:rsidRDefault="00640E94">
    <w:pPr>
      <w:pStyle w:val="Footer"/>
      <w:tabs>
        <w:tab w:val="clear" w:pos="4320"/>
        <w:tab w:val="clear" w:pos="8640"/>
        <w:tab w:val="center" w:pos="4680"/>
        <w:tab w:val="right" w:pos="9360"/>
      </w:tabs>
      <w:rPr>
        <w:b/>
      </w:rPr>
    </w:pPr>
  </w:p>
  <w:p w14:paraId="2BF93064" w14:textId="77777777" w:rsidR="00640E94" w:rsidRDefault="005453C8"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0" distB="0" distL="114300" distR="114300" simplePos="0" relativeHeight="251658240" behindDoc="0" locked="0" layoutInCell="1" allowOverlap="1" wp14:anchorId="23059DBA" wp14:editId="2980A9D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0CC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11C2460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04F18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9209" w14:textId="77777777" w:rsidR="00640E94" w:rsidRDefault="00640E94">
    <w:pPr>
      <w:pStyle w:val="Footer"/>
      <w:tabs>
        <w:tab w:val="clear" w:pos="4320"/>
        <w:tab w:val="clear" w:pos="8640"/>
        <w:tab w:val="center" w:pos="4680"/>
        <w:tab w:val="right" w:pos="9360"/>
      </w:tabs>
      <w:rPr>
        <w:b/>
      </w:rPr>
    </w:pPr>
  </w:p>
  <w:p w14:paraId="1FC93611" w14:textId="77777777" w:rsidR="00640E94" w:rsidRDefault="005453C8"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0" distB="0" distL="114300" distR="114300" simplePos="0" relativeHeight="251657216" behindDoc="0" locked="0" layoutInCell="1" allowOverlap="1" wp14:anchorId="4800323C" wp14:editId="4A940A2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FA3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52BF90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2FC522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F10CC" w14:textId="77777777" w:rsidR="00BB3C2C" w:rsidRDefault="00BB3C2C">
      <w:r>
        <w:separator/>
      </w:r>
    </w:p>
  </w:footnote>
  <w:footnote w:type="continuationSeparator" w:id="0">
    <w:p w14:paraId="47547D50" w14:textId="77777777" w:rsidR="00BB3C2C" w:rsidRDefault="00BB3C2C">
      <w:r>
        <w:continuationSeparator/>
      </w:r>
    </w:p>
  </w:footnote>
  <w:footnote w:type="continuationNotice" w:id="1">
    <w:p w14:paraId="48FCC28E" w14:textId="77777777" w:rsidR="00BB3C2C" w:rsidRDefault="00BB3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B6D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B52F65"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924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AAB5356"/>
    <w:multiLevelType w:val="hybridMultilevel"/>
    <w:tmpl w:val="9B56D360"/>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74A0092"/>
    <w:multiLevelType w:val="multilevel"/>
    <w:tmpl w:val="153A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A505E21"/>
    <w:multiLevelType w:val="multilevel"/>
    <w:tmpl w:val="D64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2"/>
  </w:num>
  <w:num w:numId="5">
    <w:abstractNumId w:val="3"/>
  </w:num>
  <w:num w:numId="6">
    <w:abstractNumId w:val="24"/>
  </w:num>
  <w:num w:numId="7">
    <w:abstractNumId w:val="8"/>
  </w:num>
  <w:num w:numId="8">
    <w:abstractNumId w:val="27"/>
  </w:num>
  <w:num w:numId="9">
    <w:abstractNumId w:val="21"/>
  </w:num>
  <w:num w:numId="10">
    <w:abstractNumId w:val="10"/>
  </w:num>
  <w:num w:numId="11">
    <w:abstractNumId w:val="13"/>
  </w:num>
  <w:num w:numId="12">
    <w:abstractNumId w:val="14"/>
  </w:num>
  <w:num w:numId="13">
    <w:abstractNumId w:val="29"/>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6"/>
  </w:num>
  <w:num w:numId="21">
    <w:abstractNumId w:val="1"/>
  </w:num>
  <w:num w:numId="22">
    <w:abstractNumId w:val="0"/>
  </w:num>
  <w:num w:numId="23">
    <w:abstractNumId w:val="23"/>
  </w:num>
  <w:num w:numId="24">
    <w:abstractNumId w:val="20"/>
  </w:num>
  <w:num w:numId="25">
    <w:abstractNumId w:val="4"/>
  </w:num>
  <w:num w:numId="26">
    <w:abstractNumId w:val="28"/>
  </w:num>
  <w:num w:numId="27">
    <w:abstractNumId w:val="30"/>
  </w:num>
  <w:num w:numId="28">
    <w:abstractNumId w:val="5"/>
  </w:num>
  <w:num w:numId="29">
    <w:abstractNumId w:val="25"/>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52E8"/>
    <w:rsid w:val="000575CA"/>
    <w:rsid w:val="000A1AB1"/>
    <w:rsid w:val="000A4EE9"/>
    <w:rsid w:val="000B6905"/>
    <w:rsid w:val="00164E5A"/>
    <w:rsid w:val="002A44A9"/>
    <w:rsid w:val="002C15BF"/>
    <w:rsid w:val="002C281E"/>
    <w:rsid w:val="002F00EB"/>
    <w:rsid w:val="00302E92"/>
    <w:rsid w:val="00337C1F"/>
    <w:rsid w:val="00360983"/>
    <w:rsid w:val="003669A9"/>
    <w:rsid w:val="00371A64"/>
    <w:rsid w:val="003855F4"/>
    <w:rsid w:val="00387FA8"/>
    <w:rsid w:val="003E66FA"/>
    <w:rsid w:val="003F7619"/>
    <w:rsid w:val="00501C8F"/>
    <w:rsid w:val="005453C8"/>
    <w:rsid w:val="00570DEA"/>
    <w:rsid w:val="005D5AB6"/>
    <w:rsid w:val="005D5E91"/>
    <w:rsid w:val="005F3A62"/>
    <w:rsid w:val="005F6D8F"/>
    <w:rsid w:val="006044AE"/>
    <w:rsid w:val="00620E7F"/>
    <w:rsid w:val="00633ED3"/>
    <w:rsid w:val="00634AA7"/>
    <w:rsid w:val="00635E9A"/>
    <w:rsid w:val="00640E94"/>
    <w:rsid w:val="00657525"/>
    <w:rsid w:val="006C1DDB"/>
    <w:rsid w:val="006D1A06"/>
    <w:rsid w:val="006E3F22"/>
    <w:rsid w:val="00732BCF"/>
    <w:rsid w:val="007749C2"/>
    <w:rsid w:val="00781288"/>
    <w:rsid w:val="007B362D"/>
    <w:rsid w:val="00811217"/>
    <w:rsid w:val="008B64B5"/>
    <w:rsid w:val="008B7E92"/>
    <w:rsid w:val="008C7D96"/>
    <w:rsid w:val="008D2144"/>
    <w:rsid w:val="00911B60"/>
    <w:rsid w:val="00922A46"/>
    <w:rsid w:val="00982141"/>
    <w:rsid w:val="00986595"/>
    <w:rsid w:val="009B2AA9"/>
    <w:rsid w:val="00A47914"/>
    <w:rsid w:val="00A82A80"/>
    <w:rsid w:val="00A87300"/>
    <w:rsid w:val="00B03711"/>
    <w:rsid w:val="00B53768"/>
    <w:rsid w:val="00B8005E"/>
    <w:rsid w:val="00BB3C2C"/>
    <w:rsid w:val="00C03AD1"/>
    <w:rsid w:val="00C2430C"/>
    <w:rsid w:val="00C27A18"/>
    <w:rsid w:val="00C5418F"/>
    <w:rsid w:val="00C61E65"/>
    <w:rsid w:val="00C6383E"/>
    <w:rsid w:val="00CB4371"/>
    <w:rsid w:val="00CD0E5F"/>
    <w:rsid w:val="00CF09D5"/>
    <w:rsid w:val="00CF1F91"/>
    <w:rsid w:val="00CF5416"/>
    <w:rsid w:val="00D04937"/>
    <w:rsid w:val="00D14DE3"/>
    <w:rsid w:val="00D30C49"/>
    <w:rsid w:val="00D31A24"/>
    <w:rsid w:val="00D460F8"/>
    <w:rsid w:val="00D87C20"/>
    <w:rsid w:val="00D940B8"/>
    <w:rsid w:val="00DC4F66"/>
    <w:rsid w:val="00DD2A8E"/>
    <w:rsid w:val="00E36141"/>
    <w:rsid w:val="00E72674"/>
    <w:rsid w:val="00E8332C"/>
    <w:rsid w:val="00E8342A"/>
    <w:rsid w:val="00E83E58"/>
    <w:rsid w:val="00EB62DC"/>
    <w:rsid w:val="00EC3A2C"/>
    <w:rsid w:val="00EE042B"/>
    <w:rsid w:val="00F30FE3"/>
    <w:rsid w:val="00F8773E"/>
    <w:rsid w:val="00FB41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75464"/>
  <w15:docId w15:val="{DB6799FA-BDA2-4106-9F9B-666D6C5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11"/>
    <w:rPr>
      <w:sz w:val="24"/>
      <w:szCs w:val="24"/>
      <w:lang w:val="en-CA" w:eastAsia="zh-CN"/>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eastAsia="en-US"/>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eastAsia="en-US"/>
    </w:rPr>
  </w:style>
  <w:style w:type="paragraph" w:styleId="Header">
    <w:name w:val="header"/>
    <w:basedOn w:val="Normal"/>
    <w:pPr>
      <w:tabs>
        <w:tab w:val="center" w:pos="4320"/>
        <w:tab w:val="right" w:pos="8640"/>
      </w:tabs>
    </w:pPr>
    <w:rPr>
      <w:sz w:val="20"/>
      <w:szCs w:val="20"/>
      <w:lang w:val="en-US" w:eastAsia="en-US"/>
    </w:rPr>
  </w:style>
  <w:style w:type="paragraph" w:styleId="Footer">
    <w:name w:val="footer"/>
    <w:basedOn w:val="Normal"/>
    <w:pPr>
      <w:tabs>
        <w:tab w:val="center" w:pos="4320"/>
        <w:tab w:val="right" w:pos="8640"/>
      </w:tabs>
    </w:pPr>
    <w:rPr>
      <w:sz w:val="20"/>
      <w:szCs w:val="20"/>
      <w:lang w:val="en-US"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eastAsia="en-US"/>
    </w:rPr>
  </w:style>
  <w:style w:type="paragraph" w:styleId="ListParagraph">
    <w:name w:val="List Paragraph"/>
    <w:basedOn w:val="Normal"/>
    <w:uiPriority w:val="34"/>
    <w:qFormat/>
    <w:rsid w:val="00360983"/>
    <w:pPr>
      <w:ind w:left="720"/>
      <w:contextualSpacing/>
    </w:pPr>
    <w:rPr>
      <w:sz w:val="20"/>
      <w:szCs w:val="20"/>
      <w:lang w:val="en-US" w:eastAsia="en-US"/>
    </w:rPr>
  </w:style>
  <w:style w:type="paragraph" w:styleId="Revision">
    <w:name w:val="Revision"/>
    <w:hidden/>
    <w:uiPriority w:val="99"/>
    <w:semiHidden/>
    <w:rsid w:val="008C7D96"/>
  </w:style>
  <w:style w:type="character" w:styleId="Hyperlink">
    <w:name w:val="Hyperlink"/>
    <w:basedOn w:val="DefaultParagraphFont"/>
    <w:uiPriority w:val="99"/>
    <w:unhideWhenUsed/>
    <w:rsid w:val="00657525"/>
    <w:rPr>
      <w:color w:val="0000FF" w:themeColor="hyperlink"/>
      <w:u w:val="single"/>
    </w:rPr>
  </w:style>
  <w:style w:type="character" w:styleId="UnresolvedMention">
    <w:name w:val="Unresolved Mention"/>
    <w:basedOn w:val="DefaultParagraphFont"/>
    <w:uiPriority w:val="99"/>
    <w:semiHidden/>
    <w:unhideWhenUsed/>
    <w:rsid w:val="00657525"/>
    <w:rPr>
      <w:color w:val="605E5C"/>
      <w:shd w:val="clear" w:color="auto" w:fill="E1DFDD"/>
    </w:rPr>
  </w:style>
  <w:style w:type="paragraph" w:styleId="NormalWeb">
    <w:name w:val="Normal (Web)"/>
    <w:basedOn w:val="Normal"/>
    <w:uiPriority w:val="99"/>
    <w:unhideWhenUsed/>
    <w:rsid w:val="00781288"/>
    <w:pPr>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4371"/>
    <w:rPr>
      <w:rFonts w:ascii="Courier New" w:hAnsi="Courier New" w:cs="Courier New"/>
      <w:lang w:val="en-CA" w:eastAsia="zh-CN"/>
    </w:rPr>
  </w:style>
  <w:style w:type="character" w:customStyle="1" w:styleId="apple-converted-space">
    <w:name w:val="apple-converted-space"/>
    <w:basedOn w:val="DefaultParagraphFont"/>
    <w:rsid w:val="00CB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34939">
      <w:bodyDiv w:val="1"/>
      <w:marLeft w:val="0"/>
      <w:marRight w:val="0"/>
      <w:marTop w:val="0"/>
      <w:marBottom w:val="0"/>
      <w:divBdr>
        <w:top w:val="none" w:sz="0" w:space="0" w:color="auto"/>
        <w:left w:val="none" w:sz="0" w:space="0" w:color="auto"/>
        <w:bottom w:val="none" w:sz="0" w:space="0" w:color="auto"/>
        <w:right w:val="none" w:sz="0" w:space="0" w:color="auto"/>
      </w:divBdr>
    </w:div>
    <w:div w:id="620452554">
      <w:bodyDiv w:val="1"/>
      <w:marLeft w:val="0"/>
      <w:marRight w:val="0"/>
      <w:marTop w:val="0"/>
      <w:marBottom w:val="0"/>
      <w:divBdr>
        <w:top w:val="none" w:sz="0" w:space="0" w:color="auto"/>
        <w:left w:val="none" w:sz="0" w:space="0" w:color="auto"/>
        <w:bottom w:val="none" w:sz="0" w:space="0" w:color="auto"/>
        <w:right w:val="none" w:sz="0" w:space="0" w:color="auto"/>
      </w:divBdr>
    </w:div>
    <w:div w:id="633218647">
      <w:bodyDiv w:val="1"/>
      <w:marLeft w:val="0"/>
      <w:marRight w:val="0"/>
      <w:marTop w:val="0"/>
      <w:marBottom w:val="0"/>
      <w:divBdr>
        <w:top w:val="none" w:sz="0" w:space="0" w:color="auto"/>
        <w:left w:val="none" w:sz="0" w:space="0" w:color="auto"/>
        <w:bottom w:val="none" w:sz="0" w:space="0" w:color="auto"/>
        <w:right w:val="none" w:sz="0" w:space="0" w:color="auto"/>
      </w:divBdr>
    </w:div>
    <w:div w:id="1134449581">
      <w:bodyDiv w:val="1"/>
      <w:marLeft w:val="0"/>
      <w:marRight w:val="0"/>
      <w:marTop w:val="0"/>
      <w:marBottom w:val="0"/>
      <w:divBdr>
        <w:top w:val="none" w:sz="0" w:space="0" w:color="auto"/>
        <w:left w:val="none" w:sz="0" w:space="0" w:color="auto"/>
        <w:bottom w:val="none" w:sz="0" w:space="0" w:color="auto"/>
        <w:right w:val="none" w:sz="0" w:space="0" w:color="auto"/>
      </w:divBdr>
    </w:div>
    <w:div w:id="1572542777">
      <w:bodyDiv w:val="1"/>
      <w:marLeft w:val="0"/>
      <w:marRight w:val="0"/>
      <w:marTop w:val="0"/>
      <w:marBottom w:val="0"/>
      <w:divBdr>
        <w:top w:val="none" w:sz="0" w:space="0" w:color="auto"/>
        <w:left w:val="none" w:sz="0" w:space="0" w:color="auto"/>
        <w:bottom w:val="none" w:sz="0" w:space="0" w:color="auto"/>
        <w:right w:val="none" w:sz="0" w:space="0" w:color="auto"/>
      </w:divBdr>
    </w:div>
    <w:div w:id="1601717390">
      <w:bodyDiv w:val="1"/>
      <w:marLeft w:val="0"/>
      <w:marRight w:val="0"/>
      <w:marTop w:val="0"/>
      <w:marBottom w:val="0"/>
      <w:divBdr>
        <w:top w:val="none" w:sz="0" w:space="0" w:color="auto"/>
        <w:left w:val="none" w:sz="0" w:space="0" w:color="auto"/>
        <w:bottom w:val="none" w:sz="0" w:space="0" w:color="auto"/>
        <w:right w:val="none" w:sz="0" w:space="0" w:color="auto"/>
      </w:divBdr>
    </w:div>
    <w:div w:id="1750156056">
      <w:bodyDiv w:val="1"/>
      <w:marLeft w:val="0"/>
      <w:marRight w:val="0"/>
      <w:marTop w:val="0"/>
      <w:marBottom w:val="0"/>
      <w:divBdr>
        <w:top w:val="none" w:sz="0" w:space="0" w:color="auto"/>
        <w:left w:val="none" w:sz="0" w:space="0" w:color="auto"/>
        <w:bottom w:val="none" w:sz="0" w:space="0" w:color="auto"/>
        <w:right w:val="none" w:sz="0" w:space="0" w:color="auto"/>
      </w:divBdr>
    </w:div>
    <w:div w:id="1768304500">
      <w:bodyDiv w:val="1"/>
      <w:marLeft w:val="0"/>
      <w:marRight w:val="0"/>
      <w:marTop w:val="0"/>
      <w:marBottom w:val="0"/>
      <w:divBdr>
        <w:top w:val="none" w:sz="0" w:space="0" w:color="auto"/>
        <w:left w:val="none" w:sz="0" w:space="0" w:color="auto"/>
        <w:bottom w:val="none" w:sz="0" w:space="0" w:color="auto"/>
        <w:right w:val="none" w:sz="0" w:space="0" w:color="auto"/>
      </w:divBdr>
    </w:div>
    <w:div w:id="19356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2018-12-03T21:13:00Z</cp:lastPrinted>
  <dcterms:created xsi:type="dcterms:W3CDTF">2019-11-04T02:26:00Z</dcterms:created>
  <dcterms:modified xsi:type="dcterms:W3CDTF">2019-11-04T02:26:00Z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