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59B77270"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497B11">
        <w:rPr>
          <w:rFonts w:ascii="Arial" w:hAnsi="Arial" w:cs="Arial"/>
          <w:color w:val="000000"/>
          <w:szCs w:val="24"/>
          <w:u w:val="single"/>
        </w:rPr>
        <w:t>April 11</w:t>
      </w:r>
      <w:r w:rsidR="0031526B">
        <w:rPr>
          <w:rFonts w:ascii="Arial" w:hAnsi="Arial" w:cs="Arial"/>
          <w:color w:val="000000"/>
          <w:szCs w:val="24"/>
          <w:u w:val="single"/>
        </w:rPr>
        <w:t>, 20</w:t>
      </w:r>
      <w:r w:rsidR="00336FDF">
        <w:rPr>
          <w:rFonts w:ascii="Arial" w:hAnsi="Arial" w:cs="Arial"/>
          <w:color w:val="000000"/>
          <w:szCs w:val="24"/>
          <w:u w:val="single"/>
        </w:rPr>
        <w:t>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60F72593"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497B11">
        <w:rPr>
          <w:rFonts w:ascii="Arial" w:hAnsi="Arial" w:cs="Arial"/>
          <w:b/>
          <w:szCs w:val="24"/>
        </w:rPr>
        <w:t>March</w:t>
      </w:r>
      <w:r w:rsidR="002C29B3">
        <w:rPr>
          <w:rFonts w:ascii="Arial" w:hAnsi="Arial" w:cs="Arial"/>
          <w:b/>
          <w:szCs w:val="24"/>
        </w:rPr>
        <w:t xml:space="preserve"> 2023</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311CF210" w14:textId="34AC8476" w:rsidR="00F958DE" w:rsidRPr="00F958DE" w:rsidRDefault="00F958DE" w:rsidP="00F958DE">
      <w:pPr>
        <w:spacing w:before="120" w:after="120" w:line="360" w:lineRule="auto"/>
        <w:ind w:left="720"/>
        <w:rPr>
          <w:rFonts w:ascii="Arial" w:hAnsi="Arial" w:cs="Arial"/>
          <w:b/>
          <w:bCs/>
          <w:color w:val="000000" w:themeColor="text1"/>
          <w:sz w:val="24"/>
          <w:szCs w:val="24"/>
          <w:shd w:val="clear" w:color="auto" w:fill="FEFEFE"/>
        </w:rPr>
      </w:pPr>
      <w:r>
        <w:rPr>
          <w:rFonts w:ascii="Arial" w:hAnsi="Arial" w:cs="Arial"/>
          <w:b/>
          <w:bCs/>
          <w:color w:val="000000" w:themeColor="text1"/>
          <w:sz w:val="24"/>
          <w:szCs w:val="24"/>
        </w:rPr>
        <w:t xml:space="preserve">On March 1, 2023 the Company </w:t>
      </w:r>
      <w:r w:rsidRPr="00F958DE">
        <w:rPr>
          <w:rFonts w:ascii="Arial" w:hAnsi="Arial" w:cs="Arial"/>
          <w:b/>
          <w:bCs/>
          <w:color w:val="000000" w:themeColor="text1"/>
          <w:sz w:val="24"/>
          <w:szCs w:val="24"/>
        </w:rPr>
        <w:t>update</w:t>
      </w:r>
      <w:r>
        <w:rPr>
          <w:rFonts w:ascii="Arial" w:hAnsi="Arial" w:cs="Arial"/>
          <w:b/>
          <w:bCs/>
          <w:color w:val="000000" w:themeColor="text1"/>
          <w:sz w:val="24"/>
          <w:szCs w:val="24"/>
        </w:rPr>
        <w:t>d</w:t>
      </w:r>
      <w:r w:rsidRPr="00F958DE">
        <w:rPr>
          <w:rFonts w:ascii="Arial" w:hAnsi="Arial" w:cs="Arial"/>
          <w:b/>
          <w:bCs/>
          <w:color w:val="000000" w:themeColor="text1"/>
          <w:sz w:val="24"/>
          <w:szCs w:val="24"/>
        </w:rPr>
        <w:t xml:space="preserve"> investors on its key performance indicators and its 2021 annual audit. </w:t>
      </w:r>
    </w:p>
    <w:p w14:paraId="3E7F241B" w14:textId="77777777" w:rsidR="00F958DE" w:rsidRPr="00F958DE" w:rsidRDefault="00F958DE" w:rsidP="00F958DE">
      <w:pPr>
        <w:spacing w:before="120" w:after="120" w:line="360" w:lineRule="auto"/>
        <w:ind w:left="720"/>
        <w:rPr>
          <w:rFonts w:ascii="Arial" w:hAnsi="Arial" w:cs="Arial"/>
          <w:b/>
          <w:bCs/>
          <w:color w:val="000000" w:themeColor="text1"/>
          <w:sz w:val="24"/>
          <w:szCs w:val="24"/>
        </w:rPr>
      </w:pPr>
      <w:r w:rsidRPr="00F958DE">
        <w:rPr>
          <w:rFonts w:ascii="Arial" w:hAnsi="Arial" w:cs="Arial"/>
          <w:b/>
          <w:bCs/>
          <w:color w:val="000000" w:themeColor="text1"/>
          <w:sz w:val="24"/>
          <w:szCs w:val="24"/>
        </w:rPr>
        <w:lastRenderedPageBreak/>
        <w:t xml:space="preserve">Despite the past several months of turbulence in the Cryptocurrency industry, NetCents is pleased to share our solid performance from our ongoing marketing and sales efforts.  </w:t>
      </w:r>
    </w:p>
    <w:p w14:paraId="2E9906E9" w14:textId="77777777" w:rsidR="00F958DE" w:rsidRPr="00F958DE" w:rsidRDefault="00F958DE" w:rsidP="00F958DE">
      <w:pPr>
        <w:spacing w:before="120" w:after="120" w:line="360" w:lineRule="auto"/>
        <w:ind w:firstLine="360"/>
        <w:rPr>
          <w:rFonts w:ascii="Arial" w:hAnsi="Arial" w:cs="Arial"/>
          <w:b/>
          <w:bCs/>
          <w:color w:val="000000" w:themeColor="text1"/>
          <w:sz w:val="24"/>
          <w:szCs w:val="24"/>
        </w:rPr>
      </w:pPr>
      <w:r w:rsidRPr="00F958DE">
        <w:rPr>
          <w:rFonts w:ascii="Arial" w:hAnsi="Arial" w:cs="Arial"/>
          <w:b/>
          <w:bCs/>
          <w:color w:val="000000" w:themeColor="text1"/>
          <w:sz w:val="24"/>
          <w:szCs w:val="24"/>
        </w:rPr>
        <w:t>Growth in Key Performance Indicators</w:t>
      </w:r>
    </w:p>
    <w:p w14:paraId="3FAAF016" w14:textId="77777777" w:rsidR="00F958DE" w:rsidRPr="00F958DE" w:rsidRDefault="00F958DE" w:rsidP="00F958DE">
      <w:pPr>
        <w:pStyle w:val="ListParagraph"/>
        <w:numPr>
          <w:ilvl w:val="0"/>
          <w:numId w:val="30"/>
        </w:numPr>
        <w:spacing w:before="120" w:after="120" w:line="360" w:lineRule="auto"/>
        <w:rPr>
          <w:rFonts w:ascii="Arial" w:hAnsi="Arial" w:cs="Arial"/>
          <w:b/>
          <w:bCs/>
          <w:color w:val="000000" w:themeColor="text1"/>
          <w:sz w:val="24"/>
          <w:szCs w:val="24"/>
        </w:rPr>
      </w:pPr>
      <w:r w:rsidRPr="00F958DE">
        <w:rPr>
          <w:rFonts w:ascii="Arial" w:hAnsi="Arial" w:cs="Arial"/>
          <w:b/>
          <w:bCs/>
          <w:color w:val="000000" w:themeColor="text1"/>
          <w:sz w:val="24"/>
          <w:szCs w:val="24"/>
        </w:rPr>
        <w:t>Greater than a 500% increase in revenue in fiscal 2022 over fiscal 2020</w:t>
      </w:r>
      <w:r w:rsidRPr="00F958DE">
        <w:rPr>
          <w:rStyle w:val="FootnoteReference"/>
          <w:rFonts w:ascii="Arial" w:hAnsi="Arial" w:cs="Arial"/>
          <w:b/>
          <w:bCs/>
          <w:color w:val="000000" w:themeColor="text1"/>
          <w:sz w:val="24"/>
          <w:szCs w:val="24"/>
        </w:rPr>
        <w:footnoteReference w:id="1"/>
      </w:r>
      <w:r w:rsidRPr="00F958DE">
        <w:rPr>
          <w:rFonts w:ascii="Arial" w:hAnsi="Arial" w:cs="Arial"/>
          <w:b/>
          <w:bCs/>
          <w:color w:val="000000" w:themeColor="text1"/>
          <w:sz w:val="24"/>
          <w:szCs w:val="24"/>
        </w:rPr>
        <w:t>, from CAD$ 271,492 in 2020 (audited) to over CAD$ 1.8 Million in fiscal 2022 (unaudited).</w:t>
      </w:r>
    </w:p>
    <w:p w14:paraId="1BC954DC" w14:textId="77777777" w:rsidR="00F958DE" w:rsidRPr="00F958DE" w:rsidRDefault="00F958DE" w:rsidP="00F958DE">
      <w:pPr>
        <w:pStyle w:val="ListParagraph"/>
        <w:numPr>
          <w:ilvl w:val="0"/>
          <w:numId w:val="30"/>
        </w:numPr>
        <w:spacing w:before="120" w:after="120" w:line="360" w:lineRule="auto"/>
        <w:rPr>
          <w:rFonts w:ascii="Arial" w:hAnsi="Arial" w:cs="Arial"/>
          <w:b/>
          <w:bCs/>
          <w:color w:val="000000" w:themeColor="text1"/>
          <w:sz w:val="24"/>
          <w:szCs w:val="24"/>
        </w:rPr>
      </w:pPr>
      <w:r w:rsidRPr="00F958DE">
        <w:rPr>
          <w:rFonts w:ascii="Arial" w:hAnsi="Arial" w:cs="Arial"/>
          <w:b/>
          <w:bCs/>
          <w:color w:val="000000" w:themeColor="text1"/>
          <w:sz w:val="24"/>
          <w:szCs w:val="24"/>
        </w:rPr>
        <w:t>Merchant processing exceeds USD 50 million in 2022</w:t>
      </w:r>
      <w:r w:rsidRPr="00F958DE">
        <w:rPr>
          <w:rStyle w:val="FootnoteReference"/>
          <w:rFonts w:ascii="Arial" w:hAnsi="Arial" w:cs="Arial"/>
          <w:b/>
          <w:bCs/>
          <w:color w:val="000000" w:themeColor="text1"/>
          <w:sz w:val="24"/>
          <w:szCs w:val="24"/>
        </w:rPr>
        <w:footnoteReference w:id="2"/>
      </w:r>
      <w:r w:rsidRPr="00F958DE">
        <w:rPr>
          <w:rFonts w:ascii="Arial" w:hAnsi="Arial" w:cs="Arial"/>
          <w:b/>
          <w:bCs/>
          <w:color w:val="000000" w:themeColor="text1"/>
          <w:sz w:val="24"/>
          <w:szCs w:val="24"/>
        </w:rPr>
        <w:t xml:space="preserve"> an increase of over 400%.</w:t>
      </w:r>
    </w:p>
    <w:p w14:paraId="15C93FBC" w14:textId="77777777" w:rsidR="00F958DE" w:rsidRPr="00F958DE" w:rsidRDefault="00F958DE" w:rsidP="00F958DE">
      <w:pPr>
        <w:pStyle w:val="ListParagraph"/>
        <w:numPr>
          <w:ilvl w:val="0"/>
          <w:numId w:val="30"/>
        </w:numPr>
        <w:spacing w:before="120" w:after="120" w:line="360" w:lineRule="auto"/>
        <w:rPr>
          <w:rFonts w:ascii="Arial" w:hAnsi="Arial" w:cs="Arial"/>
          <w:b/>
          <w:bCs/>
          <w:color w:val="000000" w:themeColor="text1"/>
          <w:sz w:val="24"/>
          <w:szCs w:val="24"/>
        </w:rPr>
      </w:pPr>
      <w:r w:rsidRPr="00F958DE">
        <w:rPr>
          <w:rFonts w:ascii="Arial" w:hAnsi="Arial" w:cs="Arial"/>
          <w:b/>
          <w:bCs/>
          <w:color w:val="000000" w:themeColor="text1"/>
          <w:sz w:val="24"/>
          <w:szCs w:val="24"/>
        </w:rPr>
        <w:t xml:space="preserve">250% increase in merchants signed up for the platform. </w:t>
      </w:r>
    </w:p>
    <w:p w14:paraId="649ED188" w14:textId="77777777" w:rsidR="00F958DE" w:rsidRPr="00F958DE" w:rsidRDefault="00F958DE" w:rsidP="00F958DE">
      <w:pPr>
        <w:pStyle w:val="ListParagraph"/>
        <w:numPr>
          <w:ilvl w:val="0"/>
          <w:numId w:val="30"/>
        </w:numPr>
        <w:spacing w:before="120" w:after="120" w:line="360" w:lineRule="auto"/>
        <w:rPr>
          <w:rFonts w:ascii="Arial" w:hAnsi="Arial" w:cs="Arial"/>
          <w:b/>
          <w:bCs/>
          <w:color w:val="000000" w:themeColor="text1"/>
          <w:sz w:val="24"/>
          <w:szCs w:val="24"/>
        </w:rPr>
      </w:pPr>
      <w:r w:rsidRPr="00F958DE">
        <w:rPr>
          <w:rFonts w:ascii="Arial" w:hAnsi="Arial" w:cs="Arial"/>
          <w:b/>
          <w:bCs/>
          <w:color w:val="000000" w:themeColor="text1"/>
          <w:sz w:val="24"/>
          <w:szCs w:val="24"/>
        </w:rPr>
        <w:t xml:space="preserve">Worldwide reach. Merchants transacting in over 40 countries. </w:t>
      </w:r>
    </w:p>
    <w:p w14:paraId="3BD93E20" w14:textId="77777777" w:rsidR="00F958DE" w:rsidRPr="00F958DE" w:rsidRDefault="00F958DE" w:rsidP="00F958DE">
      <w:pPr>
        <w:pStyle w:val="ListParagraph"/>
        <w:numPr>
          <w:ilvl w:val="0"/>
          <w:numId w:val="30"/>
        </w:numPr>
        <w:spacing w:before="120" w:after="120" w:line="360" w:lineRule="auto"/>
        <w:rPr>
          <w:rFonts w:ascii="Arial" w:hAnsi="Arial" w:cs="Arial"/>
          <w:b/>
          <w:bCs/>
          <w:color w:val="000000" w:themeColor="text1"/>
          <w:sz w:val="24"/>
          <w:szCs w:val="24"/>
        </w:rPr>
      </w:pPr>
      <w:r w:rsidRPr="00F958DE">
        <w:rPr>
          <w:rFonts w:ascii="Arial" w:hAnsi="Arial" w:cs="Arial"/>
          <w:b/>
          <w:bCs/>
          <w:color w:val="000000" w:themeColor="text1"/>
          <w:sz w:val="24"/>
          <w:szCs w:val="24"/>
        </w:rPr>
        <w:t>The average merchant transaction size grew 10 fold from USD$ 391 in 2020 to USD$ 4,500 in 2022.</w:t>
      </w:r>
    </w:p>
    <w:p w14:paraId="183124CC" w14:textId="77777777" w:rsidR="00F958DE" w:rsidRPr="00F958DE" w:rsidRDefault="00F958DE" w:rsidP="00F958DE">
      <w:pPr>
        <w:spacing w:before="120" w:after="120" w:line="360" w:lineRule="auto"/>
        <w:rPr>
          <w:rFonts w:ascii="Arial" w:hAnsi="Arial" w:cs="Arial"/>
          <w:b/>
          <w:bCs/>
          <w:strike/>
          <w:color w:val="000000" w:themeColor="text1"/>
          <w:sz w:val="24"/>
          <w:szCs w:val="24"/>
        </w:rPr>
      </w:pPr>
    </w:p>
    <w:p w14:paraId="305D716A" w14:textId="77777777" w:rsidR="00F958DE" w:rsidRPr="00F958DE" w:rsidRDefault="00F958DE" w:rsidP="00F958DE">
      <w:pPr>
        <w:spacing w:before="120" w:after="120" w:line="360" w:lineRule="auto"/>
        <w:ind w:left="720"/>
        <w:rPr>
          <w:rFonts w:ascii="Arial" w:hAnsi="Arial" w:cs="Arial"/>
          <w:b/>
          <w:bCs/>
          <w:color w:val="000000" w:themeColor="text1"/>
          <w:sz w:val="24"/>
          <w:szCs w:val="24"/>
        </w:rPr>
      </w:pPr>
      <w:r w:rsidRPr="00F958DE">
        <w:rPr>
          <w:rFonts w:ascii="Arial" w:hAnsi="Arial" w:cs="Arial"/>
          <w:b/>
          <w:bCs/>
          <w:color w:val="000000" w:themeColor="text1"/>
          <w:sz w:val="24"/>
          <w:szCs w:val="24"/>
        </w:rPr>
        <w:t>The Company’s growth continued into 2023, with the first two months processing volume increasing by 73% over the same period in fiscal 2022. The successful growth in all key performance indicators is a testament to the Company’s leadership, strategy, and execution.</w:t>
      </w:r>
    </w:p>
    <w:p w14:paraId="0BD4B80B" w14:textId="77777777" w:rsidR="00F958DE" w:rsidRPr="00F958DE" w:rsidRDefault="00F958DE" w:rsidP="00F958DE">
      <w:pPr>
        <w:spacing w:before="120" w:after="120" w:line="360" w:lineRule="auto"/>
        <w:ind w:left="720"/>
        <w:rPr>
          <w:rFonts w:ascii="Arial" w:hAnsi="Arial" w:cs="Arial"/>
          <w:b/>
          <w:bCs/>
          <w:color w:val="000000" w:themeColor="text1"/>
          <w:sz w:val="24"/>
          <w:szCs w:val="24"/>
        </w:rPr>
      </w:pPr>
      <w:r w:rsidRPr="00F958DE">
        <w:rPr>
          <w:rFonts w:ascii="Arial" w:hAnsi="Arial" w:cs="Arial"/>
          <w:b/>
          <w:bCs/>
          <w:color w:val="000000" w:themeColor="text1"/>
          <w:sz w:val="24"/>
          <w:szCs w:val="24"/>
        </w:rPr>
        <w:t>The Company has firmly established its business presence in North America, Europe, and the Middle East, with a workforce within each region.  The most recent with the successful expansion into the United Arab Emirates, which included PSP Licensing, Central Bank Approval, team development and successful merchant marketing.  This new expansion process can now be replicated in new regions.  While the teams continue to service their regions, the management team will now replicate the model by positioning resources for expansion into Eastern Europe and South America.</w:t>
      </w:r>
    </w:p>
    <w:p w14:paraId="7AA52AE0" w14:textId="77777777" w:rsidR="00F958DE" w:rsidRPr="00F958DE" w:rsidRDefault="00F958DE" w:rsidP="00F958DE">
      <w:pPr>
        <w:spacing w:before="120" w:after="120" w:line="360" w:lineRule="auto"/>
        <w:ind w:left="720"/>
        <w:rPr>
          <w:rFonts w:ascii="Arial" w:hAnsi="Arial" w:cs="Arial"/>
          <w:b/>
          <w:bCs/>
          <w:color w:val="000000" w:themeColor="text1"/>
          <w:sz w:val="24"/>
          <w:szCs w:val="24"/>
        </w:rPr>
      </w:pPr>
      <w:r w:rsidRPr="00F958DE">
        <w:rPr>
          <w:rFonts w:ascii="Arial" w:hAnsi="Arial" w:cs="Arial"/>
          <w:b/>
          <w:bCs/>
          <w:color w:val="000000" w:themeColor="text1"/>
          <w:sz w:val="24"/>
          <w:szCs w:val="24"/>
        </w:rPr>
        <w:t>Regarding the 2021 annual audit, a</w:t>
      </w:r>
      <w:r w:rsidRPr="00F958DE">
        <w:rPr>
          <w:rFonts w:ascii="Arial" w:hAnsi="Arial" w:cs="Arial"/>
          <w:b/>
          <w:bCs/>
          <w:color w:val="000000" w:themeColor="text1"/>
          <w:sz w:val="24"/>
          <w:szCs w:val="24"/>
          <w:shd w:val="clear" w:color="auto" w:fill="FEFEFE"/>
        </w:rPr>
        <w:t xml:space="preserve">dditional time is required to permit the Company to complete procedures and enquiries in connection with the audit and the annual financial statements. </w:t>
      </w:r>
      <w:r w:rsidRPr="00F958DE">
        <w:rPr>
          <w:rFonts w:ascii="Arial" w:hAnsi="Arial" w:cs="Arial"/>
          <w:b/>
          <w:bCs/>
          <w:color w:val="000000" w:themeColor="text1"/>
          <w:sz w:val="24"/>
          <w:szCs w:val="24"/>
        </w:rPr>
        <w:t xml:space="preserve">The Company appreciates the continued support we are getting </w:t>
      </w:r>
      <w:r w:rsidRPr="00F958DE">
        <w:rPr>
          <w:rFonts w:ascii="Arial" w:hAnsi="Arial" w:cs="Arial"/>
          <w:b/>
          <w:bCs/>
          <w:color w:val="000000" w:themeColor="text1"/>
          <w:sz w:val="24"/>
          <w:szCs w:val="24"/>
        </w:rPr>
        <w:lastRenderedPageBreak/>
        <w:t xml:space="preserve">from our shareholders, merchants and partners and looks forward to the completion of this process.  </w:t>
      </w:r>
    </w:p>
    <w:p w14:paraId="2D6ACC03" w14:textId="77777777" w:rsidR="00F958DE" w:rsidRPr="00F958DE" w:rsidRDefault="00F958DE" w:rsidP="00F958DE">
      <w:pPr>
        <w:spacing w:before="120" w:after="120" w:line="360" w:lineRule="auto"/>
        <w:ind w:left="720"/>
        <w:rPr>
          <w:rFonts w:ascii="Arial" w:hAnsi="Arial" w:cs="Arial"/>
          <w:b/>
          <w:bCs/>
          <w:color w:val="000000" w:themeColor="text1"/>
          <w:sz w:val="24"/>
          <w:szCs w:val="24"/>
          <w:shd w:val="clear" w:color="auto" w:fill="FFFFFF"/>
          <w:lang w:val="en-CA"/>
        </w:rPr>
      </w:pPr>
      <w:r w:rsidRPr="00F958DE">
        <w:rPr>
          <w:rFonts w:ascii="Arial" w:hAnsi="Arial" w:cs="Arial"/>
          <w:b/>
          <w:bCs/>
          <w:color w:val="000000" w:themeColor="text1"/>
          <w:sz w:val="24"/>
          <w:szCs w:val="24"/>
          <w:shd w:val="clear" w:color="auto" w:fill="FFFFFF"/>
          <w:lang w:val="en-CA"/>
        </w:rPr>
        <w:t xml:space="preserve">As of today, the Company continues to be subject to a cease trade order and is working diligently to complete the annual financial statements for the fiscal year ending October 31, 2021, and the fiscal year ending October 31, 2022.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22A98A31"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F958DE">
        <w:rPr>
          <w:rFonts w:ascii="Arial" w:hAnsi="Arial" w:cs="Arial"/>
          <w:szCs w:val="24"/>
          <w:u w:val="single"/>
        </w:rPr>
        <w:t>April 11</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11F1DE5" w:rsidR="00B560FF" w:rsidRPr="00B560FF" w:rsidRDefault="00F958DE">
            <w:pPr>
              <w:pStyle w:val="BodyText"/>
              <w:spacing w:before="0"/>
              <w:rPr>
                <w:rFonts w:ascii="Arial" w:hAnsi="Arial" w:cs="Arial"/>
                <w:sz w:val="22"/>
                <w:szCs w:val="22"/>
              </w:rPr>
            </w:pPr>
            <w:r>
              <w:rPr>
                <w:rFonts w:ascii="Arial" w:hAnsi="Arial" w:cs="Arial"/>
                <w:sz w:val="22"/>
                <w:szCs w:val="22"/>
              </w:rPr>
              <w:t>March</w:t>
            </w:r>
            <w:r w:rsidR="00BB144E">
              <w:rPr>
                <w:rFonts w:ascii="Arial" w:hAnsi="Arial" w:cs="Arial"/>
                <w:sz w:val="22"/>
                <w:szCs w:val="22"/>
              </w:rPr>
              <w:t xml:space="preserve"> 2023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27140A58" w:rsidR="00B560FF" w:rsidRPr="00B560FF" w:rsidRDefault="00801D77" w:rsidP="00C009F6">
            <w:pPr>
              <w:pStyle w:val="BodyText"/>
              <w:spacing w:before="0"/>
              <w:rPr>
                <w:rFonts w:ascii="Arial" w:hAnsi="Arial" w:cs="Arial"/>
                <w:sz w:val="22"/>
                <w:szCs w:val="22"/>
              </w:rPr>
            </w:pPr>
            <w:r>
              <w:rPr>
                <w:rFonts w:ascii="Arial" w:hAnsi="Arial" w:cs="Arial"/>
                <w:sz w:val="22"/>
                <w:szCs w:val="22"/>
              </w:rPr>
              <w:t>23/</w:t>
            </w:r>
            <w:r w:rsidR="00F958DE">
              <w:rPr>
                <w:rFonts w:ascii="Arial" w:hAnsi="Arial" w:cs="Arial"/>
                <w:sz w:val="22"/>
                <w:szCs w:val="22"/>
              </w:rPr>
              <w:t>04/11</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1145" w14:textId="77777777" w:rsidR="00D26072" w:rsidRDefault="00D26072">
      <w:r>
        <w:separator/>
      </w:r>
    </w:p>
  </w:endnote>
  <w:endnote w:type="continuationSeparator" w:id="0">
    <w:p w14:paraId="1441FF8C" w14:textId="77777777" w:rsidR="00D26072" w:rsidRDefault="00D2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6294" w14:textId="77777777" w:rsidR="00D26072" w:rsidRDefault="00D26072">
      <w:r>
        <w:separator/>
      </w:r>
    </w:p>
  </w:footnote>
  <w:footnote w:type="continuationSeparator" w:id="0">
    <w:p w14:paraId="3F20FB03" w14:textId="77777777" w:rsidR="00D26072" w:rsidRDefault="00D26072">
      <w:r>
        <w:continuationSeparator/>
      </w:r>
    </w:p>
  </w:footnote>
  <w:footnote w:id="1">
    <w:p w14:paraId="752153A5" w14:textId="33C8B921" w:rsidR="00F958DE" w:rsidRPr="00300898" w:rsidRDefault="00F958DE" w:rsidP="00F958DE">
      <w:pPr>
        <w:pStyle w:val="FootnoteText"/>
        <w:rPr>
          <w:sz w:val="16"/>
          <w:szCs w:val="16"/>
          <w:lang w:val="en-CA"/>
        </w:rPr>
      </w:pPr>
    </w:p>
  </w:footnote>
  <w:footnote w:id="2">
    <w:p w14:paraId="1A92E8DD" w14:textId="5E17044A" w:rsidR="00F958DE" w:rsidRPr="00300898" w:rsidRDefault="00F958DE" w:rsidP="00F958DE">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040621"/>
    <w:multiLevelType w:val="hybridMultilevel"/>
    <w:tmpl w:val="808C0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8"/>
  </w:num>
  <w:num w:numId="2" w16cid:durableId="762654482">
    <w:abstractNumId w:val="22"/>
  </w:num>
  <w:num w:numId="3" w16cid:durableId="368263364">
    <w:abstractNumId w:val="17"/>
  </w:num>
  <w:num w:numId="4" w16cid:durableId="1960329655">
    <w:abstractNumId w:val="12"/>
  </w:num>
  <w:num w:numId="5" w16cid:durableId="1634795703">
    <w:abstractNumId w:val="3"/>
  </w:num>
  <w:num w:numId="6" w16cid:durableId="1878859510">
    <w:abstractNumId w:val="24"/>
  </w:num>
  <w:num w:numId="7" w16cid:durableId="556091637">
    <w:abstractNumId w:val="8"/>
  </w:num>
  <w:num w:numId="8" w16cid:durableId="1569268100">
    <w:abstractNumId w:val="26"/>
  </w:num>
  <w:num w:numId="9" w16cid:durableId="1662124630">
    <w:abstractNumId w:val="21"/>
  </w:num>
  <w:num w:numId="10" w16cid:durableId="1210143944">
    <w:abstractNumId w:val="10"/>
  </w:num>
  <w:num w:numId="11" w16cid:durableId="1809661034">
    <w:abstractNumId w:val="14"/>
  </w:num>
  <w:num w:numId="12" w16cid:durableId="340089929">
    <w:abstractNumId w:val="15"/>
  </w:num>
  <w:num w:numId="13" w16cid:durableId="1935430497">
    <w:abstractNumId w:val="28"/>
  </w:num>
  <w:num w:numId="14" w16cid:durableId="961377437">
    <w:abstractNumId w:val="6"/>
  </w:num>
  <w:num w:numId="15" w16cid:durableId="352730821">
    <w:abstractNumId w:val="9"/>
  </w:num>
  <w:num w:numId="16" w16cid:durableId="1004554496">
    <w:abstractNumId w:val="11"/>
  </w:num>
  <w:num w:numId="17" w16cid:durableId="238443094">
    <w:abstractNumId w:val="19"/>
  </w:num>
  <w:num w:numId="18" w16cid:durableId="552347603">
    <w:abstractNumId w:val="2"/>
  </w:num>
  <w:num w:numId="19" w16cid:durableId="124542869">
    <w:abstractNumId w:val="7"/>
  </w:num>
  <w:num w:numId="20" w16cid:durableId="1828521521">
    <w:abstractNumId w:val="25"/>
  </w:num>
  <w:num w:numId="21" w16cid:durableId="1635258589">
    <w:abstractNumId w:val="1"/>
  </w:num>
  <w:num w:numId="22" w16cid:durableId="1076247947">
    <w:abstractNumId w:val="0"/>
  </w:num>
  <w:num w:numId="23" w16cid:durableId="1741824240">
    <w:abstractNumId w:val="23"/>
  </w:num>
  <w:num w:numId="24" w16cid:durableId="897008117">
    <w:abstractNumId w:val="20"/>
  </w:num>
  <w:num w:numId="25" w16cid:durableId="18549752">
    <w:abstractNumId w:val="4"/>
  </w:num>
  <w:num w:numId="26" w16cid:durableId="647369017">
    <w:abstractNumId w:val="27"/>
  </w:num>
  <w:num w:numId="27" w16cid:durableId="1621956162">
    <w:abstractNumId w:val="29"/>
  </w:num>
  <w:num w:numId="28" w16cid:durableId="1929459969">
    <w:abstractNumId w:val="5"/>
  </w:num>
  <w:num w:numId="29" w16cid:durableId="1379891438">
    <w:abstractNumId w:val="16"/>
  </w:num>
  <w:num w:numId="30" w16cid:durableId="2001300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03139"/>
    <w:rsid w:val="00115FAA"/>
    <w:rsid w:val="00142643"/>
    <w:rsid w:val="001436FF"/>
    <w:rsid w:val="001808AF"/>
    <w:rsid w:val="00183610"/>
    <w:rsid w:val="00186E3B"/>
    <w:rsid w:val="001910AE"/>
    <w:rsid w:val="001A3AFA"/>
    <w:rsid w:val="001B37A3"/>
    <w:rsid w:val="001C775D"/>
    <w:rsid w:val="001D14A5"/>
    <w:rsid w:val="001D6DFF"/>
    <w:rsid w:val="001F47BD"/>
    <w:rsid w:val="002139F2"/>
    <w:rsid w:val="00222B62"/>
    <w:rsid w:val="00237B97"/>
    <w:rsid w:val="00247A5E"/>
    <w:rsid w:val="002530D5"/>
    <w:rsid w:val="00254CBA"/>
    <w:rsid w:val="00257313"/>
    <w:rsid w:val="00267BDE"/>
    <w:rsid w:val="002B5399"/>
    <w:rsid w:val="002C281E"/>
    <w:rsid w:val="002C29B3"/>
    <w:rsid w:val="002D0A56"/>
    <w:rsid w:val="002E3790"/>
    <w:rsid w:val="002F00EB"/>
    <w:rsid w:val="00302246"/>
    <w:rsid w:val="0031526B"/>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97B11"/>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01D77"/>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A3566B"/>
    <w:rsid w:val="00A36F90"/>
    <w:rsid w:val="00A42996"/>
    <w:rsid w:val="00A45217"/>
    <w:rsid w:val="00A47914"/>
    <w:rsid w:val="00A82483"/>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B144E"/>
    <w:rsid w:val="00BC564A"/>
    <w:rsid w:val="00BD7DD2"/>
    <w:rsid w:val="00C002E1"/>
    <w:rsid w:val="00C009F6"/>
    <w:rsid w:val="00C0609D"/>
    <w:rsid w:val="00C067A1"/>
    <w:rsid w:val="00C21652"/>
    <w:rsid w:val="00C27A18"/>
    <w:rsid w:val="00C34A01"/>
    <w:rsid w:val="00C51D64"/>
    <w:rsid w:val="00C55233"/>
    <w:rsid w:val="00C6383E"/>
    <w:rsid w:val="00C7400D"/>
    <w:rsid w:val="00C80464"/>
    <w:rsid w:val="00C8663B"/>
    <w:rsid w:val="00C917CF"/>
    <w:rsid w:val="00CA29D6"/>
    <w:rsid w:val="00CA361D"/>
    <w:rsid w:val="00CA4949"/>
    <w:rsid w:val="00CA6129"/>
    <w:rsid w:val="00CD2731"/>
    <w:rsid w:val="00CD4A09"/>
    <w:rsid w:val="00CE5AE7"/>
    <w:rsid w:val="00D02EF7"/>
    <w:rsid w:val="00D05A23"/>
    <w:rsid w:val="00D1378E"/>
    <w:rsid w:val="00D1447F"/>
    <w:rsid w:val="00D26072"/>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58DE"/>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 w:type="paragraph" w:styleId="FootnoteText">
    <w:name w:val="footnote text"/>
    <w:basedOn w:val="Normal"/>
    <w:link w:val="FootnoteTextChar"/>
    <w:uiPriority w:val="99"/>
    <w:semiHidden/>
    <w:unhideWhenUsed/>
    <w:rsid w:val="00F958DE"/>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F958D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F95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4</cp:revision>
  <cp:lastPrinted>2004-05-10T18:28:00Z</cp:lastPrinted>
  <dcterms:created xsi:type="dcterms:W3CDTF">2023-04-11T16:55:00Z</dcterms:created>
  <dcterms:modified xsi:type="dcterms:W3CDTF">2023-04-11T17:00:00Z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