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16B5018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26328">
        <w:rPr>
          <w:rFonts w:ascii="Arial" w:hAnsi="Arial"/>
          <w:b/>
          <w:bCs/>
          <w:color w:val="000000"/>
          <w:u w:val="single"/>
        </w:rPr>
        <w:t>72,181,457</w:t>
      </w:r>
      <w:r>
        <w:rPr>
          <w:rFonts w:ascii="Arial" w:hAnsi="Arial"/>
          <w:color w:val="000000"/>
          <w:u w:val="single"/>
        </w:rPr>
        <w:tab/>
      </w:r>
      <w:r>
        <w:rPr>
          <w:rFonts w:ascii="Arial" w:hAnsi="Arial"/>
          <w:color w:val="000000"/>
          <w:u w:val="single"/>
        </w:rPr>
        <w:tab/>
      </w:r>
    </w:p>
    <w:p w14:paraId="57BFDC24" w14:textId="4D871AC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26328">
        <w:rPr>
          <w:rFonts w:ascii="Arial" w:hAnsi="Arial"/>
          <w:b/>
          <w:bCs/>
          <w:color w:val="000000"/>
          <w:u w:val="single"/>
        </w:rPr>
        <w:t>March</w:t>
      </w:r>
      <w:r w:rsidR="00926D81">
        <w:rPr>
          <w:rFonts w:ascii="Arial" w:hAnsi="Arial"/>
          <w:b/>
          <w:bCs/>
          <w:color w:val="000000"/>
          <w:u w:val="single"/>
        </w:rPr>
        <w:t xml:space="preserve"> </w:t>
      </w:r>
      <w:r w:rsidR="006A0EE3">
        <w:rPr>
          <w:rFonts w:ascii="Arial" w:hAnsi="Arial"/>
          <w:b/>
          <w:bCs/>
          <w:color w:val="000000"/>
          <w:u w:val="single"/>
        </w:rPr>
        <w:t>5</w:t>
      </w:r>
      <w:r w:rsidR="003417E1" w:rsidRPr="003417E1">
        <w:rPr>
          <w:rFonts w:ascii="Arial" w:hAnsi="Arial"/>
          <w:b/>
          <w:bCs/>
          <w:color w:val="000000"/>
          <w:u w:val="single"/>
        </w:rPr>
        <w:t>, 202</w:t>
      </w:r>
      <w:r w:rsidR="006A0EE3">
        <w:rPr>
          <w:rFonts w:ascii="Arial" w:hAnsi="Arial"/>
          <w:b/>
          <w:bCs/>
          <w:color w:val="000000"/>
          <w:u w:val="single"/>
        </w:rPr>
        <w:t>3</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763F1EB4"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w:t>
      </w:r>
      <w:r w:rsidR="00D566C7">
        <w:rPr>
          <w:rFonts w:ascii="Arial" w:hAnsi="Arial"/>
          <w:b/>
          <w:bCs/>
        </w:rPr>
        <w:t xml:space="preserve">Company has commenced operations at its </w:t>
      </w:r>
      <w:r w:rsidRPr="002175F0">
        <w:rPr>
          <w:rFonts w:ascii="Arial" w:hAnsi="Arial"/>
          <w:b/>
          <w:bCs/>
        </w:rPr>
        <w:t xml:space="preserve">new 7,000 square foot production facility. </w:t>
      </w:r>
      <w:r w:rsidR="00D566C7">
        <w:rPr>
          <w:rFonts w:ascii="Arial" w:hAnsi="Arial"/>
          <w:b/>
          <w:bCs/>
        </w:rPr>
        <w:t xml:space="preserve">The </w:t>
      </w:r>
      <w:r>
        <w:rPr>
          <w:rFonts w:ascii="Arial" w:hAnsi="Arial"/>
          <w:b/>
          <w:bCs/>
        </w:rPr>
        <w:t>Company</w:t>
      </w:r>
      <w:r w:rsidR="00D566C7">
        <w:rPr>
          <w:rFonts w:ascii="Arial" w:hAnsi="Arial"/>
          <w:b/>
          <w:bCs/>
        </w:rPr>
        <w:t>’s</w:t>
      </w:r>
      <w:r w:rsidRPr="002175F0">
        <w:rPr>
          <w:rFonts w:ascii="Arial" w:hAnsi="Arial"/>
          <w:b/>
          <w:bCs/>
        </w:rPr>
        <w:t xml:space="preserve"> fully automated production line from Paxiom Inc., of Montreal, Quebec</w:t>
      </w:r>
      <w:r w:rsidR="00D566C7">
        <w:rPr>
          <w:rFonts w:ascii="Arial" w:hAnsi="Arial"/>
          <w:b/>
          <w:bCs/>
        </w:rPr>
        <w:t xml:space="preserve"> has been completed and </w:t>
      </w:r>
      <w:r w:rsidR="004A6738">
        <w:rPr>
          <w:rFonts w:ascii="Arial" w:hAnsi="Arial"/>
          <w:b/>
          <w:bCs/>
        </w:rPr>
        <w:t>is now operational</w:t>
      </w:r>
      <w:r w:rsidR="00D566C7">
        <w:rPr>
          <w:rFonts w:ascii="Arial" w:hAnsi="Arial"/>
          <w:b/>
          <w:bCs/>
        </w:rPr>
        <w:t>.</w:t>
      </w:r>
      <w:r w:rsidR="007B1850">
        <w:rPr>
          <w:rFonts w:ascii="Arial" w:hAnsi="Arial"/>
          <w:b/>
          <w:bCs/>
        </w:rPr>
        <w:t xml:space="preserve"> </w:t>
      </w:r>
    </w:p>
    <w:p w14:paraId="22D8DC9E" w14:textId="7F875559" w:rsidR="007D36B7" w:rsidRDefault="007D36B7" w:rsidP="007D36B7">
      <w:pPr>
        <w:pStyle w:val="List"/>
        <w:spacing w:before="120"/>
        <w:ind w:left="720" w:firstLine="0"/>
        <w:jc w:val="both"/>
        <w:rPr>
          <w:rFonts w:ascii="Arial" w:hAnsi="Arial"/>
          <w:b/>
          <w:bCs/>
        </w:rPr>
      </w:pPr>
      <w:r>
        <w:rPr>
          <w:rFonts w:ascii="Arial" w:hAnsi="Arial"/>
          <w:b/>
          <w:bCs/>
        </w:rPr>
        <w:t xml:space="preserve">During the month the Company announced that </w:t>
      </w:r>
      <w:r w:rsidRPr="007D36B7">
        <w:rPr>
          <w:rFonts w:ascii="Arial" w:hAnsi="Arial"/>
          <w:b/>
          <w:bCs/>
        </w:rPr>
        <w:t xml:space="preserve">GFCO products are </w:t>
      </w:r>
      <w:r w:rsidR="00626328" w:rsidRPr="00626328">
        <w:rPr>
          <w:rFonts w:ascii="Arial" w:hAnsi="Arial"/>
          <w:b/>
          <w:bCs/>
        </w:rPr>
        <w:t>now available for purchase on Amazon.com in the United States and Amazon.ca in Canada. Amazon will carry GFCO’s gluten and allergen free fried chicken batter, fish &amp; chip batter, pizza &amp; pasta mix, tempura batter, pancake and waffle blend, cake mix.</w:t>
      </w:r>
    </w:p>
    <w:p w14:paraId="05E22721" w14:textId="2A0B15A9" w:rsidR="00626328" w:rsidRDefault="00626328" w:rsidP="007D36B7">
      <w:pPr>
        <w:pStyle w:val="List"/>
        <w:spacing w:before="120"/>
        <w:ind w:left="720" w:firstLine="0"/>
        <w:jc w:val="both"/>
        <w:rPr>
          <w:rFonts w:ascii="Arial" w:hAnsi="Arial"/>
          <w:b/>
          <w:bCs/>
        </w:rPr>
      </w:pPr>
      <w:r>
        <w:rPr>
          <w:rFonts w:ascii="Arial" w:hAnsi="Arial"/>
          <w:b/>
          <w:bCs/>
        </w:rPr>
        <w:t>The Company announced</w:t>
      </w:r>
      <w:r w:rsidRPr="00626328">
        <w:rPr>
          <w:rFonts w:ascii="Arial" w:hAnsi="Arial"/>
          <w:b/>
          <w:bCs/>
        </w:rPr>
        <w:t xml:space="preserve"> that it has hit a significant milestone as it has now delivered over 70,000 of its gluten free pizza crusts to Panago Pizza locations nationwide. Panago is a Canadian pizza delivery and takeout chain with over 195+ locations across five provinces and territories.</w:t>
      </w:r>
    </w:p>
    <w:p w14:paraId="064AC4B9" w14:textId="64B40F33" w:rsidR="00626328" w:rsidRDefault="00626328" w:rsidP="007D36B7">
      <w:pPr>
        <w:pStyle w:val="List"/>
        <w:spacing w:before="120"/>
        <w:ind w:left="720" w:firstLine="0"/>
        <w:jc w:val="both"/>
        <w:rPr>
          <w:rFonts w:ascii="Arial" w:hAnsi="Arial"/>
          <w:b/>
          <w:bCs/>
        </w:rPr>
      </w:pPr>
      <w:r>
        <w:rPr>
          <w:rFonts w:ascii="Arial" w:hAnsi="Arial"/>
          <w:b/>
          <w:bCs/>
        </w:rPr>
        <w:t>The Company</w:t>
      </w:r>
      <w:r w:rsidRPr="00626328">
        <w:rPr>
          <w:rFonts w:ascii="Arial" w:hAnsi="Arial"/>
          <w:b/>
          <w:bCs/>
        </w:rPr>
        <w:t xml:space="preserve"> announce</w:t>
      </w:r>
      <w:r>
        <w:rPr>
          <w:rFonts w:ascii="Arial" w:hAnsi="Arial"/>
          <w:b/>
          <w:bCs/>
        </w:rPr>
        <w:t>d</w:t>
      </w:r>
      <w:r w:rsidRPr="00626328">
        <w:rPr>
          <w:rFonts w:ascii="Arial" w:hAnsi="Arial"/>
          <w:b/>
          <w:bCs/>
        </w:rPr>
        <w:t xml:space="preserve"> that </w:t>
      </w:r>
      <w:r>
        <w:rPr>
          <w:rFonts w:ascii="Arial" w:hAnsi="Arial"/>
          <w:b/>
          <w:bCs/>
        </w:rPr>
        <w:t>it is</w:t>
      </w:r>
      <w:r w:rsidRPr="00626328">
        <w:rPr>
          <w:rFonts w:ascii="Arial" w:hAnsi="Arial"/>
          <w:b/>
          <w:bCs/>
        </w:rPr>
        <w:t xml:space="preserve"> participating in U.S. based Sprouts Farmers Market’s gluten-free awareness campaign. The campaign provides general information about switching to gluten-free and tips for shopping gluten-free. In then highlights certain gluten-free products including GFCO’s Artisan Fried Chicken Mix and Artisan Fish Batter. The campaign can be found here: https://www.sprouts.com/healthy-living/gluten-free-goodness/.</w:t>
      </w:r>
    </w:p>
    <w:p w14:paraId="37277272" w14:textId="113C1B01" w:rsidR="0087147C" w:rsidRPr="00DE388E" w:rsidRDefault="00626328" w:rsidP="007D36B7">
      <w:pPr>
        <w:pStyle w:val="List"/>
        <w:spacing w:before="120"/>
        <w:ind w:left="720" w:firstLine="0"/>
        <w:jc w:val="both"/>
        <w:rPr>
          <w:rFonts w:ascii="Arial" w:hAnsi="Arial"/>
          <w:b/>
          <w:bCs/>
        </w:rPr>
      </w:pPr>
      <w:r>
        <w:rPr>
          <w:rFonts w:ascii="Arial" w:hAnsi="Arial"/>
          <w:b/>
          <w:bCs/>
        </w:rPr>
        <w:t xml:space="preserve">The Company also announced that </w:t>
      </w:r>
      <w:r w:rsidRPr="00626328">
        <w:rPr>
          <w:rFonts w:ascii="Arial" w:hAnsi="Arial"/>
          <w:b/>
          <w:bCs/>
        </w:rPr>
        <w:t xml:space="preserve">it has completed the development of its latest portfolio addition, a children’s protein pancake and waffle mix called “Patty Cakes™.” Patty Cakes™ is enriched with 23 grams of potato protein and 100% free of gluten and all top allergens, including dairy, nuts, egg, and soy. Patty Cakes has been meticulously formulated to appeal to health-conscious parents seeking alternative to traditional pancake mixes. </w:t>
      </w: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3AD28D7" w:rsidR="00C61BD1" w:rsidRPr="00C61BD1" w:rsidRDefault="0087147C" w:rsidP="00C61BD1">
      <w:pPr>
        <w:pStyle w:val="List"/>
        <w:spacing w:before="120"/>
        <w:ind w:left="720" w:firstLine="0"/>
        <w:jc w:val="both"/>
        <w:rPr>
          <w:rFonts w:ascii="Arial" w:hAnsi="Arial"/>
          <w:b/>
          <w:bCs/>
        </w:rPr>
      </w:pPr>
      <w:r>
        <w:rPr>
          <w:rFonts w:ascii="Arial" w:hAnsi="Arial"/>
          <w:b/>
          <w:bCs/>
        </w:rPr>
        <w:t>Please see response to question 1.</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w:t>
      </w:r>
      <w:r>
        <w:rPr>
          <w:rFonts w:ascii="Arial" w:hAnsi="Arial"/>
        </w:rPr>
        <w:lastRenderedPageBreak/>
        <w:t>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446A9EDB" w:rsidR="00D15594" w:rsidRPr="00D15594" w:rsidRDefault="0087147C" w:rsidP="00D15594">
      <w:pPr>
        <w:pStyle w:val="List"/>
        <w:spacing w:before="120"/>
        <w:ind w:left="720" w:firstLine="0"/>
        <w:jc w:val="both"/>
        <w:rPr>
          <w:rFonts w:ascii="Arial" w:hAnsi="Arial"/>
          <w:b/>
          <w:bCs/>
        </w:rPr>
      </w:pPr>
      <w:r>
        <w:rPr>
          <w:rFonts w:ascii="Arial" w:hAnsi="Arial"/>
          <w:b/>
          <w:bCs/>
        </w:rPr>
        <w:t>Please see response to questions 1.</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7008C7AB" w:rsidR="00AE2BC3" w:rsidRPr="00D15594" w:rsidRDefault="00626328" w:rsidP="0087147C">
      <w:pPr>
        <w:pStyle w:val="List"/>
        <w:spacing w:before="120"/>
        <w:ind w:left="709" w:firstLine="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650FA93C"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895427">
        <w:rPr>
          <w:rFonts w:ascii="Arial" w:hAnsi="Arial"/>
          <w:b/>
          <w:bCs/>
        </w:rPr>
        <w:t xml:space="preserve">a total of </w:t>
      </w:r>
      <w:r w:rsidR="00D56014">
        <w:rPr>
          <w:rFonts w:ascii="Arial" w:hAnsi="Arial"/>
          <w:b/>
          <w:bCs/>
        </w:rPr>
        <w:t>2</w:t>
      </w:r>
      <w:r w:rsidR="00915C54">
        <w:rPr>
          <w:rFonts w:ascii="Arial" w:hAnsi="Arial"/>
          <w:b/>
          <w:bCs/>
        </w:rPr>
        <w:t>5</w:t>
      </w:r>
      <w:r w:rsidR="00156A88">
        <w:rPr>
          <w:rFonts w:ascii="Arial" w:hAnsi="Arial"/>
          <w:b/>
          <w:bCs/>
        </w:rPr>
        <w:t xml:space="preserve"> </w:t>
      </w:r>
      <w:r w:rsidR="00895427">
        <w:rPr>
          <w:rFonts w:ascii="Arial" w:hAnsi="Arial"/>
          <w:b/>
          <w:bCs/>
        </w:rPr>
        <w:t>employees.</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414553C6" w:rsidR="00640E94" w:rsidRDefault="00626328">
            <w:pPr>
              <w:pStyle w:val="List"/>
              <w:tabs>
                <w:tab w:val="left" w:pos="360"/>
              </w:tabs>
              <w:spacing w:before="0" w:line="280" w:lineRule="exact"/>
              <w:ind w:left="0" w:firstLine="0"/>
              <w:jc w:val="both"/>
              <w:rPr>
                <w:rFonts w:ascii="Arial" w:hAnsi="Arial"/>
              </w:rPr>
            </w:pPr>
            <w:r>
              <w:rPr>
                <w:rFonts w:ascii="Arial" w:hAnsi="Arial"/>
              </w:rPr>
              <w:lastRenderedPageBreak/>
              <w:t>Class “A” common shares</w:t>
            </w:r>
          </w:p>
        </w:tc>
        <w:tc>
          <w:tcPr>
            <w:tcW w:w="2394" w:type="dxa"/>
          </w:tcPr>
          <w:p w14:paraId="57BFDC41" w14:textId="1FE04F6D" w:rsidR="00640E94" w:rsidRDefault="00626328">
            <w:pPr>
              <w:pStyle w:val="List"/>
              <w:tabs>
                <w:tab w:val="left" w:pos="360"/>
              </w:tabs>
              <w:spacing w:before="0" w:line="280" w:lineRule="exact"/>
              <w:ind w:left="0" w:firstLine="0"/>
              <w:jc w:val="both"/>
              <w:rPr>
                <w:rFonts w:ascii="Arial" w:hAnsi="Arial"/>
              </w:rPr>
            </w:pPr>
            <w:r>
              <w:rPr>
                <w:rFonts w:ascii="Arial" w:hAnsi="Arial"/>
              </w:rPr>
              <w:t>218,750</w:t>
            </w:r>
          </w:p>
        </w:tc>
        <w:tc>
          <w:tcPr>
            <w:tcW w:w="2394" w:type="dxa"/>
          </w:tcPr>
          <w:p w14:paraId="57BFDC42" w14:textId="562F40E5" w:rsidR="00640E94" w:rsidRDefault="00626328">
            <w:pPr>
              <w:pStyle w:val="List"/>
              <w:tabs>
                <w:tab w:val="left" w:pos="360"/>
              </w:tabs>
              <w:spacing w:before="0" w:line="280" w:lineRule="exact"/>
              <w:ind w:left="0" w:firstLine="0"/>
              <w:jc w:val="both"/>
              <w:rPr>
                <w:rFonts w:ascii="Arial" w:hAnsi="Arial"/>
              </w:rPr>
            </w:pPr>
            <w:r>
              <w:rPr>
                <w:rFonts w:ascii="Arial" w:hAnsi="Arial"/>
              </w:rPr>
              <w:t>Conversion of convertible loan.</w:t>
            </w:r>
          </w:p>
        </w:tc>
        <w:tc>
          <w:tcPr>
            <w:tcW w:w="2394" w:type="dxa"/>
          </w:tcPr>
          <w:p w14:paraId="57BFDC43" w14:textId="1590D94F" w:rsidR="00640E94" w:rsidRDefault="00626328">
            <w:pPr>
              <w:pStyle w:val="List"/>
              <w:tabs>
                <w:tab w:val="left" w:pos="360"/>
              </w:tabs>
              <w:spacing w:before="0" w:line="280" w:lineRule="exact"/>
              <w:ind w:left="0" w:firstLine="0"/>
              <w:jc w:val="both"/>
              <w:rPr>
                <w:rFonts w:ascii="Arial" w:hAnsi="Arial"/>
              </w:rPr>
            </w:pPr>
            <w:r>
              <w:rPr>
                <w:rFonts w:ascii="Arial" w:hAnsi="Arial"/>
              </w:rPr>
              <w:t>Debt repayment.</w:t>
            </w:r>
          </w:p>
        </w:tc>
      </w:tr>
      <w:tr w:rsidR="00640E94" w14:paraId="57BFDC49" w14:textId="77777777">
        <w:tc>
          <w:tcPr>
            <w:tcW w:w="2394" w:type="dxa"/>
          </w:tcPr>
          <w:p w14:paraId="57BFDC45" w14:textId="50415C93" w:rsidR="00640E94" w:rsidRDefault="00626328">
            <w:pPr>
              <w:pStyle w:val="List"/>
              <w:tabs>
                <w:tab w:val="left" w:pos="360"/>
              </w:tabs>
              <w:spacing w:before="0" w:line="280" w:lineRule="exact"/>
              <w:ind w:left="0" w:firstLine="0"/>
              <w:jc w:val="both"/>
              <w:rPr>
                <w:rFonts w:ascii="Arial" w:hAnsi="Arial"/>
              </w:rPr>
            </w:pPr>
            <w:r>
              <w:rPr>
                <w:rFonts w:ascii="Arial" w:hAnsi="Arial"/>
              </w:rPr>
              <w:t>Class “A” common shares</w:t>
            </w:r>
          </w:p>
        </w:tc>
        <w:tc>
          <w:tcPr>
            <w:tcW w:w="2394" w:type="dxa"/>
          </w:tcPr>
          <w:p w14:paraId="57BFDC46" w14:textId="66A6D0ED" w:rsidR="00640E94" w:rsidRDefault="00626328">
            <w:pPr>
              <w:pStyle w:val="List"/>
              <w:tabs>
                <w:tab w:val="left" w:pos="360"/>
              </w:tabs>
              <w:spacing w:before="0" w:line="280" w:lineRule="exact"/>
              <w:ind w:left="0" w:firstLine="0"/>
              <w:jc w:val="both"/>
              <w:rPr>
                <w:rFonts w:ascii="Arial" w:hAnsi="Arial"/>
              </w:rPr>
            </w:pPr>
            <w:r>
              <w:rPr>
                <w:rFonts w:ascii="Arial" w:hAnsi="Arial"/>
              </w:rPr>
              <w:t>2,500,000</w:t>
            </w:r>
          </w:p>
        </w:tc>
        <w:tc>
          <w:tcPr>
            <w:tcW w:w="2394" w:type="dxa"/>
          </w:tcPr>
          <w:p w14:paraId="57BFDC47" w14:textId="2EC61DD1" w:rsidR="00640E94" w:rsidRDefault="00626328">
            <w:pPr>
              <w:pStyle w:val="List"/>
              <w:tabs>
                <w:tab w:val="left" w:pos="360"/>
              </w:tabs>
              <w:spacing w:before="0" w:line="280" w:lineRule="exact"/>
              <w:ind w:left="0" w:firstLine="0"/>
              <w:jc w:val="both"/>
              <w:rPr>
                <w:rFonts w:ascii="Arial" w:hAnsi="Arial"/>
              </w:rPr>
            </w:pPr>
            <w:r>
              <w:rPr>
                <w:rFonts w:ascii="Arial" w:hAnsi="Arial"/>
              </w:rPr>
              <w:t>Exercise of warrants.</w:t>
            </w:r>
          </w:p>
        </w:tc>
        <w:tc>
          <w:tcPr>
            <w:tcW w:w="2394" w:type="dxa"/>
          </w:tcPr>
          <w:p w14:paraId="57BFDC48" w14:textId="15F6DD3C" w:rsidR="00640E94" w:rsidRDefault="00626328">
            <w:pPr>
              <w:pStyle w:val="List"/>
              <w:tabs>
                <w:tab w:val="left" w:pos="360"/>
              </w:tabs>
              <w:spacing w:before="0" w:line="280" w:lineRule="exact"/>
              <w:ind w:left="0" w:firstLine="0"/>
              <w:jc w:val="both"/>
              <w:rPr>
                <w:rFonts w:ascii="Arial" w:hAnsi="Arial"/>
              </w:rPr>
            </w:pPr>
            <w:r>
              <w:rPr>
                <w:rFonts w:ascii="Arial" w:hAnsi="Arial"/>
              </w:rPr>
              <w:t>$625,000 of proceeds received on exercise that will be allocated to working capital.</w:t>
            </w:r>
          </w:p>
        </w:tc>
      </w:tr>
      <w:tr w:rsidR="00640E94" w14:paraId="57BFDC4E" w14:textId="77777777">
        <w:tc>
          <w:tcPr>
            <w:tcW w:w="2394" w:type="dxa"/>
          </w:tcPr>
          <w:p w14:paraId="57BFDC4A" w14:textId="28223695"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B" w14:textId="083303B7"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C" w14:textId="4AB47681" w:rsidR="00640E94" w:rsidRDefault="00640E94">
            <w:pPr>
              <w:pStyle w:val="List"/>
              <w:tabs>
                <w:tab w:val="left" w:pos="360"/>
              </w:tabs>
              <w:spacing w:before="0" w:line="280" w:lineRule="exact"/>
              <w:ind w:left="0" w:firstLine="0"/>
              <w:jc w:val="both"/>
              <w:rPr>
                <w:rFonts w:ascii="Arial" w:hAnsi="Arial"/>
              </w:rPr>
            </w:pPr>
          </w:p>
        </w:tc>
        <w:tc>
          <w:tcPr>
            <w:tcW w:w="2394" w:type="dxa"/>
          </w:tcPr>
          <w:p w14:paraId="57BFDC4D" w14:textId="1A44566E" w:rsidR="00640E94" w:rsidRDefault="00640E94">
            <w:pPr>
              <w:pStyle w:val="List"/>
              <w:tabs>
                <w:tab w:val="left" w:pos="360"/>
              </w:tabs>
              <w:spacing w:before="0" w:line="280" w:lineRule="exact"/>
              <w:ind w:left="0" w:firstLine="0"/>
              <w:jc w:val="both"/>
              <w:rPr>
                <w:rFonts w:ascii="Arial" w:hAnsi="Arial"/>
              </w:rPr>
            </w:pP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2BB59662" w14:textId="7F7E297E" w:rsidR="00A72536" w:rsidRDefault="00A72536" w:rsidP="00DE388E">
      <w:pPr>
        <w:pStyle w:val="List"/>
        <w:spacing w:before="120"/>
        <w:ind w:left="1800"/>
        <w:jc w:val="both"/>
        <w:rPr>
          <w:rFonts w:ascii="Arial" w:hAnsi="Arial"/>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2EFC1101"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626328">
        <w:rPr>
          <w:rFonts w:ascii="Arial" w:hAnsi="Arial"/>
          <w:u w:val="single"/>
        </w:rPr>
        <w:t>March 5</w:t>
      </w:r>
      <w:r w:rsidR="0050522C">
        <w:rPr>
          <w:rFonts w:ascii="Arial" w:hAnsi="Arial"/>
          <w:u w:val="single"/>
        </w:rPr>
        <w:t>,</w:t>
      </w:r>
      <w:r w:rsidR="001921DB" w:rsidRPr="001921DB">
        <w:rPr>
          <w:rFonts w:ascii="Arial" w:hAnsi="Arial"/>
          <w:u w:val="single"/>
        </w:rPr>
        <w:t xml:space="preserve"> 202</w:t>
      </w:r>
      <w:r w:rsidR="008A241B">
        <w:rPr>
          <w:rFonts w:ascii="Arial" w:hAnsi="Arial"/>
          <w:u w:val="single"/>
        </w:rPr>
        <w:t>3</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8240"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312CB73B" w:rsidR="002510B2" w:rsidRDefault="002510B2" w:rsidP="001B3A8A">
            <w:pPr>
              <w:pStyle w:val="BodyText"/>
              <w:keepNext/>
              <w:keepLines/>
              <w:spacing w:before="0"/>
              <w:rPr>
                <w:rFonts w:ascii="Arial" w:hAnsi="Arial"/>
                <w:sz w:val="18"/>
              </w:rPr>
            </w:pPr>
            <w:r>
              <w:rPr>
                <w:rFonts w:ascii="Arial" w:hAnsi="Arial"/>
                <w:sz w:val="18"/>
              </w:rPr>
              <w:t>202</w:t>
            </w:r>
            <w:r w:rsidR="009E56E8">
              <w:rPr>
                <w:rFonts w:ascii="Arial" w:hAnsi="Arial"/>
                <w:sz w:val="18"/>
              </w:rPr>
              <w:t>3</w:t>
            </w:r>
            <w:r>
              <w:rPr>
                <w:rFonts w:ascii="Arial" w:hAnsi="Arial"/>
                <w:sz w:val="18"/>
              </w:rPr>
              <w:t>/</w:t>
            </w:r>
            <w:r w:rsidR="009E56E8">
              <w:rPr>
                <w:rFonts w:ascii="Arial" w:hAnsi="Arial"/>
                <w:sz w:val="18"/>
              </w:rPr>
              <w:t>0</w:t>
            </w:r>
            <w:r w:rsidR="00626328">
              <w:rPr>
                <w:rFonts w:ascii="Arial" w:hAnsi="Arial"/>
                <w:sz w:val="18"/>
              </w:rPr>
              <w:t>2</w:t>
            </w:r>
            <w:r>
              <w:rPr>
                <w:rFonts w:ascii="Arial" w:hAnsi="Arial"/>
                <w:sz w:val="18"/>
              </w:rPr>
              <w:t>/</w:t>
            </w:r>
            <w:r w:rsidR="00626328">
              <w:rPr>
                <w:rFonts w:ascii="Arial" w:hAnsi="Arial"/>
                <w:sz w:val="18"/>
              </w:rPr>
              <w:t>28</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05E28287" w:rsidR="002510B2" w:rsidRDefault="002510B2" w:rsidP="001B3A8A">
            <w:pPr>
              <w:pStyle w:val="BodyText"/>
              <w:keepNext/>
              <w:keepLines/>
              <w:spacing w:before="0"/>
              <w:rPr>
                <w:rFonts w:ascii="Arial" w:hAnsi="Arial"/>
                <w:sz w:val="18"/>
              </w:rPr>
            </w:pPr>
            <w:r>
              <w:rPr>
                <w:rFonts w:ascii="Arial" w:hAnsi="Arial"/>
                <w:sz w:val="18"/>
              </w:rPr>
              <w:t>202</w:t>
            </w:r>
            <w:r w:rsidR="008A241B">
              <w:rPr>
                <w:rFonts w:ascii="Arial" w:hAnsi="Arial"/>
                <w:sz w:val="18"/>
              </w:rPr>
              <w:t>3</w:t>
            </w:r>
            <w:r>
              <w:rPr>
                <w:rFonts w:ascii="Arial" w:hAnsi="Arial"/>
                <w:sz w:val="18"/>
              </w:rPr>
              <w:t>/</w:t>
            </w:r>
            <w:r w:rsidR="00626328">
              <w:rPr>
                <w:rFonts w:ascii="Arial" w:hAnsi="Arial"/>
                <w:sz w:val="18"/>
              </w:rPr>
              <w:t>03/05</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000000"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000000"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46E7" w14:textId="77777777" w:rsidR="00D25D4D" w:rsidRDefault="00D25D4D">
      <w:r>
        <w:separator/>
      </w:r>
    </w:p>
  </w:endnote>
  <w:endnote w:type="continuationSeparator" w:id="0">
    <w:p w14:paraId="208C9070" w14:textId="77777777" w:rsidR="00D25D4D" w:rsidRDefault="00D25D4D">
      <w:r>
        <w:continuationSeparator/>
      </w:r>
    </w:p>
  </w:endnote>
  <w:endnote w:type="continuationNotice" w:id="1">
    <w:p w14:paraId="1DA12D9C" w14:textId="77777777" w:rsidR="00D25D4D" w:rsidRDefault="00D25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49B3" w14:textId="77777777" w:rsidR="00D25D4D" w:rsidRDefault="00D25D4D">
      <w:r>
        <w:separator/>
      </w:r>
    </w:p>
  </w:footnote>
  <w:footnote w:type="continuationSeparator" w:id="0">
    <w:p w14:paraId="79EBD9E5" w14:textId="77777777" w:rsidR="00D25D4D" w:rsidRDefault="00D25D4D">
      <w:r>
        <w:continuationSeparator/>
      </w:r>
    </w:p>
  </w:footnote>
  <w:footnote w:type="continuationNotice" w:id="1">
    <w:p w14:paraId="3DCC6F72" w14:textId="77777777" w:rsidR="00D25D4D" w:rsidRDefault="00D25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0F0B79"/>
    <w:rsid w:val="000F42E3"/>
    <w:rsid w:val="00100D10"/>
    <w:rsid w:val="00120813"/>
    <w:rsid w:val="001430E0"/>
    <w:rsid w:val="00156A88"/>
    <w:rsid w:val="001921DB"/>
    <w:rsid w:val="00207DF7"/>
    <w:rsid w:val="00216EB9"/>
    <w:rsid w:val="002175F0"/>
    <w:rsid w:val="002510B2"/>
    <w:rsid w:val="00264E19"/>
    <w:rsid w:val="002C281E"/>
    <w:rsid w:val="002C2D38"/>
    <w:rsid w:val="002E56E2"/>
    <w:rsid w:val="002E5FE0"/>
    <w:rsid w:val="002F00EB"/>
    <w:rsid w:val="003417E1"/>
    <w:rsid w:val="003669A9"/>
    <w:rsid w:val="00371A64"/>
    <w:rsid w:val="00387FA8"/>
    <w:rsid w:val="0043257F"/>
    <w:rsid w:val="00444DA9"/>
    <w:rsid w:val="00482339"/>
    <w:rsid w:val="00494F8F"/>
    <w:rsid w:val="004A6738"/>
    <w:rsid w:val="004F58EE"/>
    <w:rsid w:val="005027C1"/>
    <w:rsid w:val="0050522C"/>
    <w:rsid w:val="00531BF2"/>
    <w:rsid w:val="005453C8"/>
    <w:rsid w:val="005643A9"/>
    <w:rsid w:val="0058580A"/>
    <w:rsid w:val="005A377E"/>
    <w:rsid w:val="005C42C4"/>
    <w:rsid w:val="005D3DDE"/>
    <w:rsid w:val="005E151C"/>
    <w:rsid w:val="005F6D8F"/>
    <w:rsid w:val="00605C4B"/>
    <w:rsid w:val="00620E7F"/>
    <w:rsid w:val="00626328"/>
    <w:rsid w:val="00633ED3"/>
    <w:rsid w:val="00635E9A"/>
    <w:rsid w:val="00640E94"/>
    <w:rsid w:val="006A0EE3"/>
    <w:rsid w:val="006D1A06"/>
    <w:rsid w:val="006E31F7"/>
    <w:rsid w:val="00722D6E"/>
    <w:rsid w:val="007341E9"/>
    <w:rsid w:val="0075172C"/>
    <w:rsid w:val="00771D06"/>
    <w:rsid w:val="007977A8"/>
    <w:rsid w:val="007B1850"/>
    <w:rsid w:val="007C31E1"/>
    <w:rsid w:val="007D36B7"/>
    <w:rsid w:val="007F5518"/>
    <w:rsid w:val="0087147C"/>
    <w:rsid w:val="00895427"/>
    <w:rsid w:val="008A241B"/>
    <w:rsid w:val="008A4FDF"/>
    <w:rsid w:val="008B7E92"/>
    <w:rsid w:val="008D135F"/>
    <w:rsid w:val="00913BA0"/>
    <w:rsid w:val="009155C7"/>
    <w:rsid w:val="00915C54"/>
    <w:rsid w:val="00922A46"/>
    <w:rsid w:val="00926D81"/>
    <w:rsid w:val="009A3D0E"/>
    <w:rsid w:val="009E56E8"/>
    <w:rsid w:val="009F4F78"/>
    <w:rsid w:val="00A33A39"/>
    <w:rsid w:val="00A4182F"/>
    <w:rsid w:val="00A47914"/>
    <w:rsid w:val="00A72536"/>
    <w:rsid w:val="00A81EE2"/>
    <w:rsid w:val="00AC28DC"/>
    <w:rsid w:val="00AD427F"/>
    <w:rsid w:val="00AE2BC3"/>
    <w:rsid w:val="00B37C05"/>
    <w:rsid w:val="00B42D7D"/>
    <w:rsid w:val="00B53F37"/>
    <w:rsid w:val="00BF0EA8"/>
    <w:rsid w:val="00BF2B5D"/>
    <w:rsid w:val="00C01063"/>
    <w:rsid w:val="00C22FAA"/>
    <w:rsid w:val="00C27A18"/>
    <w:rsid w:val="00C61BD1"/>
    <w:rsid w:val="00C6383E"/>
    <w:rsid w:val="00CC4B5B"/>
    <w:rsid w:val="00D15594"/>
    <w:rsid w:val="00D25D4D"/>
    <w:rsid w:val="00D54F2D"/>
    <w:rsid w:val="00D56014"/>
    <w:rsid w:val="00D566C7"/>
    <w:rsid w:val="00D71F7C"/>
    <w:rsid w:val="00DE388E"/>
    <w:rsid w:val="00DF131F"/>
    <w:rsid w:val="00E3455D"/>
    <w:rsid w:val="00E36141"/>
    <w:rsid w:val="00E447EA"/>
    <w:rsid w:val="00E83E58"/>
    <w:rsid w:val="00EB1E2E"/>
    <w:rsid w:val="00F049DB"/>
    <w:rsid w:val="00F40AD5"/>
    <w:rsid w:val="00F57CD9"/>
    <w:rsid w:val="00F7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3daed-b3d9-4e63-9a56-5e1e999ba801" xsi:nil="true"/>
    <lcf76f155ced4ddcb4097134ff3c332f xmlns="fbc24bba-5fe1-4e3b-9a2c-a77125c957c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3" ma:contentTypeDescription="Create a new document." ma:contentTypeScope="" ma:versionID="85c7f8cb441ac7b8a23c104645fa4f83">
  <xsd:schema xmlns:xsd="http://www.w3.org/2001/XMLSchema" xmlns:xs="http://www.w3.org/2001/XMLSchema" xmlns:p="http://schemas.microsoft.com/office/2006/metadata/properties" xmlns:ns2="fbc24bba-5fe1-4e3b-9a2c-a77125c957cf" xmlns:ns3="ffb3daed-b3d9-4e63-9a56-5e1e999ba801" targetNamespace="http://schemas.microsoft.com/office/2006/metadata/properties" ma:root="true" ma:fieldsID="eee09e826b28b30749d03ca017a3fd11" ns2:_="" ns3:_="">
    <xsd:import namespace="fbc24bba-5fe1-4e3b-9a2c-a77125c957cf"/>
    <xsd:import namespace="ffb3daed-b3d9-4e63-9a56-5e1e999ba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3daed-b3d9-4e63-9a56-5e1e999ba80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12bf90-50a4-45c2-a164-046b3e60297a}" ma:internalName="TaxCatchAll" ma:showField="CatchAllData" ma:web="ffb3daed-b3d9-4e63-9a56-5e1e999ba8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 ds:uri="ffb3daed-b3d9-4e63-9a56-5e1e999ba801"/>
    <ds:schemaRef ds:uri="fbc24bba-5fe1-4e3b-9a2c-a77125c957cf"/>
  </ds:schemaRefs>
</ds:datastoreItem>
</file>

<file path=customXml/itemProps2.xml><?xml version="1.0" encoding="utf-8"?>
<ds:datastoreItem xmlns:ds="http://schemas.openxmlformats.org/officeDocument/2006/customXml" ds:itemID="{65D9A476-D9C1-47AD-B690-69E76BA0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ffb3daed-b3d9-4e63-9a56-5e1e999ba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E4DE1-597A-4276-BE16-DADDA3981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60</cp:revision>
  <cp:lastPrinted>2004-05-10T18:28:00Z</cp:lastPrinted>
  <dcterms:created xsi:type="dcterms:W3CDTF">2021-11-29T19:11:00Z</dcterms:created>
  <dcterms:modified xsi:type="dcterms:W3CDTF">2023-03-06T19:46:00Z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y fmtid="{D5CDD505-2E9C-101B-9397-08002B2CF9AE}" pid="4" name="MediaServiceImageTags">
    <vt:lpwstr/>
  </property>
</Properties>
</file>