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7CE009DE"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AF3960">
        <w:rPr>
          <w:rFonts w:ascii="Arial" w:hAnsi="Arial" w:cs="Arial"/>
          <w:color w:val="000000"/>
          <w:szCs w:val="24"/>
          <w:u w:val="single"/>
        </w:rPr>
        <w:t xml:space="preserve">March </w:t>
      </w:r>
      <w:r w:rsidR="00895273">
        <w:rPr>
          <w:rFonts w:ascii="Arial" w:hAnsi="Arial" w:cs="Arial"/>
          <w:color w:val="000000"/>
          <w:szCs w:val="24"/>
          <w:u w:val="single"/>
        </w:rPr>
        <w:t>4</w:t>
      </w:r>
      <w:r w:rsidR="00336FDF">
        <w:rPr>
          <w:rFonts w:ascii="Arial" w:hAnsi="Arial" w:cs="Arial"/>
          <w:color w:val="000000"/>
          <w:szCs w:val="24"/>
          <w:u w:val="single"/>
        </w:rPr>
        <w:t>, 2022</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399E23B3"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C8663B">
        <w:rPr>
          <w:rFonts w:ascii="Arial" w:hAnsi="Arial" w:cs="Arial"/>
          <w:b/>
          <w:szCs w:val="24"/>
        </w:rPr>
        <w:t>February</w:t>
      </w:r>
      <w:r w:rsidR="00A36F90">
        <w:rPr>
          <w:rFonts w:ascii="Arial" w:hAnsi="Arial" w:cs="Arial"/>
          <w:b/>
          <w:szCs w:val="24"/>
        </w:rPr>
        <w:t xml:space="preserve"> 2022</w:t>
      </w:r>
      <w:r w:rsidRPr="00DD5566">
        <w:rPr>
          <w:rFonts w:ascii="Arial" w:hAnsi="Arial" w:cs="Arial"/>
          <w:b/>
          <w:szCs w:val="24"/>
        </w:rPr>
        <w:t>.</w:t>
      </w:r>
    </w:p>
    <w:p w14:paraId="32EA1D08" w14:textId="14256F9E"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4A983E7E" w14:textId="54019B83" w:rsidR="00315307" w:rsidRPr="009B75D4" w:rsidRDefault="00315307" w:rsidP="00315307">
      <w:pPr>
        <w:pStyle w:val="ListParagraph"/>
        <w:spacing w:after="300" w:line="348" w:lineRule="atLeast"/>
        <w:rPr>
          <w:rFonts w:ascii="Arial" w:hAnsi="Arial" w:cs="Arial"/>
          <w:b/>
          <w:bCs/>
          <w:color w:val="2F2E2F"/>
          <w:sz w:val="24"/>
          <w:szCs w:val="24"/>
        </w:rPr>
      </w:pPr>
      <w:r w:rsidRPr="009B75D4">
        <w:rPr>
          <w:rFonts w:ascii="Arial" w:hAnsi="Arial" w:cs="Arial"/>
          <w:b/>
          <w:bCs/>
          <w:color w:val="2F2E2F"/>
          <w:sz w:val="24"/>
          <w:szCs w:val="24"/>
        </w:rPr>
        <w:lastRenderedPageBreak/>
        <w:t xml:space="preserve">On February 15, 2022 the Company announced the board of directors has approved the change of auditors to Antares Professional Corporation, Chartered Professional Accountants (“PKF Antares”).  The decision was finalized after receiving word from Davidson &amp; Company that additional delays in the completion of 2020 audit are expected due to staffing issues at the firm.  It was further estimated by Davidson that staffing would not be available to make any progress on the audit until at least May 2022.  </w:t>
      </w:r>
    </w:p>
    <w:p w14:paraId="4DA243B6" w14:textId="07308BE4" w:rsidR="00315307" w:rsidRDefault="00315307" w:rsidP="00315307">
      <w:pPr>
        <w:pStyle w:val="ListParagraph"/>
        <w:spacing w:after="300" w:line="348" w:lineRule="atLeast"/>
        <w:rPr>
          <w:rFonts w:ascii="Arial" w:hAnsi="Arial" w:cs="Arial"/>
          <w:b/>
          <w:bCs/>
          <w:color w:val="2F2E2F"/>
          <w:sz w:val="24"/>
          <w:szCs w:val="24"/>
        </w:rPr>
      </w:pPr>
      <w:r w:rsidRPr="009B75D4">
        <w:rPr>
          <w:rFonts w:ascii="Arial" w:hAnsi="Arial" w:cs="Arial"/>
          <w:b/>
          <w:bCs/>
          <w:color w:val="2F2E2F"/>
          <w:sz w:val="24"/>
          <w:szCs w:val="24"/>
        </w:rPr>
        <w:t xml:space="preserve">The Company has been working diligently to complete the audit which has already taken much longer than expected. When the Company received notice of additional delays and no definitive completion date in sight, the board decided to make the change.  Davidson and Company has cooperated in transferring the accounting file as well as additional work papers and PKF Antares has already begun working.   The immediate response from our new auditors has been encouraging. PKF Antares has moved quickly to organize staff and review information provided by Davidson.  The estimated time for the completion of FY 2020 audit is by the end of March 2022 and end of April 2022 for the completion of FY 2021 audit.  </w:t>
      </w:r>
    </w:p>
    <w:p w14:paraId="6C735BA7" w14:textId="77777777" w:rsidR="009B75D4" w:rsidRPr="009B75D4" w:rsidRDefault="009B75D4" w:rsidP="00315307">
      <w:pPr>
        <w:pStyle w:val="ListParagraph"/>
        <w:spacing w:after="300" w:line="348" w:lineRule="atLeast"/>
        <w:rPr>
          <w:rFonts w:ascii="Arial" w:hAnsi="Arial" w:cs="Arial"/>
          <w:b/>
          <w:bCs/>
          <w:color w:val="2F2E2F"/>
          <w:sz w:val="24"/>
          <w:szCs w:val="24"/>
        </w:rPr>
      </w:pPr>
    </w:p>
    <w:p w14:paraId="650C7215" w14:textId="20900DDB" w:rsidR="00315307" w:rsidRDefault="00315307" w:rsidP="00315307">
      <w:pPr>
        <w:pStyle w:val="ListParagraph"/>
        <w:spacing w:after="300" w:line="348" w:lineRule="atLeast"/>
        <w:rPr>
          <w:rFonts w:ascii="Arial" w:hAnsi="Arial" w:cs="Arial"/>
          <w:b/>
          <w:bCs/>
          <w:color w:val="2F2E2F"/>
          <w:sz w:val="24"/>
          <w:szCs w:val="24"/>
        </w:rPr>
      </w:pPr>
      <w:r w:rsidRPr="009B75D4">
        <w:rPr>
          <w:rFonts w:ascii="Arial" w:hAnsi="Arial" w:cs="Arial"/>
          <w:b/>
          <w:bCs/>
          <w:color w:val="2F2E2F"/>
          <w:sz w:val="24"/>
          <w:szCs w:val="24"/>
        </w:rPr>
        <w:t xml:space="preserve">PKF Antares is a multidisciplinary team of talented public accounting experts headquartered in Calgary Alberta.  PKF Antares is experienced with the Audit and Accounting services for Companies operating in Crypto and Payment industries and well versed in the specific challenges in these sectors.  </w:t>
      </w:r>
    </w:p>
    <w:p w14:paraId="51704B85" w14:textId="77777777" w:rsidR="009B75D4" w:rsidRPr="009B75D4" w:rsidRDefault="009B75D4" w:rsidP="00315307">
      <w:pPr>
        <w:pStyle w:val="ListParagraph"/>
        <w:spacing w:after="300" w:line="348" w:lineRule="atLeast"/>
        <w:rPr>
          <w:rFonts w:ascii="Arial" w:hAnsi="Arial" w:cs="Arial"/>
          <w:b/>
          <w:bCs/>
          <w:color w:val="2F2E2F"/>
          <w:sz w:val="24"/>
          <w:szCs w:val="24"/>
        </w:rPr>
      </w:pPr>
    </w:p>
    <w:p w14:paraId="29818F15" w14:textId="5CB7DA2A" w:rsidR="00315307" w:rsidRPr="009B75D4" w:rsidRDefault="00315307" w:rsidP="00315307">
      <w:pPr>
        <w:pStyle w:val="ListParagraph"/>
        <w:spacing w:after="300" w:line="348" w:lineRule="atLeast"/>
        <w:rPr>
          <w:rFonts w:ascii="Arial" w:hAnsi="Arial" w:cs="Arial"/>
          <w:b/>
          <w:bCs/>
          <w:color w:val="2F2E2F"/>
          <w:sz w:val="24"/>
          <w:szCs w:val="24"/>
        </w:rPr>
      </w:pPr>
      <w:bookmarkStart w:id="5" w:name="_Hlk97193582"/>
      <w:r w:rsidRPr="009B75D4">
        <w:rPr>
          <w:rFonts w:ascii="Arial" w:hAnsi="Arial" w:cs="Arial"/>
          <w:b/>
          <w:bCs/>
          <w:color w:val="2F2E2F"/>
          <w:sz w:val="24"/>
          <w:szCs w:val="24"/>
        </w:rPr>
        <w:t xml:space="preserve">In addition to PKF Antares, PWC Cloud Finance has been hired to provide the internal bookkeeping services for NetCents.  Price Waterhouse will collect and maintain all accounting records and prepare quarterly and annual financial statements to provide to the auditors.  </w:t>
      </w:r>
    </w:p>
    <w:p w14:paraId="1439547A" w14:textId="766A9047" w:rsidR="00315307" w:rsidRPr="009B75D4" w:rsidRDefault="00315307" w:rsidP="00315307">
      <w:pPr>
        <w:pStyle w:val="ListParagraph"/>
        <w:spacing w:after="300" w:line="348" w:lineRule="atLeast"/>
        <w:rPr>
          <w:rFonts w:ascii="Arial" w:hAnsi="Arial" w:cs="Arial"/>
          <w:b/>
          <w:bCs/>
          <w:color w:val="2F2E2F"/>
          <w:sz w:val="24"/>
          <w:szCs w:val="24"/>
        </w:rPr>
      </w:pPr>
    </w:p>
    <w:bookmarkEnd w:id="5"/>
    <w:p w14:paraId="40428A48" w14:textId="77777777" w:rsidR="009B75D4" w:rsidRDefault="00315307" w:rsidP="009B75D4">
      <w:pPr>
        <w:spacing w:after="300" w:line="348" w:lineRule="atLeast"/>
        <w:ind w:left="720"/>
        <w:rPr>
          <w:rFonts w:ascii="Arial" w:hAnsi="Arial" w:cs="Arial"/>
          <w:b/>
          <w:bCs/>
          <w:color w:val="2F2E2F"/>
          <w:sz w:val="24"/>
          <w:szCs w:val="24"/>
        </w:rPr>
      </w:pPr>
      <w:r w:rsidRPr="009B75D4">
        <w:rPr>
          <w:rFonts w:ascii="Arial" w:hAnsi="Arial" w:cs="Arial"/>
          <w:b/>
          <w:bCs/>
          <w:color w:val="2F2E2F"/>
          <w:sz w:val="24"/>
          <w:szCs w:val="24"/>
        </w:rPr>
        <w:t xml:space="preserve">On February 16, 2022 the Company announced the continued recruitment of key personnel for their executive team, Agnes Li will serve as Senior Finance Controller.  </w:t>
      </w:r>
    </w:p>
    <w:p w14:paraId="66AA4F60" w14:textId="1DD2EFB4" w:rsidR="00315307" w:rsidRPr="009B75D4" w:rsidRDefault="00315307" w:rsidP="009B75D4">
      <w:pPr>
        <w:spacing w:after="300" w:line="348" w:lineRule="atLeast"/>
        <w:ind w:left="720"/>
        <w:rPr>
          <w:rFonts w:ascii="Arial" w:hAnsi="Arial" w:cs="Arial"/>
          <w:b/>
          <w:bCs/>
          <w:color w:val="2F2E2F"/>
          <w:sz w:val="24"/>
          <w:szCs w:val="24"/>
        </w:rPr>
      </w:pPr>
      <w:r w:rsidRPr="009B75D4">
        <w:rPr>
          <w:rFonts w:ascii="Arial" w:hAnsi="Arial" w:cs="Arial"/>
          <w:b/>
          <w:bCs/>
          <w:color w:val="2F2E2F"/>
          <w:sz w:val="24"/>
          <w:szCs w:val="24"/>
        </w:rPr>
        <w:t xml:space="preserve">Ms. Li is a Certified Public Accountant (CPA) and Certified Management Accountant (CMA) with 15 years’ experience in finance and accounting.  </w:t>
      </w:r>
      <w:r w:rsidRPr="009B75D4">
        <w:rPr>
          <w:rFonts w:ascii="Arial" w:hAnsi="Arial" w:cs="Arial"/>
          <w:b/>
          <w:bCs/>
          <w:color w:val="2F2E2F"/>
          <w:sz w:val="24"/>
          <w:szCs w:val="24"/>
        </w:rPr>
        <w:lastRenderedPageBreak/>
        <w:t xml:space="preserve">She also has executive experience building and managing accounting departments. She is a leader in digital transformations using technologies such as Robotic Process Automation (RPA), Blockchain, Procure to Pay (P2P) systems and Machine Learning and now brings her expertise to the NetCents’ Accounting Department.   </w:t>
      </w:r>
    </w:p>
    <w:p w14:paraId="2EB41062" w14:textId="5E7D78E9" w:rsidR="00315307" w:rsidRPr="009B75D4" w:rsidRDefault="00315307" w:rsidP="009B75D4">
      <w:pPr>
        <w:spacing w:after="300" w:line="348" w:lineRule="atLeast"/>
        <w:ind w:left="720"/>
        <w:rPr>
          <w:rFonts w:ascii="Arial" w:hAnsi="Arial" w:cs="Arial"/>
          <w:b/>
          <w:bCs/>
          <w:color w:val="2F2E2F"/>
          <w:sz w:val="24"/>
          <w:szCs w:val="24"/>
        </w:rPr>
      </w:pPr>
      <w:r w:rsidRPr="009B75D4">
        <w:rPr>
          <w:rFonts w:ascii="Arial" w:hAnsi="Arial" w:cs="Arial"/>
          <w:b/>
          <w:bCs/>
          <w:color w:val="2F2E2F"/>
          <w:sz w:val="24"/>
          <w:szCs w:val="24"/>
        </w:rPr>
        <w:t xml:space="preserve">The Executive team at NetCents is focused on our global recruitment strategy to bolster corporate talent and recourses.   Agnes Li is the latest addition to NetCents as an outcome of this new process </w:t>
      </w:r>
      <w:r w:rsidR="00CE5AE7">
        <w:rPr>
          <w:rFonts w:ascii="Arial" w:hAnsi="Arial" w:cs="Arial"/>
          <w:b/>
          <w:bCs/>
          <w:color w:val="2F2E2F"/>
          <w:sz w:val="24"/>
          <w:szCs w:val="24"/>
        </w:rPr>
        <w:t xml:space="preserve">that </w:t>
      </w:r>
      <w:r w:rsidRPr="009B75D4">
        <w:rPr>
          <w:rFonts w:ascii="Arial" w:hAnsi="Arial" w:cs="Arial"/>
          <w:b/>
          <w:bCs/>
          <w:color w:val="2F2E2F"/>
          <w:sz w:val="24"/>
          <w:szCs w:val="24"/>
        </w:rPr>
        <w:t xml:space="preserve">started mid last year.   </w:t>
      </w: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lastRenderedPageBreak/>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7806C0DE" w14:textId="49CA0BDA" w:rsidR="00BA1189" w:rsidRDefault="00BA1189" w:rsidP="002B5399">
      <w:pPr>
        <w:pStyle w:val="List"/>
        <w:spacing w:before="120"/>
        <w:ind w:left="720" w:firstLine="0"/>
        <w:jc w:val="both"/>
        <w:rPr>
          <w:rFonts w:ascii="Arial" w:hAnsi="Arial" w:cs="Arial"/>
          <w:b/>
          <w:szCs w:val="24"/>
        </w:rPr>
      </w:pPr>
      <w:r>
        <w:rPr>
          <w:rFonts w:ascii="Arial" w:hAnsi="Arial" w:cs="Arial"/>
          <w:b/>
          <w:szCs w:val="24"/>
        </w:rPr>
        <w:t>On February 22, 2022, the Company hired Ashton Lobo as Content Marketing Specialist.</w:t>
      </w:r>
    </w:p>
    <w:p w14:paraId="30834021" w14:textId="2C852196" w:rsidR="002B5399" w:rsidRPr="002B5399" w:rsidRDefault="00CD2731" w:rsidP="002B5399">
      <w:pPr>
        <w:pStyle w:val="List"/>
        <w:spacing w:before="120"/>
        <w:ind w:left="720" w:firstLine="0"/>
        <w:jc w:val="both"/>
        <w:rPr>
          <w:rFonts w:ascii="Arial" w:hAnsi="Arial" w:cs="Arial"/>
          <w:b/>
          <w:szCs w:val="24"/>
        </w:rPr>
      </w:pPr>
      <w:r>
        <w:rPr>
          <w:rFonts w:ascii="Arial" w:hAnsi="Arial" w:cs="Arial"/>
          <w:b/>
          <w:szCs w:val="24"/>
        </w:rPr>
        <w:t xml:space="preserve">On </w:t>
      </w:r>
      <w:r w:rsidR="00BA1189">
        <w:rPr>
          <w:rFonts w:ascii="Arial" w:hAnsi="Arial" w:cs="Arial"/>
          <w:b/>
          <w:szCs w:val="24"/>
        </w:rPr>
        <w:t>February 24, 2022, t</w:t>
      </w:r>
      <w:r>
        <w:rPr>
          <w:rFonts w:ascii="Arial" w:hAnsi="Arial" w:cs="Arial"/>
          <w:b/>
          <w:szCs w:val="24"/>
        </w:rPr>
        <w:t>he Company hired Nik Cheng as Visa Program Manager</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77777777"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6FD023E" w14:textId="7F49E895" w:rsidR="001D14A5" w:rsidRPr="001D14A5" w:rsidRDefault="00A45217" w:rsidP="001D14A5">
      <w:pPr>
        <w:pStyle w:val="List"/>
        <w:keepNext/>
        <w:keepLines/>
        <w:spacing w:before="120"/>
        <w:ind w:left="720" w:firstLine="0"/>
        <w:jc w:val="both"/>
        <w:rPr>
          <w:rFonts w:ascii="Arial" w:hAnsi="Arial" w:cs="Arial"/>
          <w:b/>
          <w:szCs w:val="24"/>
        </w:rPr>
      </w:pPr>
      <w:r>
        <w:rPr>
          <w:rFonts w:ascii="Arial" w:hAnsi="Arial" w:cs="Arial"/>
          <w:b/>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were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04A2CADF"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3F1FDF">
        <w:rPr>
          <w:rFonts w:ascii="Arial" w:hAnsi="Arial" w:cs="Arial"/>
          <w:szCs w:val="24"/>
          <w:u w:val="single"/>
        </w:rPr>
        <w:t xml:space="preserve">March </w:t>
      </w:r>
      <w:r w:rsidR="00895273">
        <w:rPr>
          <w:rFonts w:ascii="Arial" w:hAnsi="Arial" w:cs="Arial"/>
          <w:szCs w:val="24"/>
          <w:u w:val="single"/>
        </w:rPr>
        <w:t>4</w:t>
      </w:r>
      <w:r w:rsidR="00A36F90">
        <w:rPr>
          <w:rFonts w:ascii="Arial" w:hAnsi="Arial" w:cs="Arial"/>
          <w:szCs w:val="24"/>
          <w:u w:val="single"/>
        </w:rPr>
        <w:t>, 2022</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77777777" w:rsidR="00640E94" w:rsidRPr="00B560FF" w:rsidRDefault="00B560FF">
            <w:pPr>
              <w:pStyle w:val="BodyText"/>
              <w:rPr>
                <w:rFonts w:ascii="Arial" w:hAnsi="Arial" w:cs="Arial"/>
                <w:sz w:val="22"/>
                <w:szCs w:val="22"/>
              </w:rPr>
            </w:pPr>
            <w:r w:rsidRPr="00B560FF">
              <w:rPr>
                <w:rFonts w:ascii="Arial" w:hAnsi="Arial" w:cs="Arial"/>
                <w:sz w:val="22"/>
                <w:szCs w:val="22"/>
              </w:rPr>
              <w:t>Netcents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0E4A2632" w:rsidR="00B560FF" w:rsidRPr="00B560FF" w:rsidRDefault="003F1FDF">
            <w:pPr>
              <w:pStyle w:val="BodyText"/>
              <w:spacing w:before="0"/>
              <w:rPr>
                <w:rFonts w:ascii="Arial" w:hAnsi="Arial" w:cs="Arial"/>
                <w:sz w:val="22"/>
                <w:szCs w:val="22"/>
              </w:rPr>
            </w:pPr>
            <w:r>
              <w:rPr>
                <w:rFonts w:ascii="Arial" w:hAnsi="Arial" w:cs="Arial"/>
                <w:sz w:val="22"/>
                <w:szCs w:val="22"/>
              </w:rPr>
              <w:t>February</w:t>
            </w:r>
            <w:r w:rsidR="00A36F90">
              <w:rPr>
                <w:rFonts w:ascii="Arial" w:hAnsi="Arial" w:cs="Arial"/>
                <w:sz w:val="22"/>
                <w:szCs w:val="22"/>
              </w:rPr>
              <w:t xml:space="preserve"> 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5CFC24EF" w:rsidR="00B560FF" w:rsidRPr="00B560FF" w:rsidRDefault="003F1FDF" w:rsidP="00C009F6">
            <w:pPr>
              <w:pStyle w:val="BodyText"/>
              <w:spacing w:before="0"/>
              <w:rPr>
                <w:rFonts w:ascii="Arial" w:hAnsi="Arial" w:cs="Arial"/>
                <w:sz w:val="22"/>
                <w:szCs w:val="22"/>
              </w:rPr>
            </w:pPr>
            <w:r>
              <w:rPr>
                <w:rFonts w:ascii="Arial" w:hAnsi="Arial" w:cs="Arial"/>
                <w:sz w:val="22"/>
                <w:szCs w:val="22"/>
              </w:rPr>
              <w:t>22/03/0</w:t>
            </w:r>
            <w:r w:rsidR="00895273">
              <w:rPr>
                <w:rFonts w:ascii="Arial" w:hAnsi="Arial" w:cs="Arial"/>
                <w:sz w:val="22"/>
                <w:szCs w:val="22"/>
              </w:rPr>
              <w:t>4</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7777777" w:rsidR="00640E94" w:rsidRPr="00B560FF" w:rsidRDefault="00C009F6">
            <w:pPr>
              <w:pStyle w:val="BodyText"/>
              <w:spacing w:before="0"/>
              <w:rPr>
                <w:rFonts w:ascii="Arial" w:hAnsi="Arial" w:cs="Arial"/>
                <w:sz w:val="22"/>
                <w:szCs w:val="22"/>
              </w:rPr>
            </w:pPr>
            <w:r>
              <w:rPr>
                <w:rFonts w:ascii="Arial" w:hAnsi="Arial" w:cs="Arial"/>
                <w:sz w:val="22"/>
                <w:szCs w:val="22"/>
              </w:rPr>
              <w:t>350 – 375 Water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77777777"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C009F6" w:rsidRPr="00336FDF">
              <w:rPr>
                <w:rFonts w:ascii="Arial" w:hAnsi="Arial" w:cs="Arial"/>
                <w:sz w:val="22"/>
                <w:szCs w:val="22"/>
                <w:lang w:val="fr-FR"/>
              </w:rPr>
              <w:t>V6B 5C6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(604) 633 - 9967</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77777777" w:rsidR="00B560FF" w:rsidRPr="00B560FF" w:rsidRDefault="00B560FF">
            <w:pPr>
              <w:pStyle w:val="BodyText"/>
              <w:spacing w:before="0"/>
              <w:rPr>
                <w:rFonts w:ascii="Arial" w:hAnsi="Arial" w:cs="Arial"/>
                <w:sz w:val="22"/>
                <w:szCs w:val="22"/>
              </w:rPr>
            </w:pPr>
            <w:r>
              <w:rPr>
                <w:rFonts w:ascii="Arial" w:hAnsi="Arial" w:cs="Arial"/>
                <w:sz w:val="22"/>
                <w:szCs w:val="22"/>
              </w:rPr>
              <w:t>(604) 633 - 9967</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7F43" w14:textId="77777777" w:rsidR="007653B3" w:rsidRDefault="007653B3">
      <w:r>
        <w:separator/>
      </w:r>
    </w:p>
  </w:endnote>
  <w:endnote w:type="continuationSeparator" w:id="0">
    <w:p w14:paraId="273A47CC" w14:textId="77777777" w:rsidR="007653B3" w:rsidRDefault="0076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5875" w14:textId="77777777" w:rsidR="007653B3" w:rsidRDefault="007653B3">
      <w:r>
        <w:separator/>
      </w:r>
    </w:p>
  </w:footnote>
  <w:footnote w:type="continuationSeparator" w:id="0">
    <w:p w14:paraId="049B724B" w14:textId="77777777" w:rsidR="007653B3" w:rsidRDefault="0076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A1AB1"/>
    <w:rsid w:val="000C73C5"/>
    <w:rsid w:val="000D1F37"/>
    <w:rsid w:val="00115FAA"/>
    <w:rsid w:val="00142643"/>
    <w:rsid w:val="001910AE"/>
    <w:rsid w:val="001B37A3"/>
    <w:rsid w:val="001C775D"/>
    <w:rsid w:val="001D14A5"/>
    <w:rsid w:val="001F47BD"/>
    <w:rsid w:val="00247A5E"/>
    <w:rsid w:val="002530D5"/>
    <w:rsid w:val="00254CBA"/>
    <w:rsid w:val="00267BDE"/>
    <w:rsid w:val="002B5399"/>
    <w:rsid w:val="002C281E"/>
    <w:rsid w:val="002F00EB"/>
    <w:rsid w:val="00315307"/>
    <w:rsid w:val="00336FDF"/>
    <w:rsid w:val="00337D9B"/>
    <w:rsid w:val="003669A9"/>
    <w:rsid w:val="00371A64"/>
    <w:rsid w:val="00375937"/>
    <w:rsid w:val="00387FA8"/>
    <w:rsid w:val="003C36FC"/>
    <w:rsid w:val="003D3247"/>
    <w:rsid w:val="003F1FDF"/>
    <w:rsid w:val="00406AC8"/>
    <w:rsid w:val="004378A2"/>
    <w:rsid w:val="00471124"/>
    <w:rsid w:val="00492E49"/>
    <w:rsid w:val="004A3D27"/>
    <w:rsid w:val="004C101F"/>
    <w:rsid w:val="00501F16"/>
    <w:rsid w:val="0054327E"/>
    <w:rsid w:val="005453C8"/>
    <w:rsid w:val="005E3228"/>
    <w:rsid w:val="005F6D8F"/>
    <w:rsid w:val="00620E7F"/>
    <w:rsid w:val="00633ED3"/>
    <w:rsid w:val="00635E9A"/>
    <w:rsid w:val="00640E94"/>
    <w:rsid w:val="006651EC"/>
    <w:rsid w:val="00682FEF"/>
    <w:rsid w:val="006947DD"/>
    <w:rsid w:val="006D1A06"/>
    <w:rsid w:val="00722CAB"/>
    <w:rsid w:val="007301C0"/>
    <w:rsid w:val="007653B3"/>
    <w:rsid w:val="0079699F"/>
    <w:rsid w:val="007E15FB"/>
    <w:rsid w:val="007F086F"/>
    <w:rsid w:val="00814C33"/>
    <w:rsid w:val="00891CA8"/>
    <w:rsid w:val="00895273"/>
    <w:rsid w:val="008B7E92"/>
    <w:rsid w:val="00922A46"/>
    <w:rsid w:val="00931FA1"/>
    <w:rsid w:val="009419B5"/>
    <w:rsid w:val="00964EEC"/>
    <w:rsid w:val="0097070E"/>
    <w:rsid w:val="009B660F"/>
    <w:rsid w:val="009B75D4"/>
    <w:rsid w:val="009F45BE"/>
    <w:rsid w:val="00A3566B"/>
    <w:rsid w:val="00A36F90"/>
    <w:rsid w:val="00A45217"/>
    <w:rsid w:val="00A47914"/>
    <w:rsid w:val="00AA7259"/>
    <w:rsid w:val="00AC0477"/>
    <w:rsid w:val="00AF3960"/>
    <w:rsid w:val="00B07F39"/>
    <w:rsid w:val="00B12EC6"/>
    <w:rsid w:val="00B26A70"/>
    <w:rsid w:val="00B37C75"/>
    <w:rsid w:val="00B418A4"/>
    <w:rsid w:val="00B45663"/>
    <w:rsid w:val="00B560FF"/>
    <w:rsid w:val="00B633C4"/>
    <w:rsid w:val="00B927C8"/>
    <w:rsid w:val="00BA1189"/>
    <w:rsid w:val="00C009F6"/>
    <w:rsid w:val="00C067A1"/>
    <w:rsid w:val="00C27A18"/>
    <w:rsid w:val="00C6383E"/>
    <w:rsid w:val="00C8663B"/>
    <w:rsid w:val="00CA29D6"/>
    <w:rsid w:val="00CD2731"/>
    <w:rsid w:val="00CE5AE7"/>
    <w:rsid w:val="00D02EF7"/>
    <w:rsid w:val="00D1447F"/>
    <w:rsid w:val="00D41C89"/>
    <w:rsid w:val="00D700EC"/>
    <w:rsid w:val="00D879C6"/>
    <w:rsid w:val="00DD5566"/>
    <w:rsid w:val="00E14C65"/>
    <w:rsid w:val="00E36141"/>
    <w:rsid w:val="00E43D05"/>
    <w:rsid w:val="00E46DD7"/>
    <w:rsid w:val="00E553C1"/>
    <w:rsid w:val="00E62BBC"/>
    <w:rsid w:val="00E83E58"/>
    <w:rsid w:val="00E87494"/>
    <w:rsid w:val="00EB5428"/>
    <w:rsid w:val="00ED70D2"/>
    <w:rsid w:val="00F82A86"/>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16</cp:revision>
  <cp:lastPrinted>2004-05-10T18:28:00Z</cp:lastPrinted>
  <dcterms:created xsi:type="dcterms:W3CDTF">2022-03-02T23:43:00Z</dcterms:created>
  <dcterms:modified xsi:type="dcterms:W3CDTF">2022-03-04T17:55:00Z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