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3E2C"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5C94E6AA" w14:textId="31985E5F"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D454DB" w:rsidRPr="00D454DB">
        <w:rPr>
          <w:rFonts w:ascii="Arial" w:hAnsi="Arial"/>
          <w:color w:val="000000"/>
          <w:u w:val="single"/>
        </w:rPr>
        <w:t>Blockchain Venture Capital Inc.</w:t>
      </w:r>
      <w:r>
        <w:rPr>
          <w:rFonts w:ascii="Arial" w:hAnsi="Arial"/>
          <w:color w:val="000000"/>
          <w:u w:val="single"/>
        </w:rPr>
        <w:tab/>
      </w:r>
      <w:r>
        <w:rPr>
          <w:rFonts w:ascii="Arial" w:hAnsi="Arial"/>
          <w:color w:val="000000"/>
        </w:rPr>
        <w:t>(the “Issuer”).</w:t>
      </w:r>
    </w:p>
    <w:p w14:paraId="5761E8F0" w14:textId="3B9B8E42"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F12C35">
        <w:rPr>
          <w:rFonts w:ascii="Arial" w:hAnsi="Arial"/>
          <w:color w:val="000000"/>
        </w:rPr>
        <w:t xml:space="preserve"> BVCI</w:t>
      </w:r>
      <w:r>
        <w:rPr>
          <w:rFonts w:ascii="Arial" w:hAnsi="Arial"/>
          <w:color w:val="000000"/>
          <w:u w:val="single"/>
        </w:rPr>
        <w:tab/>
      </w:r>
    </w:p>
    <w:p w14:paraId="62322F94" w14:textId="68A572D8"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D53DF6" w:rsidRPr="00D53DF6">
        <w:rPr>
          <w:rFonts w:ascii="Arial" w:hAnsi="Arial"/>
          <w:b/>
          <w:bCs/>
          <w:color w:val="FF0000"/>
          <w:lang w:val="en-US"/>
        </w:rPr>
        <w:t>41,222,813</w:t>
      </w:r>
      <w:r>
        <w:rPr>
          <w:rFonts w:ascii="Arial" w:hAnsi="Arial"/>
          <w:color w:val="000000"/>
          <w:u w:val="single"/>
        </w:rPr>
        <w:tab/>
      </w:r>
      <w:r>
        <w:rPr>
          <w:rFonts w:ascii="Arial" w:hAnsi="Arial"/>
          <w:color w:val="000000"/>
          <w:u w:val="single"/>
        </w:rPr>
        <w:tab/>
      </w:r>
    </w:p>
    <w:p w14:paraId="3A582C4A" w14:textId="4A021258"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F946A5">
        <w:rPr>
          <w:rFonts w:ascii="Arial" w:hAnsi="Arial"/>
          <w:color w:val="000000"/>
          <w:lang w:val="en-CA" w:eastAsia="zh-CN"/>
        </w:rPr>
        <w:t>May 14</w:t>
      </w:r>
      <w:r w:rsidR="00EE1280">
        <w:rPr>
          <w:rFonts w:ascii="Arial" w:hAnsi="Arial"/>
          <w:color w:val="000000"/>
          <w:lang w:val="en-CA" w:eastAsia="zh-CN"/>
        </w:rPr>
        <w:t xml:space="preserve"> </w:t>
      </w:r>
      <w:r w:rsidR="0012056B">
        <w:rPr>
          <w:rFonts w:ascii="Arial" w:hAnsi="Arial"/>
          <w:color w:val="000000"/>
          <w:lang w:val="en-CA" w:eastAsia="zh-CN"/>
        </w:rPr>
        <w:t xml:space="preserve"> </w:t>
      </w:r>
      <w:r w:rsidR="00F12C35">
        <w:rPr>
          <w:rFonts w:ascii="Arial" w:hAnsi="Arial"/>
          <w:color w:val="000000"/>
        </w:rPr>
        <w:t>, 2</w:t>
      </w:r>
      <w:r w:rsidR="0012056B">
        <w:rPr>
          <w:rFonts w:ascii="Arial" w:hAnsi="Arial"/>
          <w:color w:val="000000"/>
        </w:rPr>
        <w:t>026</w:t>
      </w:r>
      <w:r>
        <w:rPr>
          <w:rFonts w:ascii="Arial" w:hAnsi="Arial"/>
          <w:color w:val="000000"/>
          <w:u w:val="single"/>
        </w:rPr>
        <w:tab/>
      </w:r>
      <w:r>
        <w:rPr>
          <w:rFonts w:ascii="Arial" w:hAnsi="Arial"/>
          <w:color w:val="000000"/>
          <w:u w:val="single"/>
        </w:rPr>
        <w:tab/>
      </w:r>
    </w:p>
    <w:p w14:paraId="63A7DF75"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3A347DC5"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0AC9C87C"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7A1CEF52"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4316186C"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41B3B5D6"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26539AFA" w14:textId="77777777" w:rsidR="00640E94" w:rsidRDefault="00640E94">
      <w:pPr>
        <w:pStyle w:val="List"/>
        <w:keepLines/>
        <w:spacing w:before="120"/>
        <w:ind w:left="0" w:firstLine="0"/>
        <w:rPr>
          <w:rFonts w:ascii="Arial" w:hAnsi="Arial"/>
          <w:b/>
        </w:rPr>
      </w:pPr>
      <w:r>
        <w:rPr>
          <w:rFonts w:ascii="Arial" w:hAnsi="Arial"/>
          <w:b/>
        </w:rPr>
        <w:t>Report on Business</w:t>
      </w:r>
    </w:p>
    <w:p w14:paraId="37A669C1" w14:textId="77777777" w:rsidR="00F12C35" w:rsidRPr="00F12C35" w:rsidRDefault="00640E94" w:rsidP="00F12C35">
      <w:pPr>
        <w:pStyle w:val="List"/>
        <w:numPr>
          <w:ilvl w:val="0"/>
          <w:numId w:val="28"/>
        </w:numPr>
        <w:spacing w:before="120"/>
        <w:jc w:val="both"/>
        <w:rPr>
          <w:rFonts w:ascii="Arial" w:hAnsi="Arial"/>
          <w:lang w:val="en-CA"/>
        </w:rPr>
      </w:pPr>
      <w:r>
        <w:rPr>
          <w:rFonts w:ascii="Arial" w:hAnsi="Arial"/>
        </w:rPr>
        <w:t>Provide a general overview and discussion of the development of the Issuer’s business and operations over the previous month.  Where the Issuer was inactive disclose this fact.</w:t>
      </w:r>
      <w:r w:rsidR="00F12C35">
        <w:rPr>
          <w:rFonts w:ascii="Arial" w:hAnsi="Arial"/>
        </w:rPr>
        <w:t xml:space="preserve"> </w:t>
      </w:r>
    </w:p>
    <w:p w14:paraId="516BF059" w14:textId="77777777" w:rsidR="002B2272" w:rsidRPr="002B2272" w:rsidRDefault="002B2272" w:rsidP="002B2272">
      <w:pPr>
        <w:spacing w:before="100" w:beforeAutospacing="1" w:after="100" w:afterAutospacing="1"/>
        <w:ind w:left="709" w:firstLine="709"/>
        <w:rPr>
          <w:rFonts w:eastAsia="Times New Roman"/>
          <w:sz w:val="24"/>
          <w:szCs w:val="24"/>
          <w:lang w:val="en-CA" w:eastAsia="zh-CN"/>
        </w:rPr>
      </w:pPr>
      <w:r w:rsidRPr="002B2272">
        <w:rPr>
          <w:rFonts w:eastAsia="Times New Roman"/>
          <w:sz w:val="24"/>
          <w:szCs w:val="24"/>
          <w:lang w:val="en-CA" w:eastAsia="zh-CN"/>
        </w:rPr>
        <w:t xml:space="preserve">In March 2026, Blockchain Venture Capital Inc. (“BVCI”) continued active engagement with the Ontario Securities Commission (“OSC”), including the Corporate Finance branch and other internal departments, regarding its application for stablecoin-related prospectus exemptive relief, as well as other potential matters under review by the </w:t>
      </w:r>
      <w:r w:rsidRPr="002B2272">
        <w:rPr>
          <w:rFonts w:eastAsia="Times New Roman"/>
          <w:sz w:val="24"/>
          <w:szCs w:val="24"/>
          <w:lang w:val="en-CA" w:eastAsia="zh-CN"/>
        </w:rPr>
        <w:lastRenderedPageBreak/>
        <w:t>OSC. During the month, the Company responded to ongoing information and status requests. The OSC has not yet provided a timeline for the approval of the application.</w:t>
      </w:r>
    </w:p>
    <w:p w14:paraId="34F07082" w14:textId="77777777" w:rsidR="002B2272" w:rsidRPr="002B2272" w:rsidRDefault="002B2272" w:rsidP="002B2272">
      <w:pPr>
        <w:spacing w:before="100" w:beforeAutospacing="1" w:after="100" w:afterAutospacing="1"/>
        <w:ind w:left="709" w:firstLine="709"/>
        <w:rPr>
          <w:rFonts w:eastAsia="Times New Roman"/>
          <w:sz w:val="24"/>
          <w:szCs w:val="24"/>
          <w:lang w:val="en-CA" w:eastAsia="zh-CN"/>
        </w:rPr>
      </w:pPr>
      <w:r w:rsidRPr="002B2272">
        <w:rPr>
          <w:rFonts w:eastAsia="Times New Roman"/>
          <w:sz w:val="24"/>
          <w:szCs w:val="24"/>
          <w:lang w:val="en-CA" w:eastAsia="zh-CN"/>
        </w:rPr>
        <w:t xml:space="preserve">Following the previously announced joint venture LOI with Shin </w:t>
      </w:r>
      <w:proofErr w:type="spellStart"/>
      <w:r w:rsidRPr="002B2272">
        <w:rPr>
          <w:rFonts w:eastAsia="Times New Roman"/>
          <w:sz w:val="24"/>
          <w:szCs w:val="24"/>
          <w:lang w:val="en-CA" w:eastAsia="zh-CN"/>
        </w:rPr>
        <w:t>Nieh</w:t>
      </w:r>
      <w:proofErr w:type="spellEnd"/>
      <w:r w:rsidRPr="002B2272">
        <w:rPr>
          <w:rFonts w:eastAsia="Times New Roman"/>
          <w:sz w:val="24"/>
          <w:szCs w:val="24"/>
          <w:lang w:val="en-CA" w:eastAsia="zh-CN"/>
        </w:rPr>
        <w:t xml:space="preserve"> Group in January, BVCI announced a non-binding letter of intent to complete a reverse takeover transaction with World Digital Gold Group Ltd., positioning the combined entity to focus on real-world asset (RWA) tokenization in the digital gold sector. The transaction remains subject to due diligence, execution of definitive agreements, and regulatory approvals. Upon completion, the Company intends to leverage blockchain infrastructure to support gold-backed digital assets and expand its presence in the tokenized commodities market. This proposed transaction represents a strategic shift toward integrating traditional resource assets with blockchain-based financial solutions.</w:t>
      </w:r>
    </w:p>
    <w:p w14:paraId="0718ED78" w14:textId="77777777" w:rsidR="002B2272" w:rsidRPr="002B2272" w:rsidRDefault="002B2272" w:rsidP="002B2272">
      <w:pPr>
        <w:spacing w:before="100" w:beforeAutospacing="1" w:after="100" w:afterAutospacing="1"/>
        <w:ind w:left="709" w:firstLine="709"/>
        <w:rPr>
          <w:rFonts w:eastAsia="Times New Roman"/>
          <w:sz w:val="24"/>
          <w:szCs w:val="24"/>
          <w:lang w:val="en-CA" w:eastAsia="zh-CN"/>
        </w:rPr>
      </w:pPr>
      <w:r w:rsidRPr="002B2272">
        <w:rPr>
          <w:rFonts w:eastAsia="Times New Roman"/>
          <w:sz w:val="24"/>
          <w:szCs w:val="24"/>
          <w:lang w:val="en-CA" w:eastAsia="zh-CN"/>
        </w:rPr>
        <w:t xml:space="preserve">BVCI announced the resignation of director Fei Ding as part of its ongoing governance restructuring and the appointment of Chao Ran Xu as a new director. The Company also settled CAD $101,700 in debt owed to a firm controlled by director Winfield Ding through the issuance of 508,500 common shares at $0.20 per </w:t>
      </w:r>
      <w:proofErr w:type="gramStart"/>
      <w:r w:rsidRPr="002B2272">
        <w:rPr>
          <w:rFonts w:eastAsia="Times New Roman"/>
          <w:sz w:val="24"/>
          <w:szCs w:val="24"/>
          <w:lang w:val="en-CA" w:eastAsia="zh-CN"/>
        </w:rPr>
        <w:t>share, and</w:t>
      </w:r>
      <w:proofErr w:type="gramEnd"/>
      <w:r w:rsidRPr="002B2272">
        <w:rPr>
          <w:rFonts w:eastAsia="Times New Roman"/>
          <w:sz w:val="24"/>
          <w:szCs w:val="24"/>
          <w:lang w:val="en-CA" w:eastAsia="zh-CN"/>
        </w:rPr>
        <w:t xml:space="preserve"> issued additional common shares to CEO Xin Zhou as compensation for financing costs incurred in arranging a CAD $130,000 working capital loan used by the Company between October 2025 and February 2026.</w:t>
      </w:r>
    </w:p>
    <w:p w14:paraId="625AB795" w14:textId="77777777" w:rsidR="002B2272" w:rsidRPr="002B2272" w:rsidRDefault="002B2272" w:rsidP="002B2272">
      <w:pPr>
        <w:spacing w:before="100" w:beforeAutospacing="1" w:after="100" w:afterAutospacing="1"/>
        <w:ind w:left="709" w:firstLine="709"/>
        <w:rPr>
          <w:rFonts w:eastAsia="Times New Roman"/>
          <w:sz w:val="24"/>
          <w:szCs w:val="24"/>
          <w:lang w:val="en-CA" w:eastAsia="zh-CN"/>
        </w:rPr>
      </w:pPr>
      <w:r w:rsidRPr="002B2272">
        <w:rPr>
          <w:rFonts w:eastAsia="Times New Roman"/>
          <w:sz w:val="24"/>
          <w:szCs w:val="24"/>
          <w:lang w:val="en-CA" w:eastAsia="zh-CN"/>
        </w:rPr>
        <w:t>The Board approved non-brokered private placements totaling $550,000 at $0.20 per share, resulting in the issuance of 2,750,000 common shares. In addition, the Company authorized the issuance of 800,000 common shares for consulting services, including 300,000 shares to Lenny Wong and 500,000 shares to Josh Herman.</w:t>
      </w:r>
    </w:p>
    <w:p w14:paraId="4D41C8A9" w14:textId="77777777" w:rsidR="002B2272" w:rsidRDefault="002B2272" w:rsidP="002B2272">
      <w:pPr>
        <w:spacing w:before="100" w:beforeAutospacing="1" w:after="100" w:afterAutospacing="1"/>
        <w:ind w:left="709" w:firstLine="709"/>
        <w:rPr>
          <w:rFonts w:eastAsia="Times New Roman"/>
          <w:sz w:val="24"/>
          <w:szCs w:val="24"/>
          <w:lang w:val="en-CA" w:eastAsia="zh-CN"/>
        </w:rPr>
      </w:pPr>
      <w:r w:rsidRPr="002B2272">
        <w:rPr>
          <w:rFonts w:eastAsia="Times New Roman"/>
          <w:sz w:val="24"/>
          <w:szCs w:val="24"/>
          <w:lang w:val="en-CA" w:eastAsia="zh-CN"/>
        </w:rPr>
        <w:t>BVCI also obtained a $50,000 short-term loan from Lenny Wong in late February, which was used for office rent, staff salaries, and Concentra Bank fees. The Company has replaced its auditor, NVS Professional Inc., with MSLL CPA LLP.</w:t>
      </w:r>
    </w:p>
    <w:p w14:paraId="45CB444E" w14:textId="77777777" w:rsidR="00D53DF6" w:rsidRPr="00D53DF6" w:rsidRDefault="00D53DF6" w:rsidP="00D53DF6">
      <w:pPr>
        <w:pStyle w:val="List"/>
        <w:spacing w:before="120"/>
        <w:ind w:left="709" w:firstLine="709"/>
        <w:jc w:val="both"/>
        <w:rPr>
          <w:szCs w:val="24"/>
          <w:u w:val="single"/>
          <w:lang w:val="en-CA" w:eastAsia="zh-CN"/>
        </w:rPr>
      </w:pPr>
      <w:r w:rsidRPr="00D53DF6">
        <w:rPr>
          <w:szCs w:val="24"/>
          <w:u w:val="single"/>
          <w:lang w:val="en-CA" w:eastAsia="zh-CN"/>
        </w:rPr>
        <w:t>CEO Richard met with the team in late April in New York City and held multiple discussions with the WDGG Group and CBDC Reserve Bank regarding potential M&amp;A and joint venture initiatives in Hong Kong, exploring RWA, digital payments, and AI-related business opportunities.</w:t>
      </w:r>
    </w:p>
    <w:p w14:paraId="22083D5A" w14:textId="77777777" w:rsidR="00D53DF6" w:rsidRPr="00D53DF6" w:rsidRDefault="00D53DF6" w:rsidP="00D53DF6">
      <w:pPr>
        <w:pStyle w:val="List"/>
        <w:spacing w:before="120"/>
        <w:ind w:left="709" w:firstLine="709"/>
        <w:jc w:val="both"/>
        <w:rPr>
          <w:szCs w:val="24"/>
          <w:u w:val="single"/>
          <w:lang w:val="en-CA" w:eastAsia="zh-CN"/>
        </w:rPr>
      </w:pPr>
      <w:r w:rsidRPr="00D53DF6">
        <w:rPr>
          <w:szCs w:val="24"/>
          <w:u w:val="single"/>
          <w:lang w:val="en-CA" w:eastAsia="zh-CN"/>
        </w:rPr>
        <w:t>BVCI also held meetings with New York bankers to discuss potential investments, global expansion opportunities, and the tokenization of RWA assets in the global market.</w:t>
      </w:r>
    </w:p>
    <w:p w14:paraId="78EE58F6" w14:textId="77777777" w:rsidR="000B3FA5" w:rsidRDefault="000B3FA5" w:rsidP="002B2272">
      <w:pPr>
        <w:pStyle w:val="List"/>
        <w:spacing w:before="120"/>
        <w:ind w:left="709" w:firstLine="709"/>
        <w:jc w:val="both"/>
        <w:rPr>
          <w:szCs w:val="24"/>
          <w:u w:val="single"/>
          <w:lang w:val="en-CA" w:eastAsia="zh-CN"/>
        </w:rPr>
      </w:pPr>
    </w:p>
    <w:p w14:paraId="54FCDAD6" w14:textId="703C84C0" w:rsidR="00D53DF6" w:rsidRDefault="00D53DF6" w:rsidP="002B2272">
      <w:pPr>
        <w:pStyle w:val="List"/>
        <w:spacing w:before="120"/>
        <w:ind w:left="709" w:firstLine="709"/>
        <w:jc w:val="both"/>
        <w:rPr>
          <w:szCs w:val="24"/>
          <w:u w:val="single"/>
          <w:lang w:val="en-US" w:eastAsia="zh-CN"/>
        </w:rPr>
      </w:pPr>
      <w:r w:rsidRPr="00D53DF6">
        <w:rPr>
          <w:szCs w:val="24"/>
          <w:u w:val="single"/>
          <w:lang w:val="en-US" w:eastAsia="zh-CN"/>
        </w:rPr>
        <w:t>In April, the new auditor, MSLL CPA LLP, began work on the Company’s annual financial statements for the year ended 2025. Due to the last-minute appointment of the new auditor and additional audit work required, the planned filing of the audited financial statements by April 30 was delayed until early May. Consequently, trading of the Company’s securities on the CSE may be suspended by regulators due to the late filing.</w:t>
      </w:r>
    </w:p>
    <w:p w14:paraId="07DAD3EC" w14:textId="77777777" w:rsidR="00D53DF6" w:rsidRPr="002B2272" w:rsidRDefault="00D53DF6" w:rsidP="002B2272">
      <w:pPr>
        <w:pStyle w:val="List"/>
        <w:spacing w:before="120"/>
        <w:ind w:left="709" w:firstLine="709"/>
        <w:jc w:val="both"/>
        <w:rPr>
          <w:szCs w:val="24"/>
          <w:u w:val="single"/>
          <w:lang w:val="en-CA" w:eastAsia="zh-CN"/>
        </w:rPr>
      </w:pPr>
    </w:p>
    <w:p w14:paraId="2578DA8F"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286562DD" w14:textId="77777777" w:rsidR="00640E94" w:rsidRDefault="00640E94">
      <w:pPr>
        <w:pStyle w:val="List"/>
        <w:numPr>
          <w:ilvl w:val="0"/>
          <w:numId w:val="28"/>
        </w:numPr>
        <w:spacing w:before="120"/>
        <w:jc w:val="both"/>
        <w:rPr>
          <w:rFonts w:ascii="Arial" w:hAnsi="Arial"/>
        </w:rPr>
      </w:pPr>
      <w:r>
        <w:rPr>
          <w:rFonts w:ascii="Arial" w:hAnsi="Arial"/>
        </w:rPr>
        <w:lastRenderedPageBreak/>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548E73A1" w14:textId="77777777"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77F6BBEE" w14:textId="77777777" w:rsidR="00640E94" w:rsidRDefault="00640E94">
      <w:pPr>
        <w:pStyle w:val="List"/>
        <w:numPr>
          <w:ilvl w:val="0"/>
          <w:numId w:val="28"/>
        </w:numPr>
        <w:spacing w:before="12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0D822A9D" w14:textId="21036707" w:rsidR="00753376" w:rsidRPr="00753376" w:rsidRDefault="00640E94" w:rsidP="00753376">
      <w:pPr>
        <w:pStyle w:val="List"/>
        <w:numPr>
          <w:ilvl w:val="0"/>
          <w:numId w:val="28"/>
        </w:numPr>
        <w:spacing w:before="120"/>
        <w:jc w:val="both"/>
        <w:rPr>
          <w:rFonts w:ascii="Arial" w:hAnsi="Arial"/>
          <w:u w:val="single"/>
          <w:lang w:val="en-CA"/>
        </w:rPr>
      </w:pPr>
      <w:r>
        <w:rPr>
          <w:rFonts w:ascii="Arial" w:hAnsi="Arial"/>
        </w:rPr>
        <w:t>Describe the expiry or termination of any contracts or agreements between the Issuer, the Issuer’s affiliates or third parties or cancellation of any financing arrangements that have been previously announced.</w:t>
      </w:r>
      <w:r w:rsidR="00753376">
        <w:rPr>
          <w:rFonts w:ascii="Arial" w:hAnsi="Arial"/>
        </w:rPr>
        <w:t xml:space="preserve">  </w:t>
      </w:r>
    </w:p>
    <w:p w14:paraId="17748CCB" w14:textId="55A98414" w:rsidR="00753376" w:rsidRPr="00753376" w:rsidRDefault="00753376" w:rsidP="00753376">
      <w:pPr>
        <w:pStyle w:val="List"/>
        <w:spacing w:before="120"/>
        <w:ind w:left="0" w:firstLine="0"/>
        <w:jc w:val="both"/>
        <w:rPr>
          <w:rFonts w:ascii="Arial" w:hAnsi="Arial"/>
        </w:rPr>
      </w:pPr>
    </w:p>
    <w:p w14:paraId="112B93B4" w14:textId="21D6D09C" w:rsidR="00640E94" w:rsidRDefault="00640E94">
      <w:pPr>
        <w:pStyle w:val="List"/>
        <w:numPr>
          <w:ilvl w:val="0"/>
          <w:numId w:val="28"/>
        </w:numPr>
        <w:spacing w:before="120"/>
        <w:jc w:val="both"/>
        <w:rPr>
          <w:rFonts w:ascii="Arial" w:hAnsi="Arial"/>
        </w:rPr>
      </w:pPr>
      <w:r>
        <w:rPr>
          <w:rFonts w:ascii="Arial" w:hAnsi="Arial"/>
        </w:rP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w:t>
      </w:r>
      <w:proofErr w:type="gramStart"/>
      <w:r>
        <w:rPr>
          <w:rFonts w:ascii="Arial" w:hAnsi="Arial"/>
        </w:rPr>
        <w:t>from</w:t>
      </w:r>
      <w:proofErr w:type="gramEnd"/>
      <w:r>
        <w:rPr>
          <w:rFonts w:ascii="Arial" w:hAnsi="Arial"/>
        </w:rPr>
        <w:t xml:space="preserve"> or the disposition was to a Related Person of the Issuer and provide details of the relationship.</w:t>
      </w:r>
    </w:p>
    <w:p w14:paraId="4FCE13A4"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2FD45DB6" w14:textId="77777777" w:rsidR="00640E94" w:rsidRDefault="00640E94">
      <w:pPr>
        <w:pStyle w:val="List"/>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011BCE83" w14:textId="5D63C79C"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r w:rsidR="00753376">
        <w:rPr>
          <w:rFonts w:ascii="Arial" w:hAnsi="Arial"/>
        </w:rPr>
        <w:t xml:space="preserve"> </w:t>
      </w:r>
    </w:p>
    <w:p w14:paraId="22CE1E54"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586E52D5"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1B6CA450"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31E854A6"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39043800" w14:textId="77777777" w:rsidR="00640E94" w:rsidRDefault="00640E94">
      <w:pPr>
        <w:pStyle w:val="List"/>
        <w:spacing w:before="120"/>
        <w:ind w:left="0" w:firstLine="0"/>
        <w:jc w:val="both"/>
        <w:rPr>
          <w:rFonts w:ascii="Arial" w:hAnsi="Arial"/>
        </w:rPr>
      </w:pPr>
    </w:p>
    <w:p w14:paraId="37AC323F" w14:textId="015D49D9" w:rsidR="00640E94" w:rsidRDefault="00A70380">
      <w:pPr>
        <w:pStyle w:val="List"/>
        <w:tabs>
          <w:tab w:val="left" w:pos="360"/>
        </w:tabs>
        <w:spacing w:before="120"/>
        <w:ind w:left="0" w:firstLine="0"/>
        <w:jc w:val="both"/>
        <w:rPr>
          <w:rFonts w:ascii="Arial" w:hAnsi="Arial"/>
          <w:i/>
        </w:rPr>
      </w:pPr>
      <w:r>
        <w:rPr>
          <w:rFonts w:ascii="Arial" w:hAnsi="Arial"/>
          <w:i/>
        </w:rPr>
        <w:t xml:space="preserve"> </w:t>
      </w:r>
      <w:r w:rsidR="00640E94">
        <w:rPr>
          <w:rFonts w:ascii="Arial" w:hAnsi="Arial"/>
          <w:i/>
        </w:rPr>
        <w:t>(1)</w:t>
      </w:r>
      <w:r w:rsidR="00640E94">
        <w:rPr>
          <w:rFonts w:ascii="Arial" w:hAnsi="Arial"/>
          <w:i/>
        </w:rPr>
        <w:tab/>
        <w:t>State aggregate proceeds and intended allocation of proceeds.</w:t>
      </w:r>
    </w:p>
    <w:p w14:paraId="0F20F4AF" w14:textId="77777777" w:rsidR="00C858FE" w:rsidRPr="00C858FE" w:rsidRDefault="00C858FE" w:rsidP="00C858FE">
      <w:pPr>
        <w:pStyle w:val="List"/>
        <w:keepNext/>
        <w:keepLines/>
        <w:spacing w:before="120"/>
        <w:jc w:val="both"/>
        <w:rPr>
          <w:rFonts w:ascii="Arial" w:hAnsi="Arial"/>
          <w:lang w:val="en-CA" w:eastAsia="zh-CN"/>
        </w:rPr>
      </w:pPr>
    </w:p>
    <w:p w14:paraId="65CDFB94" w14:textId="029572E1" w:rsidR="00640E94" w:rsidRPr="00C858FE" w:rsidRDefault="00640E94">
      <w:pPr>
        <w:pStyle w:val="List"/>
        <w:keepNext/>
        <w:keepLines/>
        <w:numPr>
          <w:ilvl w:val="0"/>
          <w:numId w:val="28"/>
        </w:numPr>
        <w:spacing w:before="120"/>
        <w:jc w:val="both"/>
        <w:rPr>
          <w:rFonts w:ascii="Arial" w:hAnsi="Arial"/>
          <w:u w:val="single"/>
        </w:rPr>
      </w:pPr>
      <w:r>
        <w:rPr>
          <w:rFonts w:ascii="Arial" w:hAnsi="Arial"/>
        </w:rPr>
        <w:t>Provide details of any changes in directors, officers or committee members.</w:t>
      </w:r>
      <w:r w:rsidR="00F12C35">
        <w:rPr>
          <w:rFonts w:ascii="Arial" w:hAnsi="Arial"/>
        </w:rPr>
        <w:t xml:space="preserve"> </w:t>
      </w:r>
    </w:p>
    <w:p w14:paraId="2A394046" w14:textId="68094D4E" w:rsidR="00C858FE" w:rsidRDefault="00640E94" w:rsidP="00C858FE">
      <w:pPr>
        <w:pStyle w:val="List"/>
        <w:numPr>
          <w:ilvl w:val="0"/>
          <w:numId w:val="28"/>
        </w:numPr>
        <w:spacing w:before="120"/>
        <w:jc w:val="both"/>
        <w:rPr>
          <w:rFonts w:ascii="Arial" w:hAnsi="Arial"/>
          <w:b/>
        </w:rPr>
      </w:pPr>
      <w:r>
        <w:rPr>
          <w:rFonts w:ascii="Arial" w:hAnsi="Arial"/>
        </w:rPr>
        <w:t>Discuss any trends which are likely to impact the Issuer including trends in the Issuer’s market(s) or political/regulatory trends</w:t>
      </w:r>
      <w:r w:rsidR="00C858FE" w:rsidRPr="00C858FE">
        <w:rPr>
          <w:rFonts w:ascii="Arial" w:hAnsi="Arial"/>
          <w:u w:val="single"/>
          <w:lang w:val="en-US"/>
        </w:rPr>
        <w:t>.</w:t>
      </w:r>
    </w:p>
    <w:p w14:paraId="7163794B" w14:textId="3F17BF74" w:rsidR="00640E94" w:rsidRDefault="00640E94">
      <w:pPr>
        <w:pStyle w:val="List"/>
        <w:keepNext/>
        <w:spacing w:before="120"/>
        <w:ind w:left="0" w:firstLine="0"/>
        <w:rPr>
          <w:rFonts w:ascii="Arial" w:hAnsi="Arial"/>
          <w:b/>
        </w:rPr>
      </w:pPr>
      <w:r>
        <w:rPr>
          <w:rFonts w:ascii="Arial" w:hAnsi="Arial"/>
          <w:b/>
        </w:rPr>
        <w:t>Certificate Of Compliance</w:t>
      </w:r>
    </w:p>
    <w:p w14:paraId="10313779" w14:textId="77777777" w:rsidR="00640E94" w:rsidRDefault="00640E94">
      <w:pPr>
        <w:pStyle w:val="BodyText"/>
        <w:keepNext/>
        <w:rPr>
          <w:rFonts w:ascii="Arial" w:hAnsi="Arial"/>
        </w:rPr>
      </w:pPr>
      <w:r>
        <w:rPr>
          <w:rFonts w:ascii="Arial" w:hAnsi="Arial"/>
        </w:rPr>
        <w:t>The undersigned hereby certifies that:</w:t>
      </w:r>
    </w:p>
    <w:p w14:paraId="4B29CEC9"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DEEC6D8" w14:textId="77777777" w:rsidR="00640E94" w:rsidRDefault="00640E94">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6C4F0D6E"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2FC3214F" w14:textId="77777777" w:rsidR="00640E94" w:rsidRDefault="00640E94">
      <w:pPr>
        <w:pStyle w:val="List"/>
        <w:numPr>
          <w:ilvl w:val="0"/>
          <w:numId w:val="23"/>
        </w:numPr>
        <w:jc w:val="both"/>
        <w:rPr>
          <w:rFonts w:ascii="Arial" w:hAnsi="Arial"/>
        </w:rPr>
      </w:pPr>
      <w:r>
        <w:rPr>
          <w:rFonts w:ascii="Arial" w:hAnsi="Arial"/>
        </w:rPr>
        <w:t>All of the information in this Form 7 Monthly Progress Report is true.</w:t>
      </w:r>
    </w:p>
    <w:p w14:paraId="6BE1A033" w14:textId="19D3FD8C" w:rsidR="00640E94" w:rsidRDefault="00640E94">
      <w:pPr>
        <w:pStyle w:val="BodyText"/>
        <w:tabs>
          <w:tab w:val="left" w:pos="4680"/>
          <w:tab w:val="left" w:pos="7200"/>
        </w:tabs>
        <w:spacing w:before="480"/>
        <w:jc w:val="both"/>
        <w:rPr>
          <w:rFonts w:ascii="Arial" w:hAnsi="Arial"/>
        </w:rPr>
      </w:pPr>
      <w:proofErr w:type="gramStart"/>
      <w:r>
        <w:rPr>
          <w:rFonts w:ascii="Arial" w:hAnsi="Arial"/>
        </w:rPr>
        <w:t xml:space="preserve">Dated </w:t>
      </w:r>
      <w:r w:rsidR="00031D51">
        <w:rPr>
          <w:rFonts w:ascii="Arial" w:hAnsi="Arial"/>
        </w:rPr>
        <w:t xml:space="preserve"> </w:t>
      </w:r>
      <w:r w:rsidR="00F946A5">
        <w:rPr>
          <w:rFonts w:ascii="Arial" w:hAnsi="Arial"/>
        </w:rPr>
        <w:t>May</w:t>
      </w:r>
      <w:proofErr w:type="gramEnd"/>
      <w:r w:rsidR="00F946A5">
        <w:rPr>
          <w:rFonts w:ascii="Arial" w:hAnsi="Arial"/>
        </w:rPr>
        <w:t xml:space="preserve"> 14</w:t>
      </w:r>
      <w:r w:rsidR="000B3FA5">
        <w:rPr>
          <w:rFonts w:ascii="Arial" w:hAnsi="Arial"/>
        </w:rPr>
        <w:t>,</w:t>
      </w:r>
      <w:r w:rsidR="00C858FE">
        <w:rPr>
          <w:rFonts w:ascii="Arial" w:hAnsi="Arial"/>
        </w:rPr>
        <w:t>202</w:t>
      </w:r>
      <w:r w:rsidR="000B3FA5">
        <w:rPr>
          <w:rFonts w:ascii="Arial" w:hAnsi="Arial"/>
        </w:rPr>
        <w:t>6</w:t>
      </w:r>
      <w:r>
        <w:rPr>
          <w:rFonts w:ascii="Arial" w:hAnsi="Arial"/>
          <w:u w:val="single"/>
        </w:rPr>
        <w:tab/>
      </w:r>
      <w:r>
        <w:rPr>
          <w:rFonts w:ascii="Arial" w:hAnsi="Arial"/>
        </w:rPr>
        <w:t>.</w:t>
      </w:r>
    </w:p>
    <w:p w14:paraId="49CBAFD3" w14:textId="382AAD8D" w:rsidR="00640E94" w:rsidRDefault="00640E94">
      <w:pPr>
        <w:pStyle w:val="List"/>
        <w:tabs>
          <w:tab w:val="left" w:pos="9180"/>
        </w:tabs>
        <w:ind w:left="5760" w:hanging="5760"/>
        <w:rPr>
          <w:rFonts w:ascii="Arial" w:hAnsi="Arial"/>
        </w:rPr>
      </w:pPr>
      <w:r>
        <w:rPr>
          <w:rFonts w:ascii="Arial" w:hAnsi="Arial"/>
        </w:rPr>
        <w:tab/>
      </w:r>
      <w:r w:rsidR="00C858FE">
        <w:rPr>
          <w:rFonts w:ascii="Arial" w:hAnsi="Arial"/>
        </w:rPr>
        <w:t>Richard Zhou</w:t>
      </w:r>
      <w:r>
        <w:rPr>
          <w:rFonts w:ascii="Arial" w:hAnsi="Arial"/>
          <w:u w:val="single"/>
        </w:rPr>
        <w:tab/>
      </w:r>
      <w:r>
        <w:rPr>
          <w:rFonts w:ascii="Arial" w:hAnsi="Arial"/>
          <w:u w:val="single"/>
        </w:rPr>
        <w:br/>
      </w:r>
      <w:r>
        <w:rPr>
          <w:rFonts w:ascii="Arial" w:hAnsi="Arial"/>
        </w:rPr>
        <w:t>Name of Director or Senior Officer</w:t>
      </w:r>
    </w:p>
    <w:p w14:paraId="26250FB0" w14:textId="77777777" w:rsidR="00640E94" w:rsidRDefault="00640E94">
      <w:pPr>
        <w:pStyle w:val="List"/>
        <w:tabs>
          <w:tab w:val="left" w:pos="9180"/>
          <w:tab w:val="left" w:pos="9360"/>
        </w:tabs>
        <w:ind w:left="5760" w:hanging="5760"/>
        <w:rPr>
          <w:rFonts w:ascii="Arial" w:hAnsi="Arial"/>
        </w:rPr>
      </w:pPr>
      <w:r>
        <w:rPr>
          <w:rFonts w:ascii="Arial" w:hAnsi="Arial"/>
        </w:rPr>
        <w:tab/>
      </w:r>
      <w:r>
        <w:rPr>
          <w:rFonts w:ascii="Arial" w:hAnsi="Arial"/>
          <w:u w:val="single"/>
        </w:rPr>
        <w:tab/>
      </w:r>
      <w:r>
        <w:rPr>
          <w:rFonts w:ascii="Arial" w:hAnsi="Arial"/>
        </w:rPr>
        <w:br/>
        <w:t>Signature</w:t>
      </w:r>
    </w:p>
    <w:p w14:paraId="76D7AB33" w14:textId="3A4BAEE0" w:rsidR="00640E94" w:rsidRDefault="00C858FE">
      <w:pPr>
        <w:pStyle w:val="BodyText"/>
        <w:tabs>
          <w:tab w:val="left" w:pos="9180"/>
        </w:tabs>
        <w:spacing w:before="0"/>
        <w:ind w:left="5760"/>
        <w:rPr>
          <w:rFonts w:ascii="Arial" w:hAnsi="Arial"/>
        </w:rPr>
      </w:pPr>
      <w:r>
        <w:rPr>
          <w:rFonts w:ascii="Arial" w:hAnsi="Arial"/>
          <w:u w:val="single"/>
        </w:rPr>
        <w:t>CEO</w:t>
      </w:r>
      <w:r w:rsidR="00640E94">
        <w:rPr>
          <w:rFonts w:ascii="Arial" w:hAnsi="Arial"/>
          <w:u w:val="single"/>
        </w:rPr>
        <w:tab/>
      </w:r>
      <w:r w:rsidR="00640E94">
        <w:rPr>
          <w:rFonts w:ascii="Arial" w:hAnsi="Arial"/>
        </w:rPr>
        <w:br/>
        <w:t>Official Capacity</w:t>
      </w:r>
      <w:bookmarkEnd w:id="4"/>
    </w:p>
    <w:p w14:paraId="4ACFC2AE"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4B1B3BFA" w14:textId="77777777">
        <w:tc>
          <w:tcPr>
            <w:tcW w:w="4878" w:type="dxa"/>
            <w:tcBorders>
              <w:top w:val="single" w:sz="18" w:space="0" w:color="auto"/>
              <w:bottom w:val="nil"/>
              <w:right w:val="single" w:sz="18" w:space="0" w:color="auto"/>
            </w:tcBorders>
          </w:tcPr>
          <w:p w14:paraId="1F6C707E" w14:textId="77777777" w:rsidR="00640E94" w:rsidRDefault="00640E94">
            <w:pPr>
              <w:pStyle w:val="BodyText"/>
              <w:spacing w:before="0"/>
              <w:rPr>
                <w:rFonts w:ascii="Arial" w:hAnsi="Arial"/>
                <w:b/>
                <w:i/>
              </w:rPr>
            </w:pPr>
            <w:r>
              <w:rPr>
                <w:rFonts w:ascii="Arial" w:hAnsi="Arial"/>
                <w:b/>
                <w:i/>
              </w:rPr>
              <w:t>Issuer Details</w:t>
            </w:r>
          </w:p>
          <w:p w14:paraId="1E245F1A" w14:textId="77777777" w:rsidR="00640E94" w:rsidRDefault="00640E94">
            <w:pPr>
              <w:pStyle w:val="BodyText"/>
              <w:spacing w:before="0"/>
              <w:rPr>
                <w:rFonts w:ascii="Arial" w:hAnsi="Arial"/>
              </w:rPr>
            </w:pPr>
            <w:r>
              <w:rPr>
                <w:rFonts w:ascii="Arial" w:hAnsi="Arial"/>
              </w:rPr>
              <w:t>Name of Issuer</w:t>
            </w:r>
          </w:p>
          <w:p w14:paraId="74612D4D" w14:textId="26C3B635" w:rsidR="00640E94" w:rsidRDefault="00C858FE">
            <w:pPr>
              <w:pStyle w:val="BodyText"/>
              <w:rPr>
                <w:rFonts w:ascii="Arial" w:hAnsi="Arial"/>
              </w:rPr>
            </w:pPr>
            <w:r w:rsidRPr="00C858FE">
              <w:rPr>
                <w:rFonts w:ascii="Arial" w:hAnsi="Arial"/>
              </w:rPr>
              <w:t>Blockchain Venture Capital Inc</w:t>
            </w:r>
          </w:p>
        </w:tc>
        <w:tc>
          <w:tcPr>
            <w:tcW w:w="1800" w:type="dxa"/>
            <w:tcBorders>
              <w:top w:val="single" w:sz="18" w:space="0" w:color="auto"/>
              <w:left w:val="single" w:sz="18" w:space="0" w:color="auto"/>
              <w:bottom w:val="nil"/>
              <w:right w:val="single" w:sz="18" w:space="0" w:color="auto"/>
            </w:tcBorders>
          </w:tcPr>
          <w:p w14:paraId="6ECB9EE6" w14:textId="77777777" w:rsidR="00C858FE" w:rsidRDefault="00640E94">
            <w:pPr>
              <w:pStyle w:val="BodyText"/>
              <w:spacing w:before="0"/>
              <w:rPr>
                <w:rFonts w:ascii="Arial" w:hAnsi="Arial"/>
              </w:rPr>
            </w:pPr>
            <w:proofErr w:type="gramStart"/>
            <w:r>
              <w:rPr>
                <w:rFonts w:ascii="Arial" w:hAnsi="Arial"/>
              </w:rPr>
              <w:t>For  Month</w:t>
            </w:r>
            <w:proofErr w:type="gramEnd"/>
            <w:r>
              <w:rPr>
                <w:rFonts w:ascii="Arial" w:hAnsi="Arial"/>
              </w:rPr>
              <w:t xml:space="preserve"> End</w:t>
            </w:r>
          </w:p>
          <w:p w14:paraId="3669DD55" w14:textId="77777777" w:rsidR="00C858FE" w:rsidRDefault="00C858FE">
            <w:pPr>
              <w:pStyle w:val="BodyText"/>
              <w:spacing w:before="0"/>
              <w:rPr>
                <w:rFonts w:ascii="Arial" w:hAnsi="Arial"/>
              </w:rPr>
            </w:pPr>
          </w:p>
          <w:p w14:paraId="4F13E067" w14:textId="1753A138" w:rsidR="00640E94" w:rsidRDefault="00F946A5">
            <w:pPr>
              <w:pStyle w:val="BodyText"/>
              <w:spacing w:before="0"/>
              <w:rPr>
                <w:rFonts w:ascii="Arial" w:hAnsi="Arial"/>
              </w:rPr>
            </w:pPr>
            <w:r>
              <w:rPr>
                <w:rFonts w:ascii="Arial" w:hAnsi="Arial"/>
              </w:rPr>
              <w:t xml:space="preserve">April </w:t>
            </w:r>
            <w:proofErr w:type="gramStart"/>
            <w:r w:rsidR="002B2272">
              <w:rPr>
                <w:rFonts w:ascii="Arial" w:hAnsi="Arial"/>
              </w:rPr>
              <w:t>3</w:t>
            </w:r>
            <w:r>
              <w:rPr>
                <w:rFonts w:ascii="Arial" w:hAnsi="Arial"/>
              </w:rPr>
              <w:t>0</w:t>
            </w:r>
            <w:r w:rsidR="000B3FA5">
              <w:rPr>
                <w:rFonts w:ascii="Arial" w:hAnsi="Arial"/>
              </w:rPr>
              <w:t xml:space="preserve"> </w:t>
            </w:r>
            <w:r w:rsidR="00C858FE">
              <w:rPr>
                <w:rFonts w:ascii="Arial" w:hAnsi="Arial"/>
              </w:rPr>
              <w:t xml:space="preserve"> 202</w:t>
            </w:r>
            <w:r w:rsidR="000B3FA5">
              <w:rPr>
                <w:rFonts w:ascii="Arial" w:hAnsi="Arial"/>
              </w:rPr>
              <w:t>6</w:t>
            </w:r>
            <w:proofErr w:type="gramEnd"/>
          </w:p>
        </w:tc>
        <w:tc>
          <w:tcPr>
            <w:tcW w:w="2898" w:type="dxa"/>
            <w:tcBorders>
              <w:top w:val="single" w:sz="18" w:space="0" w:color="auto"/>
              <w:left w:val="single" w:sz="18" w:space="0" w:color="auto"/>
              <w:bottom w:val="nil"/>
            </w:tcBorders>
          </w:tcPr>
          <w:p w14:paraId="4894ABCE" w14:textId="77777777" w:rsidR="00640E94" w:rsidRDefault="00640E94">
            <w:pPr>
              <w:pStyle w:val="BodyText"/>
              <w:spacing w:before="0"/>
              <w:rPr>
                <w:rFonts w:ascii="Arial" w:hAnsi="Arial"/>
              </w:rPr>
            </w:pPr>
            <w:r>
              <w:rPr>
                <w:rFonts w:ascii="Arial" w:hAnsi="Arial"/>
              </w:rPr>
              <w:t>Date of Report</w:t>
            </w:r>
          </w:p>
          <w:p w14:paraId="04BFFEDB" w14:textId="77777777" w:rsidR="00640E94" w:rsidRDefault="00640E94">
            <w:pPr>
              <w:pStyle w:val="BodyText"/>
              <w:spacing w:before="0"/>
              <w:rPr>
                <w:rFonts w:ascii="Arial" w:hAnsi="Arial"/>
              </w:rPr>
            </w:pPr>
            <w:r>
              <w:rPr>
                <w:rFonts w:ascii="Arial" w:hAnsi="Arial"/>
              </w:rPr>
              <w:t>YY/MM/D</w:t>
            </w:r>
          </w:p>
          <w:p w14:paraId="366657C8" w14:textId="77777777" w:rsidR="00C858FE" w:rsidRDefault="00C858FE">
            <w:pPr>
              <w:pStyle w:val="BodyText"/>
              <w:spacing w:before="0"/>
              <w:rPr>
                <w:rFonts w:ascii="Arial" w:hAnsi="Arial"/>
              </w:rPr>
            </w:pPr>
          </w:p>
          <w:p w14:paraId="0A8FD641" w14:textId="67510A7B" w:rsidR="00C858FE" w:rsidRDefault="00C858FE">
            <w:pPr>
              <w:pStyle w:val="BodyText"/>
              <w:spacing w:before="0"/>
              <w:rPr>
                <w:rFonts w:ascii="Arial" w:hAnsi="Arial"/>
              </w:rPr>
            </w:pPr>
            <w:r>
              <w:rPr>
                <w:rFonts w:ascii="Arial" w:hAnsi="Arial"/>
              </w:rPr>
              <w:t>202</w:t>
            </w:r>
            <w:r w:rsidR="000B3FA5">
              <w:rPr>
                <w:rFonts w:ascii="Arial" w:hAnsi="Arial"/>
              </w:rPr>
              <w:t>6</w:t>
            </w:r>
            <w:r>
              <w:rPr>
                <w:rFonts w:ascii="Arial" w:hAnsi="Arial"/>
              </w:rPr>
              <w:t>/</w:t>
            </w:r>
            <w:r w:rsidR="00F946A5">
              <w:rPr>
                <w:rFonts w:ascii="Arial" w:hAnsi="Arial"/>
              </w:rPr>
              <w:t>05</w:t>
            </w:r>
            <w:r>
              <w:rPr>
                <w:rFonts w:ascii="Arial" w:hAnsi="Arial"/>
              </w:rPr>
              <w:t>/</w:t>
            </w:r>
            <w:r w:rsidR="00F946A5">
              <w:rPr>
                <w:rFonts w:ascii="Arial" w:hAnsi="Arial"/>
              </w:rPr>
              <w:t>14</w:t>
            </w:r>
          </w:p>
        </w:tc>
      </w:tr>
      <w:tr w:rsidR="00640E94" w14:paraId="6BEB94D0" w14:textId="77777777">
        <w:trPr>
          <w:cantSplit/>
        </w:trPr>
        <w:tc>
          <w:tcPr>
            <w:tcW w:w="9576" w:type="dxa"/>
            <w:gridSpan w:val="3"/>
            <w:tcBorders>
              <w:top w:val="single" w:sz="18" w:space="0" w:color="auto"/>
              <w:bottom w:val="single" w:sz="18" w:space="0" w:color="auto"/>
            </w:tcBorders>
          </w:tcPr>
          <w:p w14:paraId="6ED8C0C8" w14:textId="77777777" w:rsidR="00640E94" w:rsidRDefault="00640E94">
            <w:pPr>
              <w:pStyle w:val="BodyText"/>
              <w:spacing w:before="0"/>
              <w:rPr>
                <w:rFonts w:ascii="Arial" w:hAnsi="Arial"/>
              </w:rPr>
            </w:pPr>
            <w:r>
              <w:rPr>
                <w:rFonts w:ascii="Arial" w:hAnsi="Arial"/>
              </w:rPr>
              <w:t>Issuer Address</w:t>
            </w:r>
          </w:p>
          <w:p w14:paraId="39AF0A1B" w14:textId="6BB34D03" w:rsidR="00C858FE" w:rsidRDefault="00C858FE">
            <w:pPr>
              <w:pStyle w:val="BodyText"/>
              <w:spacing w:before="0"/>
              <w:rPr>
                <w:rFonts w:ascii="Arial" w:hAnsi="Arial"/>
              </w:rPr>
            </w:pPr>
          </w:p>
          <w:p w14:paraId="0C68A621" w14:textId="77777777" w:rsidR="00640E94" w:rsidRDefault="00640E94">
            <w:pPr>
              <w:pStyle w:val="BodyText"/>
              <w:spacing w:before="0"/>
              <w:rPr>
                <w:rFonts w:ascii="Arial" w:hAnsi="Arial"/>
              </w:rPr>
            </w:pPr>
          </w:p>
          <w:p w14:paraId="25BA0201" w14:textId="35501C05" w:rsidR="00640E94" w:rsidRDefault="00C858FE">
            <w:pPr>
              <w:pStyle w:val="BodyText"/>
              <w:spacing w:before="0"/>
              <w:rPr>
                <w:rFonts w:ascii="Arial" w:hAnsi="Arial"/>
              </w:rPr>
            </w:pPr>
            <w:proofErr w:type="gramStart"/>
            <w:r>
              <w:rPr>
                <w:rFonts w:ascii="Arial" w:hAnsi="Arial"/>
              </w:rPr>
              <w:t xml:space="preserve">100 </w:t>
            </w:r>
            <w:r w:rsidRPr="00C858FE">
              <w:rPr>
                <w:rFonts w:ascii="Arial" w:hAnsi="Arial"/>
              </w:rPr>
              <w:t xml:space="preserve"> King</w:t>
            </w:r>
            <w:proofErr w:type="gramEnd"/>
            <w:r w:rsidRPr="00C858FE">
              <w:rPr>
                <w:rFonts w:ascii="Arial" w:hAnsi="Arial"/>
              </w:rPr>
              <w:t xml:space="preserve"> Street West, Suite 560</w:t>
            </w:r>
            <w:r w:rsidR="008357E2">
              <w:rPr>
                <w:rFonts w:ascii="Arial" w:hAnsi="Arial"/>
              </w:rPr>
              <w:t>00</w:t>
            </w:r>
          </w:p>
        </w:tc>
      </w:tr>
      <w:tr w:rsidR="00640E94" w14:paraId="387B922B" w14:textId="77777777">
        <w:tc>
          <w:tcPr>
            <w:tcW w:w="4878" w:type="dxa"/>
            <w:tcBorders>
              <w:top w:val="single" w:sz="18" w:space="0" w:color="auto"/>
              <w:bottom w:val="single" w:sz="18" w:space="0" w:color="auto"/>
              <w:right w:val="single" w:sz="18" w:space="0" w:color="auto"/>
            </w:tcBorders>
          </w:tcPr>
          <w:p w14:paraId="47B8CF19" w14:textId="77777777" w:rsidR="00640E94" w:rsidRDefault="00640E94">
            <w:pPr>
              <w:pStyle w:val="BodyText"/>
              <w:spacing w:before="0"/>
              <w:rPr>
                <w:rFonts w:ascii="Arial" w:hAnsi="Arial"/>
              </w:rPr>
            </w:pPr>
            <w:r>
              <w:rPr>
                <w:rFonts w:ascii="Arial" w:hAnsi="Arial"/>
              </w:rPr>
              <w:t>City/Province/Postal Code</w:t>
            </w:r>
          </w:p>
          <w:p w14:paraId="17EDBC57" w14:textId="77777777" w:rsidR="00640E94" w:rsidRDefault="00640E94">
            <w:pPr>
              <w:pStyle w:val="BodyText"/>
              <w:spacing w:before="0"/>
              <w:rPr>
                <w:rFonts w:ascii="Arial" w:hAnsi="Arial"/>
              </w:rPr>
            </w:pPr>
          </w:p>
          <w:p w14:paraId="165F094F" w14:textId="0B6C79D2" w:rsidR="00640E94" w:rsidRDefault="00C858FE">
            <w:pPr>
              <w:pStyle w:val="BodyText"/>
              <w:spacing w:before="0"/>
              <w:rPr>
                <w:rFonts w:ascii="Arial" w:hAnsi="Arial"/>
              </w:rPr>
            </w:pPr>
            <w:r w:rsidRPr="00C858FE">
              <w:rPr>
                <w:rFonts w:ascii="Arial" w:hAnsi="Arial"/>
              </w:rPr>
              <w:t>Toronto, ON, M5X 1C9</w:t>
            </w:r>
          </w:p>
        </w:tc>
        <w:tc>
          <w:tcPr>
            <w:tcW w:w="1800" w:type="dxa"/>
            <w:tcBorders>
              <w:top w:val="single" w:sz="18" w:space="0" w:color="auto"/>
              <w:left w:val="single" w:sz="18" w:space="0" w:color="auto"/>
              <w:bottom w:val="single" w:sz="18" w:space="0" w:color="auto"/>
              <w:right w:val="single" w:sz="18" w:space="0" w:color="auto"/>
            </w:tcBorders>
          </w:tcPr>
          <w:p w14:paraId="56F4DBE9" w14:textId="77777777" w:rsidR="00640E94" w:rsidRDefault="00640E94">
            <w:pPr>
              <w:pStyle w:val="BodyText"/>
              <w:spacing w:before="0"/>
              <w:rPr>
                <w:rFonts w:ascii="Arial" w:hAnsi="Arial"/>
              </w:rPr>
            </w:pPr>
            <w:r>
              <w:rPr>
                <w:rFonts w:ascii="Arial" w:hAnsi="Arial"/>
              </w:rPr>
              <w:t>Issuer Fax No.</w:t>
            </w:r>
          </w:p>
          <w:p w14:paraId="0AA56D0A" w14:textId="77777777" w:rsidR="00640E94" w:rsidRDefault="00640E94">
            <w:pPr>
              <w:pStyle w:val="BodyText"/>
              <w:spacing w:before="0"/>
              <w:rPr>
                <w:rFonts w:ascii="Arial" w:hAnsi="Arial"/>
              </w:rPr>
            </w:pPr>
            <w:r>
              <w:rPr>
                <w:rFonts w:ascii="Arial" w:hAnsi="Arial"/>
              </w:rPr>
              <w:t>(     )</w:t>
            </w:r>
          </w:p>
        </w:tc>
        <w:tc>
          <w:tcPr>
            <w:tcW w:w="2898" w:type="dxa"/>
            <w:tcBorders>
              <w:top w:val="single" w:sz="18" w:space="0" w:color="auto"/>
              <w:left w:val="single" w:sz="18" w:space="0" w:color="auto"/>
              <w:bottom w:val="single" w:sz="18" w:space="0" w:color="auto"/>
            </w:tcBorders>
          </w:tcPr>
          <w:p w14:paraId="0754C19F" w14:textId="77777777" w:rsidR="00640E94" w:rsidRDefault="00640E94">
            <w:pPr>
              <w:pStyle w:val="BodyText"/>
              <w:spacing w:before="0"/>
              <w:rPr>
                <w:rFonts w:ascii="Arial" w:hAnsi="Arial"/>
              </w:rPr>
            </w:pPr>
            <w:r>
              <w:rPr>
                <w:rFonts w:ascii="Arial" w:hAnsi="Arial"/>
              </w:rPr>
              <w:t>Issuer Telephone No.</w:t>
            </w:r>
          </w:p>
          <w:p w14:paraId="5994B1F3" w14:textId="77777777" w:rsidR="00640E94" w:rsidRDefault="00640E94">
            <w:pPr>
              <w:pStyle w:val="BodyText"/>
              <w:spacing w:before="0"/>
              <w:rPr>
                <w:rFonts w:ascii="Arial" w:hAnsi="Arial"/>
              </w:rPr>
            </w:pPr>
            <w:r>
              <w:rPr>
                <w:rFonts w:ascii="Arial" w:hAnsi="Arial"/>
              </w:rPr>
              <w:t>(     )</w:t>
            </w:r>
          </w:p>
        </w:tc>
      </w:tr>
      <w:tr w:rsidR="00640E94" w14:paraId="20D1668B" w14:textId="77777777">
        <w:tc>
          <w:tcPr>
            <w:tcW w:w="4878" w:type="dxa"/>
            <w:tcBorders>
              <w:top w:val="single" w:sz="18" w:space="0" w:color="auto"/>
              <w:bottom w:val="single" w:sz="18" w:space="0" w:color="auto"/>
              <w:right w:val="single" w:sz="18" w:space="0" w:color="auto"/>
            </w:tcBorders>
          </w:tcPr>
          <w:p w14:paraId="77A33BC2" w14:textId="77777777" w:rsidR="00640E94" w:rsidRDefault="00640E94">
            <w:pPr>
              <w:pStyle w:val="BodyText"/>
              <w:spacing w:before="0"/>
              <w:rPr>
                <w:rFonts w:ascii="Arial" w:hAnsi="Arial"/>
              </w:rPr>
            </w:pPr>
            <w:r>
              <w:rPr>
                <w:rFonts w:ascii="Arial" w:hAnsi="Arial"/>
              </w:rPr>
              <w:lastRenderedPageBreak/>
              <w:t>Contact Name</w:t>
            </w:r>
          </w:p>
          <w:p w14:paraId="4C386DE6" w14:textId="77777777" w:rsidR="00640E94" w:rsidRDefault="00640E94">
            <w:pPr>
              <w:pStyle w:val="BodyText"/>
              <w:spacing w:before="0"/>
              <w:rPr>
                <w:rFonts w:ascii="Arial" w:hAnsi="Arial"/>
              </w:rPr>
            </w:pPr>
          </w:p>
          <w:p w14:paraId="2BDCE41A" w14:textId="13D41FDA" w:rsidR="00640E94" w:rsidRDefault="00C858FE">
            <w:pPr>
              <w:pStyle w:val="BodyText"/>
              <w:spacing w:before="0"/>
              <w:rPr>
                <w:rFonts w:ascii="Arial" w:hAnsi="Arial"/>
              </w:rPr>
            </w:pPr>
            <w:r>
              <w:rPr>
                <w:rFonts w:ascii="Arial" w:hAnsi="Arial"/>
              </w:rPr>
              <w:t xml:space="preserve">Richard </w:t>
            </w:r>
            <w:proofErr w:type="spellStart"/>
            <w:r>
              <w:rPr>
                <w:rFonts w:ascii="Arial" w:hAnsi="Arial"/>
              </w:rPr>
              <w:t>zhou</w:t>
            </w:r>
            <w:proofErr w:type="spellEnd"/>
          </w:p>
        </w:tc>
        <w:tc>
          <w:tcPr>
            <w:tcW w:w="1800" w:type="dxa"/>
            <w:tcBorders>
              <w:top w:val="single" w:sz="18" w:space="0" w:color="auto"/>
              <w:left w:val="single" w:sz="18" w:space="0" w:color="auto"/>
              <w:bottom w:val="single" w:sz="18" w:space="0" w:color="auto"/>
              <w:right w:val="single" w:sz="18" w:space="0" w:color="auto"/>
            </w:tcBorders>
          </w:tcPr>
          <w:p w14:paraId="082405B3" w14:textId="77777777" w:rsidR="00640E94" w:rsidRDefault="00640E94">
            <w:pPr>
              <w:pStyle w:val="BodyText"/>
              <w:spacing w:before="0"/>
              <w:rPr>
                <w:rFonts w:ascii="Arial" w:hAnsi="Arial"/>
              </w:rPr>
            </w:pPr>
            <w:r>
              <w:rPr>
                <w:rFonts w:ascii="Arial" w:hAnsi="Arial"/>
              </w:rPr>
              <w:t>Contact Position</w:t>
            </w:r>
          </w:p>
          <w:p w14:paraId="5427813A" w14:textId="11AF408B" w:rsidR="00C858FE" w:rsidRDefault="00C858FE">
            <w:pPr>
              <w:pStyle w:val="BodyText"/>
              <w:spacing w:before="0"/>
              <w:rPr>
                <w:rFonts w:ascii="Arial" w:hAnsi="Arial"/>
              </w:rPr>
            </w:pPr>
            <w:r>
              <w:rPr>
                <w:rFonts w:ascii="Arial" w:hAnsi="Arial"/>
              </w:rPr>
              <w:t>CEO</w:t>
            </w:r>
          </w:p>
        </w:tc>
        <w:tc>
          <w:tcPr>
            <w:tcW w:w="2898" w:type="dxa"/>
            <w:tcBorders>
              <w:top w:val="single" w:sz="18" w:space="0" w:color="auto"/>
              <w:left w:val="single" w:sz="18" w:space="0" w:color="auto"/>
              <w:bottom w:val="single" w:sz="18" w:space="0" w:color="auto"/>
            </w:tcBorders>
          </w:tcPr>
          <w:p w14:paraId="0C47F0C0" w14:textId="77777777" w:rsidR="00640E94" w:rsidRDefault="00640E94">
            <w:pPr>
              <w:pStyle w:val="BodyText"/>
              <w:spacing w:before="0"/>
              <w:rPr>
                <w:rFonts w:ascii="Arial" w:hAnsi="Arial"/>
              </w:rPr>
            </w:pPr>
            <w:r>
              <w:rPr>
                <w:rFonts w:ascii="Arial" w:hAnsi="Arial"/>
              </w:rPr>
              <w:t>Contact Telephone No.</w:t>
            </w:r>
          </w:p>
          <w:p w14:paraId="0A95685D" w14:textId="4E18E9B9" w:rsidR="00C858FE" w:rsidRDefault="00C858FE">
            <w:pPr>
              <w:pStyle w:val="BodyText"/>
              <w:spacing w:before="0"/>
              <w:rPr>
                <w:rFonts w:ascii="Arial" w:hAnsi="Arial"/>
              </w:rPr>
            </w:pPr>
            <w:r>
              <w:rPr>
                <w:rFonts w:ascii="Arial" w:hAnsi="Arial"/>
              </w:rPr>
              <w:t>6474048966</w:t>
            </w:r>
          </w:p>
        </w:tc>
      </w:tr>
      <w:tr w:rsidR="00640E94" w14:paraId="2360FEEE" w14:textId="77777777">
        <w:trPr>
          <w:cantSplit/>
        </w:trPr>
        <w:tc>
          <w:tcPr>
            <w:tcW w:w="4878" w:type="dxa"/>
            <w:tcBorders>
              <w:top w:val="single" w:sz="18" w:space="0" w:color="auto"/>
              <w:bottom w:val="single" w:sz="18" w:space="0" w:color="auto"/>
              <w:right w:val="single" w:sz="18" w:space="0" w:color="auto"/>
            </w:tcBorders>
          </w:tcPr>
          <w:p w14:paraId="1C57A329" w14:textId="77777777" w:rsidR="00640E94" w:rsidRDefault="00640E94">
            <w:pPr>
              <w:pStyle w:val="BodyText"/>
              <w:spacing w:before="0"/>
              <w:rPr>
                <w:rFonts w:ascii="Arial" w:hAnsi="Arial"/>
              </w:rPr>
            </w:pPr>
            <w:r>
              <w:rPr>
                <w:rFonts w:ascii="Arial" w:hAnsi="Arial"/>
              </w:rPr>
              <w:t>Contact Email Address</w:t>
            </w:r>
          </w:p>
          <w:p w14:paraId="691B2C5E" w14:textId="31275C33" w:rsidR="00640E94" w:rsidRDefault="00C858FE">
            <w:pPr>
              <w:pStyle w:val="BodyText"/>
              <w:spacing w:before="0"/>
              <w:rPr>
                <w:rFonts w:ascii="Arial" w:hAnsi="Arial"/>
              </w:rPr>
            </w:pPr>
            <w:r w:rsidRPr="00C858FE">
              <w:rPr>
                <w:rFonts w:ascii="Arial" w:hAnsi="Arial"/>
              </w:rPr>
              <w:t>richardzhou@bvcadt.com</w:t>
            </w:r>
          </w:p>
        </w:tc>
        <w:tc>
          <w:tcPr>
            <w:tcW w:w="4698" w:type="dxa"/>
            <w:gridSpan w:val="2"/>
            <w:tcBorders>
              <w:top w:val="single" w:sz="18" w:space="0" w:color="auto"/>
              <w:left w:val="single" w:sz="18" w:space="0" w:color="auto"/>
              <w:bottom w:val="single" w:sz="18" w:space="0" w:color="auto"/>
            </w:tcBorders>
          </w:tcPr>
          <w:p w14:paraId="5281EF22" w14:textId="77777777" w:rsidR="00640E94" w:rsidRDefault="00640E94">
            <w:pPr>
              <w:pStyle w:val="BodyText"/>
              <w:spacing w:before="0"/>
              <w:rPr>
                <w:rFonts w:ascii="Arial" w:hAnsi="Arial"/>
              </w:rPr>
            </w:pPr>
            <w:r>
              <w:rPr>
                <w:rFonts w:ascii="Arial" w:hAnsi="Arial"/>
              </w:rPr>
              <w:t>Web Site Address</w:t>
            </w:r>
          </w:p>
          <w:p w14:paraId="5DBFD526" w14:textId="3FE042B5" w:rsidR="00640E94" w:rsidRDefault="00C858FE">
            <w:pPr>
              <w:pStyle w:val="BodyText"/>
              <w:spacing w:before="0"/>
              <w:rPr>
                <w:rFonts w:ascii="Arial" w:hAnsi="Arial"/>
              </w:rPr>
            </w:pPr>
            <w:r w:rsidRPr="00C858FE">
              <w:rPr>
                <w:rFonts w:ascii="Arial" w:hAnsi="Arial"/>
              </w:rPr>
              <w:t>Bvcadt.com</w:t>
            </w:r>
          </w:p>
        </w:tc>
      </w:tr>
    </w:tbl>
    <w:p w14:paraId="5B20A80E" w14:textId="77777777" w:rsidR="00640E94" w:rsidRDefault="00640E94" w:rsidP="00922A46">
      <w:pPr>
        <w:pStyle w:val="BodyText"/>
      </w:pPr>
    </w:p>
    <w:sectPr w:rsidR="00640E94" w:rsidSect="000A1AB1">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7852A" w14:textId="77777777" w:rsidR="007F17CE" w:rsidRDefault="007F17CE">
      <w:r>
        <w:separator/>
      </w:r>
    </w:p>
  </w:endnote>
  <w:endnote w:type="continuationSeparator" w:id="0">
    <w:p w14:paraId="3920CD13" w14:textId="77777777" w:rsidR="007F17CE" w:rsidRDefault="007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E701" w14:textId="77777777" w:rsidR="00640E94" w:rsidRDefault="00640E94">
    <w:pPr>
      <w:pStyle w:val="Footer"/>
      <w:tabs>
        <w:tab w:val="clear" w:pos="4320"/>
        <w:tab w:val="clear" w:pos="8640"/>
        <w:tab w:val="center" w:pos="4680"/>
        <w:tab w:val="right" w:pos="9360"/>
      </w:tabs>
      <w:rPr>
        <w:b/>
      </w:rPr>
    </w:pPr>
  </w:p>
  <w:p w14:paraId="45B7FF6F"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6225F2F1" wp14:editId="64E604AE">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D990"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"/>
          </w:pict>
        </mc:Fallback>
      </mc:AlternateContent>
    </w:r>
    <w:r w:rsidR="00640E94">
      <w:rPr>
        <w:rFonts w:ascii="Arial" w:hAnsi="Arial" w:cs="Arial"/>
        <w:b/>
      </w:rPr>
      <w:t>FORM 7 – MONTHLY PROGRESS REPORT</w:t>
    </w:r>
  </w:p>
  <w:p w14:paraId="3ECF18B8"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29F42B0E"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B5FB" w14:textId="77777777" w:rsidR="00640E94" w:rsidRDefault="00640E94">
    <w:pPr>
      <w:pStyle w:val="Footer"/>
      <w:tabs>
        <w:tab w:val="clear" w:pos="4320"/>
        <w:tab w:val="clear" w:pos="8640"/>
        <w:tab w:val="center" w:pos="4680"/>
        <w:tab w:val="right" w:pos="9360"/>
      </w:tabs>
      <w:rPr>
        <w:b/>
      </w:rPr>
    </w:pPr>
  </w:p>
  <w:p w14:paraId="6D2E4C40"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674E6E16" wp14:editId="46E22AE4">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B0C9"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"/>
          </w:pict>
        </mc:Fallback>
      </mc:AlternateContent>
    </w:r>
    <w:r w:rsidR="00640E94">
      <w:rPr>
        <w:rFonts w:ascii="Arial" w:hAnsi="Arial" w:cs="Arial"/>
        <w:b/>
      </w:rPr>
      <w:t>FORM 7</w:t>
    </w:r>
    <w:r w:rsidR="00635E9A">
      <w:rPr>
        <w:rFonts w:ascii="Arial" w:hAnsi="Arial" w:cs="Arial"/>
        <w:b/>
      </w:rPr>
      <w:t xml:space="preserve"> – MONTHLY PROGRESS REPORT</w:t>
    </w:r>
  </w:p>
  <w:p w14:paraId="24302D03"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673B8602"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0ADD3" w14:textId="77777777" w:rsidR="007F17CE" w:rsidRDefault="007F17CE">
      <w:r>
        <w:separator/>
      </w:r>
    </w:p>
  </w:footnote>
  <w:footnote w:type="continuationSeparator" w:id="0">
    <w:p w14:paraId="7F0A77A2" w14:textId="77777777" w:rsidR="007F17CE" w:rsidRDefault="007F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4C15F"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2B4796"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DEE4"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B372A5"/>
    <w:multiLevelType w:val="hybridMultilevel"/>
    <w:tmpl w:val="C336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7"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9"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0"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2"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3"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5"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8"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99103892">
    <w:abstractNumId w:val="17"/>
  </w:num>
  <w:num w:numId="2" w16cid:durableId="1286279573">
    <w:abstractNumId w:val="21"/>
  </w:num>
  <w:num w:numId="3" w16cid:durableId="470902273">
    <w:abstractNumId w:val="16"/>
  </w:num>
  <w:num w:numId="4" w16cid:durableId="1949847484">
    <w:abstractNumId w:val="13"/>
  </w:num>
  <w:num w:numId="5" w16cid:durableId="1667633995">
    <w:abstractNumId w:val="3"/>
  </w:num>
  <w:num w:numId="6" w16cid:durableId="614823514">
    <w:abstractNumId w:val="23"/>
  </w:num>
  <w:num w:numId="7" w16cid:durableId="290789077">
    <w:abstractNumId w:val="9"/>
  </w:num>
  <w:num w:numId="8" w16cid:durableId="1576819508">
    <w:abstractNumId w:val="25"/>
  </w:num>
  <w:num w:numId="9" w16cid:durableId="579558263">
    <w:abstractNumId w:val="20"/>
  </w:num>
  <w:num w:numId="10" w16cid:durableId="2122802450">
    <w:abstractNumId w:val="11"/>
  </w:num>
  <w:num w:numId="11" w16cid:durableId="580214772">
    <w:abstractNumId w:val="14"/>
  </w:num>
  <w:num w:numId="12" w16cid:durableId="1355765259">
    <w:abstractNumId w:val="15"/>
  </w:num>
  <w:num w:numId="13" w16cid:durableId="685130028">
    <w:abstractNumId w:val="27"/>
  </w:num>
  <w:num w:numId="14" w16cid:durableId="1250844097">
    <w:abstractNumId w:val="7"/>
  </w:num>
  <w:num w:numId="15" w16cid:durableId="1010526131">
    <w:abstractNumId w:val="10"/>
  </w:num>
  <w:num w:numId="16" w16cid:durableId="1006133924">
    <w:abstractNumId w:val="12"/>
  </w:num>
  <w:num w:numId="17" w16cid:durableId="1712875751">
    <w:abstractNumId w:val="18"/>
  </w:num>
  <w:num w:numId="18" w16cid:durableId="2124611759">
    <w:abstractNumId w:val="2"/>
  </w:num>
  <w:num w:numId="19" w16cid:durableId="353726311">
    <w:abstractNumId w:val="8"/>
  </w:num>
  <w:num w:numId="20" w16cid:durableId="1528369207">
    <w:abstractNumId w:val="24"/>
  </w:num>
  <w:num w:numId="21" w16cid:durableId="349647983">
    <w:abstractNumId w:val="1"/>
  </w:num>
  <w:num w:numId="22" w16cid:durableId="1495994436">
    <w:abstractNumId w:val="0"/>
  </w:num>
  <w:num w:numId="23" w16cid:durableId="1937715771">
    <w:abstractNumId w:val="22"/>
  </w:num>
  <w:num w:numId="24" w16cid:durableId="1333724693">
    <w:abstractNumId w:val="19"/>
  </w:num>
  <w:num w:numId="25" w16cid:durableId="2110158228">
    <w:abstractNumId w:val="4"/>
  </w:num>
  <w:num w:numId="26" w16cid:durableId="1833139218">
    <w:abstractNumId w:val="26"/>
  </w:num>
  <w:num w:numId="27" w16cid:durableId="762338853">
    <w:abstractNumId w:val="28"/>
  </w:num>
  <w:num w:numId="28" w16cid:durableId="1112817752">
    <w:abstractNumId w:val="6"/>
  </w:num>
  <w:num w:numId="29" w16cid:durableId="59839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06DF1"/>
    <w:rsid w:val="00031D51"/>
    <w:rsid w:val="00037F90"/>
    <w:rsid w:val="000A1AB1"/>
    <w:rsid w:val="000B3FA5"/>
    <w:rsid w:val="000D53CB"/>
    <w:rsid w:val="000D731B"/>
    <w:rsid w:val="000F057E"/>
    <w:rsid w:val="0012056B"/>
    <w:rsid w:val="00185D64"/>
    <w:rsid w:val="00190BBC"/>
    <w:rsid w:val="001A24F4"/>
    <w:rsid w:val="001B18E3"/>
    <w:rsid w:val="002316FC"/>
    <w:rsid w:val="002724DA"/>
    <w:rsid w:val="002B2272"/>
    <w:rsid w:val="002C281E"/>
    <w:rsid w:val="002E65B8"/>
    <w:rsid w:val="002F00EB"/>
    <w:rsid w:val="002F7D0C"/>
    <w:rsid w:val="003215D9"/>
    <w:rsid w:val="003526C3"/>
    <w:rsid w:val="003669A9"/>
    <w:rsid w:val="00371A64"/>
    <w:rsid w:val="00387FA8"/>
    <w:rsid w:val="004E2820"/>
    <w:rsid w:val="005453C8"/>
    <w:rsid w:val="005C2025"/>
    <w:rsid w:val="005E5AE2"/>
    <w:rsid w:val="005F6D8F"/>
    <w:rsid w:val="0061019A"/>
    <w:rsid w:val="00620E7F"/>
    <w:rsid w:val="00633ED3"/>
    <w:rsid w:val="00635E9A"/>
    <w:rsid w:val="00640E94"/>
    <w:rsid w:val="006501E3"/>
    <w:rsid w:val="006D1A06"/>
    <w:rsid w:val="006F78CC"/>
    <w:rsid w:val="00724F17"/>
    <w:rsid w:val="00753376"/>
    <w:rsid w:val="007649E8"/>
    <w:rsid w:val="007A06DE"/>
    <w:rsid w:val="007B5C60"/>
    <w:rsid w:val="007F17CE"/>
    <w:rsid w:val="00827988"/>
    <w:rsid w:val="008357E2"/>
    <w:rsid w:val="00836BD1"/>
    <w:rsid w:val="00872B44"/>
    <w:rsid w:val="008B7E92"/>
    <w:rsid w:val="008D3BA6"/>
    <w:rsid w:val="008E1DD5"/>
    <w:rsid w:val="0090230D"/>
    <w:rsid w:val="00922A46"/>
    <w:rsid w:val="00927A0B"/>
    <w:rsid w:val="009926F3"/>
    <w:rsid w:val="009F7498"/>
    <w:rsid w:val="00A47914"/>
    <w:rsid w:val="00A55A30"/>
    <w:rsid w:val="00A70380"/>
    <w:rsid w:val="00AE5B91"/>
    <w:rsid w:val="00B12FE2"/>
    <w:rsid w:val="00B326E0"/>
    <w:rsid w:val="00B7701F"/>
    <w:rsid w:val="00BC5650"/>
    <w:rsid w:val="00C20B12"/>
    <w:rsid w:val="00C27A18"/>
    <w:rsid w:val="00C6383E"/>
    <w:rsid w:val="00C67BEE"/>
    <w:rsid w:val="00C71436"/>
    <w:rsid w:val="00C858FE"/>
    <w:rsid w:val="00CC6D7F"/>
    <w:rsid w:val="00D21A00"/>
    <w:rsid w:val="00D454DB"/>
    <w:rsid w:val="00D53DF6"/>
    <w:rsid w:val="00D903A9"/>
    <w:rsid w:val="00DD1C57"/>
    <w:rsid w:val="00DD7626"/>
    <w:rsid w:val="00E36141"/>
    <w:rsid w:val="00E83E58"/>
    <w:rsid w:val="00E965AC"/>
    <w:rsid w:val="00EE1280"/>
    <w:rsid w:val="00F12C35"/>
    <w:rsid w:val="00F40D1E"/>
    <w:rsid w:val="00F946A5"/>
    <w:rsid w:val="00FA7DC9"/>
    <w:rsid w:val="00FC39DD"/>
    <w:rsid w:val="00FC4D2E"/>
    <w:rsid w:val="00FC4FED"/>
    <w:rsid w:val="00FD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CCC22"/>
  <w15:docId w15:val="{6C432010-B808-8B40-9B53-D0735C96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F12C35"/>
    <w:rPr>
      <w:sz w:val="24"/>
      <w:szCs w:val="24"/>
    </w:rPr>
  </w:style>
  <w:style w:type="character" w:styleId="Strong">
    <w:name w:val="Strong"/>
    <w:basedOn w:val="DefaultParagraphFont"/>
    <w:uiPriority w:val="22"/>
    <w:qFormat/>
    <w:rsid w:val="00A70380"/>
    <w:rPr>
      <w:b/>
      <w:bCs/>
    </w:rPr>
  </w:style>
  <w:style w:type="paragraph" w:styleId="ListParagraph">
    <w:name w:val="List Paragraph"/>
    <w:basedOn w:val="Normal"/>
    <w:uiPriority w:val="34"/>
    <w:qFormat/>
    <w:rsid w:val="00A70380"/>
    <w:pPr>
      <w:ind w:left="720"/>
      <w:contextualSpacing/>
    </w:pPr>
  </w:style>
  <w:style w:type="table" w:styleId="TableGrid">
    <w:name w:val="Table Grid"/>
    <w:basedOn w:val="TableNormal"/>
    <w:rsid w:val="00A7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380"/>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A70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2573">
      <w:bodyDiv w:val="1"/>
      <w:marLeft w:val="0"/>
      <w:marRight w:val="0"/>
      <w:marTop w:val="0"/>
      <w:marBottom w:val="0"/>
      <w:divBdr>
        <w:top w:val="none" w:sz="0" w:space="0" w:color="auto"/>
        <w:left w:val="none" w:sz="0" w:space="0" w:color="auto"/>
        <w:bottom w:val="none" w:sz="0" w:space="0" w:color="auto"/>
        <w:right w:val="none" w:sz="0" w:space="0" w:color="auto"/>
      </w:divBdr>
    </w:div>
    <w:div w:id="84041677">
      <w:bodyDiv w:val="1"/>
      <w:marLeft w:val="0"/>
      <w:marRight w:val="0"/>
      <w:marTop w:val="0"/>
      <w:marBottom w:val="0"/>
      <w:divBdr>
        <w:top w:val="none" w:sz="0" w:space="0" w:color="auto"/>
        <w:left w:val="none" w:sz="0" w:space="0" w:color="auto"/>
        <w:bottom w:val="none" w:sz="0" w:space="0" w:color="auto"/>
        <w:right w:val="none" w:sz="0" w:space="0" w:color="auto"/>
      </w:divBdr>
    </w:div>
    <w:div w:id="163253027">
      <w:bodyDiv w:val="1"/>
      <w:marLeft w:val="0"/>
      <w:marRight w:val="0"/>
      <w:marTop w:val="0"/>
      <w:marBottom w:val="0"/>
      <w:divBdr>
        <w:top w:val="none" w:sz="0" w:space="0" w:color="auto"/>
        <w:left w:val="none" w:sz="0" w:space="0" w:color="auto"/>
        <w:bottom w:val="none" w:sz="0" w:space="0" w:color="auto"/>
        <w:right w:val="none" w:sz="0" w:space="0" w:color="auto"/>
      </w:divBdr>
    </w:div>
    <w:div w:id="178542479">
      <w:bodyDiv w:val="1"/>
      <w:marLeft w:val="0"/>
      <w:marRight w:val="0"/>
      <w:marTop w:val="0"/>
      <w:marBottom w:val="0"/>
      <w:divBdr>
        <w:top w:val="none" w:sz="0" w:space="0" w:color="auto"/>
        <w:left w:val="none" w:sz="0" w:space="0" w:color="auto"/>
        <w:bottom w:val="none" w:sz="0" w:space="0" w:color="auto"/>
        <w:right w:val="none" w:sz="0" w:space="0" w:color="auto"/>
      </w:divBdr>
    </w:div>
    <w:div w:id="193085114">
      <w:bodyDiv w:val="1"/>
      <w:marLeft w:val="0"/>
      <w:marRight w:val="0"/>
      <w:marTop w:val="0"/>
      <w:marBottom w:val="0"/>
      <w:divBdr>
        <w:top w:val="none" w:sz="0" w:space="0" w:color="auto"/>
        <w:left w:val="none" w:sz="0" w:space="0" w:color="auto"/>
        <w:bottom w:val="none" w:sz="0" w:space="0" w:color="auto"/>
        <w:right w:val="none" w:sz="0" w:space="0" w:color="auto"/>
      </w:divBdr>
    </w:div>
    <w:div w:id="234125443">
      <w:bodyDiv w:val="1"/>
      <w:marLeft w:val="0"/>
      <w:marRight w:val="0"/>
      <w:marTop w:val="0"/>
      <w:marBottom w:val="0"/>
      <w:divBdr>
        <w:top w:val="none" w:sz="0" w:space="0" w:color="auto"/>
        <w:left w:val="none" w:sz="0" w:space="0" w:color="auto"/>
        <w:bottom w:val="none" w:sz="0" w:space="0" w:color="auto"/>
        <w:right w:val="none" w:sz="0" w:space="0" w:color="auto"/>
      </w:divBdr>
    </w:div>
    <w:div w:id="290289456">
      <w:bodyDiv w:val="1"/>
      <w:marLeft w:val="0"/>
      <w:marRight w:val="0"/>
      <w:marTop w:val="0"/>
      <w:marBottom w:val="0"/>
      <w:divBdr>
        <w:top w:val="none" w:sz="0" w:space="0" w:color="auto"/>
        <w:left w:val="none" w:sz="0" w:space="0" w:color="auto"/>
        <w:bottom w:val="none" w:sz="0" w:space="0" w:color="auto"/>
        <w:right w:val="none" w:sz="0" w:space="0" w:color="auto"/>
      </w:divBdr>
    </w:div>
    <w:div w:id="358162318">
      <w:bodyDiv w:val="1"/>
      <w:marLeft w:val="0"/>
      <w:marRight w:val="0"/>
      <w:marTop w:val="0"/>
      <w:marBottom w:val="0"/>
      <w:divBdr>
        <w:top w:val="none" w:sz="0" w:space="0" w:color="auto"/>
        <w:left w:val="none" w:sz="0" w:space="0" w:color="auto"/>
        <w:bottom w:val="none" w:sz="0" w:space="0" w:color="auto"/>
        <w:right w:val="none" w:sz="0" w:space="0" w:color="auto"/>
      </w:divBdr>
    </w:div>
    <w:div w:id="464276448">
      <w:bodyDiv w:val="1"/>
      <w:marLeft w:val="0"/>
      <w:marRight w:val="0"/>
      <w:marTop w:val="0"/>
      <w:marBottom w:val="0"/>
      <w:divBdr>
        <w:top w:val="none" w:sz="0" w:space="0" w:color="auto"/>
        <w:left w:val="none" w:sz="0" w:space="0" w:color="auto"/>
        <w:bottom w:val="none" w:sz="0" w:space="0" w:color="auto"/>
        <w:right w:val="none" w:sz="0" w:space="0" w:color="auto"/>
      </w:divBdr>
    </w:div>
    <w:div w:id="631594471">
      <w:bodyDiv w:val="1"/>
      <w:marLeft w:val="0"/>
      <w:marRight w:val="0"/>
      <w:marTop w:val="0"/>
      <w:marBottom w:val="0"/>
      <w:divBdr>
        <w:top w:val="none" w:sz="0" w:space="0" w:color="auto"/>
        <w:left w:val="none" w:sz="0" w:space="0" w:color="auto"/>
        <w:bottom w:val="none" w:sz="0" w:space="0" w:color="auto"/>
        <w:right w:val="none" w:sz="0" w:space="0" w:color="auto"/>
      </w:divBdr>
    </w:div>
    <w:div w:id="669412806">
      <w:bodyDiv w:val="1"/>
      <w:marLeft w:val="0"/>
      <w:marRight w:val="0"/>
      <w:marTop w:val="0"/>
      <w:marBottom w:val="0"/>
      <w:divBdr>
        <w:top w:val="none" w:sz="0" w:space="0" w:color="auto"/>
        <w:left w:val="none" w:sz="0" w:space="0" w:color="auto"/>
        <w:bottom w:val="none" w:sz="0" w:space="0" w:color="auto"/>
        <w:right w:val="none" w:sz="0" w:space="0" w:color="auto"/>
      </w:divBdr>
    </w:div>
    <w:div w:id="708722058">
      <w:bodyDiv w:val="1"/>
      <w:marLeft w:val="0"/>
      <w:marRight w:val="0"/>
      <w:marTop w:val="0"/>
      <w:marBottom w:val="0"/>
      <w:divBdr>
        <w:top w:val="none" w:sz="0" w:space="0" w:color="auto"/>
        <w:left w:val="none" w:sz="0" w:space="0" w:color="auto"/>
        <w:bottom w:val="none" w:sz="0" w:space="0" w:color="auto"/>
        <w:right w:val="none" w:sz="0" w:space="0" w:color="auto"/>
      </w:divBdr>
    </w:div>
    <w:div w:id="761141666">
      <w:bodyDiv w:val="1"/>
      <w:marLeft w:val="0"/>
      <w:marRight w:val="0"/>
      <w:marTop w:val="0"/>
      <w:marBottom w:val="0"/>
      <w:divBdr>
        <w:top w:val="none" w:sz="0" w:space="0" w:color="auto"/>
        <w:left w:val="none" w:sz="0" w:space="0" w:color="auto"/>
        <w:bottom w:val="none" w:sz="0" w:space="0" w:color="auto"/>
        <w:right w:val="none" w:sz="0" w:space="0" w:color="auto"/>
      </w:divBdr>
    </w:div>
    <w:div w:id="867909712">
      <w:bodyDiv w:val="1"/>
      <w:marLeft w:val="0"/>
      <w:marRight w:val="0"/>
      <w:marTop w:val="0"/>
      <w:marBottom w:val="0"/>
      <w:divBdr>
        <w:top w:val="none" w:sz="0" w:space="0" w:color="auto"/>
        <w:left w:val="none" w:sz="0" w:space="0" w:color="auto"/>
        <w:bottom w:val="none" w:sz="0" w:space="0" w:color="auto"/>
        <w:right w:val="none" w:sz="0" w:space="0" w:color="auto"/>
      </w:divBdr>
    </w:div>
    <w:div w:id="945427495">
      <w:bodyDiv w:val="1"/>
      <w:marLeft w:val="0"/>
      <w:marRight w:val="0"/>
      <w:marTop w:val="0"/>
      <w:marBottom w:val="0"/>
      <w:divBdr>
        <w:top w:val="none" w:sz="0" w:space="0" w:color="auto"/>
        <w:left w:val="none" w:sz="0" w:space="0" w:color="auto"/>
        <w:bottom w:val="none" w:sz="0" w:space="0" w:color="auto"/>
        <w:right w:val="none" w:sz="0" w:space="0" w:color="auto"/>
      </w:divBdr>
    </w:div>
    <w:div w:id="1026710628">
      <w:bodyDiv w:val="1"/>
      <w:marLeft w:val="0"/>
      <w:marRight w:val="0"/>
      <w:marTop w:val="0"/>
      <w:marBottom w:val="0"/>
      <w:divBdr>
        <w:top w:val="none" w:sz="0" w:space="0" w:color="auto"/>
        <w:left w:val="none" w:sz="0" w:space="0" w:color="auto"/>
        <w:bottom w:val="none" w:sz="0" w:space="0" w:color="auto"/>
        <w:right w:val="none" w:sz="0" w:space="0" w:color="auto"/>
      </w:divBdr>
    </w:div>
    <w:div w:id="1030766264">
      <w:bodyDiv w:val="1"/>
      <w:marLeft w:val="0"/>
      <w:marRight w:val="0"/>
      <w:marTop w:val="0"/>
      <w:marBottom w:val="0"/>
      <w:divBdr>
        <w:top w:val="none" w:sz="0" w:space="0" w:color="auto"/>
        <w:left w:val="none" w:sz="0" w:space="0" w:color="auto"/>
        <w:bottom w:val="none" w:sz="0" w:space="0" w:color="auto"/>
        <w:right w:val="none" w:sz="0" w:space="0" w:color="auto"/>
      </w:divBdr>
      <w:divsChild>
        <w:div w:id="1921674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892449">
      <w:bodyDiv w:val="1"/>
      <w:marLeft w:val="0"/>
      <w:marRight w:val="0"/>
      <w:marTop w:val="0"/>
      <w:marBottom w:val="0"/>
      <w:divBdr>
        <w:top w:val="none" w:sz="0" w:space="0" w:color="auto"/>
        <w:left w:val="none" w:sz="0" w:space="0" w:color="auto"/>
        <w:bottom w:val="none" w:sz="0" w:space="0" w:color="auto"/>
        <w:right w:val="none" w:sz="0" w:space="0" w:color="auto"/>
      </w:divBdr>
    </w:div>
    <w:div w:id="1083525966">
      <w:bodyDiv w:val="1"/>
      <w:marLeft w:val="0"/>
      <w:marRight w:val="0"/>
      <w:marTop w:val="0"/>
      <w:marBottom w:val="0"/>
      <w:divBdr>
        <w:top w:val="none" w:sz="0" w:space="0" w:color="auto"/>
        <w:left w:val="none" w:sz="0" w:space="0" w:color="auto"/>
        <w:bottom w:val="none" w:sz="0" w:space="0" w:color="auto"/>
        <w:right w:val="none" w:sz="0" w:space="0" w:color="auto"/>
      </w:divBdr>
    </w:div>
    <w:div w:id="1114330255">
      <w:bodyDiv w:val="1"/>
      <w:marLeft w:val="0"/>
      <w:marRight w:val="0"/>
      <w:marTop w:val="0"/>
      <w:marBottom w:val="0"/>
      <w:divBdr>
        <w:top w:val="none" w:sz="0" w:space="0" w:color="auto"/>
        <w:left w:val="none" w:sz="0" w:space="0" w:color="auto"/>
        <w:bottom w:val="none" w:sz="0" w:space="0" w:color="auto"/>
        <w:right w:val="none" w:sz="0" w:space="0" w:color="auto"/>
      </w:divBdr>
      <w:divsChild>
        <w:div w:id="995691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830651">
      <w:bodyDiv w:val="1"/>
      <w:marLeft w:val="0"/>
      <w:marRight w:val="0"/>
      <w:marTop w:val="0"/>
      <w:marBottom w:val="0"/>
      <w:divBdr>
        <w:top w:val="none" w:sz="0" w:space="0" w:color="auto"/>
        <w:left w:val="none" w:sz="0" w:space="0" w:color="auto"/>
        <w:bottom w:val="none" w:sz="0" w:space="0" w:color="auto"/>
        <w:right w:val="none" w:sz="0" w:space="0" w:color="auto"/>
      </w:divBdr>
    </w:div>
    <w:div w:id="1149056044">
      <w:bodyDiv w:val="1"/>
      <w:marLeft w:val="0"/>
      <w:marRight w:val="0"/>
      <w:marTop w:val="0"/>
      <w:marBottom w:val="0"/>
      <w:divBdr>
        <w:top w:val="none" w:sz="0" w:space="0" w:color="auto"/>
        <w:left w:val="none" w:sz="0" w:space="0" w:color="auto"/>
        <w:bottom w:val="none" w:sz="0" w:space="0" w:color="auto"/>
        <w:right w:val="none" w:sz="0" w:space="0" w:color="auto"/>
      </w:divBdr>
    </w:div>
    <w:div w:id="1152672920">
      <w:bodyDiv w:val="1"/>
      <w:marLeft w:val="0"/>
      <w:marRight w:val="0"/>
      <w:marTop w:val="0"/>
      <w:marBottom w:val="0"/>
      <w:divBdr>
        <w:top w:val="none" w:sz="0" w:space="0" w:color="auto"/>
        <w:left w:val="none" w:sz="0" w:space="0" w:color="auto"/>
        <w:bottom w:val="none" w:sz="0" w:space="0" w:color="auto"/>
        <w:right w:val="none" w:sz="0" w:space="0" w:color="auto"/>
      </w:divBdr>
    </w:div>
    <w:div w:id="1327246548">
      <w:bodyDiv w:val="1"/>
      <w:marLeft w:val="0"/>
      <w:marRight w:val="0"/>
      <w:marTop w:val="0"/>
      <w:marBottom w:val="0"/>
      <w:divBdr>
        <w:top w:val="none" w:sz="0" w:space="0" w:color="auto"/>
        <w:left w:val="none" w:sz="0" w:space="0" w:color="auto"/>
        <w:bottom w:val="none" w:sz="0" w:space="0" w:color="auto"/>
        <w:right w:val="none" w:sz="0" w:space="0" w:color="auto"/>
      </w:divBdr>
    </w:div>
    <w:div w:id="1405420525">
      <w:bodyDiv w:val="1"/>
      <w:marLeft w:val="0"/>
      <w:marRight w:val="0"/>
      <w:marTop w:val="0"/>
      <w:marBottom w:val="0"/>
      <w:divBdr>
        <w:top w:val="none" w:sz="0" w:space="0" w:color="auto"/>
        <w:left w:val="none" w:sz="0" w:space="0" w:color="auto"/>
        <w:bottom w:val="none" w:sz="0" w:space="0" w:color="auto"/>
        <w:right w:val="none" w:sz="0" w:space="0" w:color="auto"/>
      </w:divBdr>
    </w:div>
    <w:div w:id="1436248649">
      <w:bodyDiv w:val="1"/>
      <w:marLeft w:val="0"/>
      <w:marRight w:val="0"/>
      <w:marTop w:val="0"/>
      <w:marBottom w:val="0"/>
      <w:divBdr>
        <w:top w:val="none" w:sz="0" w:space="0" w:color="auto"/>
        <w:left w:val="none" w:sz="0" w:space="0" w:color="auto"/>
        <w:bottom w:val="none" w:sz="0" w:space="0" w:color="auto"/>
        <w:right w:val="none" w:sz="0" w:space="0" w:color="auto"/>
      </w:divBdr>
    </w:div>
    <w:div w:id="1492672080">
      <w:bodyDiv w:val="1"/>
      <w:marLeft w:val="0"/>
      <w:marRight w:val="0"/>
      <w:marTop w:val="0"/>
      <w:marBottom w:val="0"/>
      <w:divBdr>
        <w:top w:val="none" w:sz="0" w:space="0" w:color="auto"/>
        <w:left w:val="none" w:sz="0" w:space="0" w:color="auto"/>
        <w:bottom w:val="none" w:sz="0" w:space="0" w:color="auto"/>
        <w:right w:val="none" w:sz="0" w:space="0" w:color="auto"/>
      </w:divBdr>
    </w:div>
    <w:div w:id="1682659584">
      <w:bodyDiv w:val="1"/>
      <w:marLeft w:val="0"/>
      <w:marRight w:val="0"/>
      <w:marTop w:val="0"/>
      <w:marBottom w:val="0"/>
      <w:divBdr>
        <w:top w:val="none" w:sz="0" w:space="0" w:color="auto"/>
        <w:left w:val="none" w:sz="0" w:space="0" w:color="auto"/>
        <w:bottom w:val="none" w:sz="0" w:space="0" w:color="auto"/>
        <w:right w:val="none" w:sz="0" w:space="0" w:color="auto"/>
      </w:divBdr>
    </w:div>
    <w:div w:id="1865439193">
      <w:bodyDiv w:val="1"/>
      <w:marLeft w:val="0"/>
      <w:marRight w:val="0"/>
      <w:marTop w:val="0"/>
      <w:marBottom w:val="0"/>
      <w:divBdr>
        <w:top w:val="none" w:sz="0" w:space="0" w:color="auto"/>
        <w:left w:val="none" w:sz="0" w:space="0" w:color="auto"/>
        <w:bottom w:val="none" w:sz="0" w:space="0" w:color="auto"/>
        <w:right w:val="none" w:sz="0" w:space="0" w:color="auto"/>
      </w:divBdr>
    </w:div>
    <w:div w:id="1897011358">
      <w:bodyDiv w:val="1"/>
      <w:marLeft w:val="0"/>
      <w:marRight w:val="0"/>
      <w:marTop w:val="0"/>
      <w:marBottom w:val="0"/>
      <w:divBdr>
        <w:top w:val="none" w:sz="0" w:space="0" w:color="auto"/>
        <w:left w:val="none" w:sz="0" w:space="0" w:color="auto"/>
        <w:bottom w:val="none" w:sz="0" w:space="0" w:color="auto"/>
        <w:right w:val="none" w:sz="0" w:space="0" w:color="auto"/>
      </w:divBdr>
    </w:div>
    <w:div w:id="1996686938">
      <w:bodyDiv w:val="1"/>
      <w:marLeft w:val="0"/>
      <w:marRight w:val="0"/>
      <w:marTop w:val="0"/>
      <w:marBottom w:val="0"/>
      <w:divBdr>
        <w:top w:val="none" w:sz="0" w:space="0" w:color="auto"/>
        <w:left w:val="none" w:sz="0" w:space="0" w:color="auto"/>
        <w:bottom w:val="none" w:sz="0" w:space="0" w:color="auto"/>
        <w:right w:val="none" w:sz="0" w:space="0" w:color="auto"/>
      </w:divBdr>
    </w:div>
    <w:div w:id="2100517183">
      <w:bodyDiv w:val="1"/>
      <w:marLeft w:val="0"/>
      <w:marRight w:val="0"/>
      <w:marTop w:val="0"/>
      <w:marBottom w:val="0"/>
      <w:divBdr>
        <w:top w:val="none" w:sz="0" w:space="0" w:color="auto"/>
        <w:left w:val="none" w:sz="0" w:space="0" w:color="auto"/>
        <w:bottom w:val="none" w:sz="0" w:space="0" w:color="auto"/>
        <w:right w:val="none" w:sz="0" w:space="0" w:color="auto"/>
      </w:divBdr>
      <w:divsChild>
        <w:div w:id="7749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08275">
      <w:bodyDiv w:val="1"/>
      <w:marLeft w:val="0"/>
      <w:marRight w:val="0"/>
      <w:marTop w:val="0"/>
      <w:marBottom w:val="0"/>
      <w:divBdr>
        <w:top w:val="none" w:sz="0" w:space="0" w:color="auto"/>
        <w:left w:val="none" w:sz="0" w:space="0" w:color="auto"/>
        <w:bottom w:val="none" w:sz="0" w:space="0" w:color="auto"/>
        <w:right w:val="none" w:sz="0" w:space="0" w:color="auto"/>
      </w:divBdr>
    </w:div>
    <w:div w:id="21427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Richard Zhou</cp:lastModifiedBy>
  <cp:revision>4</cp:revision>
  <cp:lastPrinted>2004-05-10T18:28:00Z</cp:lastPrinted>
  <dcterms:created xsi:type="dcterms:W3CDTF">2026-05-14T18:26:00Z</dcterms:created>
  <dcterms:modified xsi:type="dcterms:W3CDTF">2026-05-14T18:36:00Z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