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0E2" w14:textId="77777777" w:rsidR="00640E94" w:rsidRDefault="005A4C21">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4CE6B3E" w14:textId="77777777" w:rsidR="00640E94" w:rsidRDefault="005A4C21">
      <w:pPr>
        <w:pStyle w:val="BodyText"/>
        <w:tabs>
          <w:tab w:val="left" w:pos="0"/>
        </w:tabs>
        <w:rPr>
          <w:rFonts w:ascii="Arial" w:hAnsi="Arial"/>
          <w:color w:val="000000"/>
        </w:rPr>
      </w:pPr>
      <w:r>
        <w:rPr>
          <w:rFonts w:ascii="Arial" w:hAnsi="Arial"/>
          <w:color w:val="000000"/>
        </w:rPr>
        <w:t xml:space="preserve">Name of Listed Issuer: </w:t>
      </w:r>
      <w:r w:rsidRPr="005B6A53">
        <w:rPr>
          <w:rFonts w:ascii="Arial" w:hAnsi="Arial"/>
          <w:b/>
          <w:color w:val="000000"/>
        </w:rPr>
        <w:t>Plus Products Inc.</w:t>
      </w:r>
      <w:r>
        <w:rPr>
          <w:rFonts w:ascii="Arial" w:hAnsi="Arial"/>
          <w:color w:val="000000"/>
        </w:rPr>
        <w:t xml:space="preserve"> (the “Issuer”).</w:t>
      </w:r>
    </w:p>
    <w:p w14:paraId="3DF50BC1" w14:textId="77777777" w:rsidR="00640E94" w:rsidRDefault="005A4C21">
      <w:pPr>
        <w:pStyle w:val="BodyText"/>
        <w:tabs>
          <w:tab w:val="left" w:pos="7920"/>
          <w:tab w:val="left" w:pos="9180"/>
        </w:tabs>
        <w:rPr>
          <w:rFonts w:ascii="Arial" w:hAnsi="Arial"/>
          <w:color w:val="000000"/>
        </w:rPr>
      </w:pPr>
      <w:r>
        <w:rPr>
          <w:rFonts w:ascii="Arial" w:hAnsi="Arial"/>
          <w:color w:val="000000"/>
        </w:rPr>
        <w:t xml:space="preserve">Trading Symbol: </w:t>
      </w:r>
      <w:r w:rsidRPr="005B6A53">
        <w:rPr>
          <w:rFonts w:ascii="Arial" w:hAnsi="Arial"/>
          <w:b/>
          <w:color w:val="000000"/>
        </w:rPr>
        <w:t>PLUS</w:t>
      </w:r>
    </w:p>
    <w:p w14:paraId="7CD0C9F8" w14:textId="506FBB53" w:rsidR="00640E94" w:rsidRDefault="005A4C21">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Pr>
          <w:rFonts w:ascii="Arial" w:hAnsi="Arial"/>
          <w:b/>
          <w:color w:val="000000"/>
        </w:rPr>
        <w:t>29,666,087 (as of April 30, 2019)</w:t>
      </w:r>
    </w:p>
    <w:p w14:paraId="70E12DA5" w14:textId="77777777" w:rsidR="00640E94" w:rsidRPr="005B6A53" w:rsidRDefault="005A4C21">
      <w:pPr>
        <w:pStyle w:val="BodyText"/>
        <w:tabs>
          <w:tab w:val="left" w:pos="7920"/>
          <w:tab w:val="left" w:pos="9180"/>
        </w:tabs>
        <w:rPr>
          <w:rFonts w:ascii="Arial" w:hAnsi="Arial"/>
          <w:b/>
          <w:color w:val="000000"/>
        </w:rPr>
      </w:pPr>
      <w:r>
        <w:rPr>
          <w:rFonts w:ascii="Arial" w:hAnsi="Arial"/>
          <w:color w:val="000000"/>
        </w:rPr>
        <w:t xml:space="preserve">Date: </w:t>
      </w:r>
      <w:r>
        <w:rPr>
          <w:rFonts w:ascii="Arial" w:hAnsi="Arial"/>
          <w:b/>
          <w:color w:val="000000"/>
        </w:rPr>
        <w:t>May 7</w:t>
      </w:r>
      <w:r w:rsidRPr="005B6A53">
        <w:rPr>
          <w:rFonts w:ascii="Arial" w:hAnsi="Arial"/>
          <w:b/>
          <w:color w:val="000000"/>
        </w:rPr>
        <w:t>, 201</w:t>
      </w:r>
      <w:r>
        <w:rPr>
          <w:rFonts w:ascii="Arial" w:hAnsi="Arial"/>
          <w:b/>
          <w:color w:val="000000"/>
        </w:rPr>
        <w:t>9</w:t>
      </w:r>
    </w:p>
    <w:p w14:paraId="09A10B34" w14:textId="77777777" w:rsidR="00640E94" w:rsidRDefault="005A4C21">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23791E7" w14:textId="77777777" w:rsidR="00640E94" w:rsidRDefault="005A4C21">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8E4ED63" w14:textId="77777777" w:rsidR="00640E94" w:rsidRDefault="005A4C21">
      <w:pPr>
        <w:pStyle w:val="BodyText"/>
        <w:tabs>
          <w:tab w:val="left" w:pos="7920"/>
          <w:tab w:val="left" w:pos="9180"/>
        </w:tabs>
        <w:rPr>
          <w:rFonts w:ascii="Arial" w:hAnsi="Arial"/>
          <w:color w:val="000000"/>
        </w:rPr>
      </w:pPr>
      <w:r>
        <w:rPr>
          <w:rFonts w:ascii="Arial" w:hAnsi="Arial"/>
          <w:b/>
          <w:color w:val="000000"/>
        </w:rPr>
        <w:t>General Instructions</w:t>
      </w:r>
    </w:p>
    <w:p w14:paraId="7173B7B8" w14:textId="77777777" w:rsidR="00640E94" w:rsidRDefault="005A4C21">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F5C0CFE" w14:textId="77777777" w:rsidR="00640E94" w:rsidRDefault="005A4C21">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96B75EC" w14:textId="77777777" w:rsidR="00640E94" w:rsidRDefault="005A4C21">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A9785C5" w14:textId="77777777" w:rsidR="00703F2D" w:rsidRDefault="008B427D" w:rsidP="00703F2D">
      <w:pPr>
        <w:pStyle w:val="BodyText"/>
        <w:tabs>
          <w:tab w:val="left" w:pos="1440"/>
          <w:tab w:val="left" w:pos="7920"/>
          <w:tab w:val="left" w:pos="9180"/>
        </w:tabs>
        <w:rPr>
          <w:rFonts w:ascii="Arial" w:hAnsi="Arial"/>
          <w:color w:val="000000"/>
        </w:rPr>
      </w:pPr>
    </w:p>
    <w:p w14:paraId="21F3C8C2" w14:textId="77777777" w:rsidR="00703F2D" w:rsidRDefault="008B427D" w:rsidP="00703F2D">
      <w:pPr>
        <w:pStyle w:val="BodyText"/>
        <w:tabs>
          <w:tab w:val="left" w:pos="1440"/>
          <w:tab w:val="left" w:pos="7920"/>
          <w:tab w:val="left" w:pos="9180"/>
        </w:tabs>
        <w:rPr>
          <w:rFonts w:ascii="Arial" w:hAnsi="Arial"/>
          <w:color w:val="000000"/>
        </w:rPr>
      </w:pPr>
    </w:p>
    <w:p w14:paraId="20698D6D" w14:textId="77777777" w:rsidR="00703F2D" w:rsidRDefault="008B427D" w:rsidP="00703F2D">
      <w:pPr>
        <w:pStyle w:val="BodyText"/>
        <w:tabs>
          <w:tab w:val="left" w:pos="1440"/>
          <w:tab w:val="left" w:pos="7920"/>
          <w:tab w:val="left" w:pos="9180"/>
        </w:tabs>
        <w:rPr>
          <w:rFonts w:ascii="Arial" w:hAnsi="Arial"/>
          <w:color w:val="000000"/>
        </w:rPr>
      </w:pPr>
    </w:p>
    <w:p w14:paraId="0C634500" w14:textId="77777777" w:rsidR="00703F2D" w:rsidRDefault="008B427D" w:rsidP="00703F2D">
      <w:pPr>
        <w:pStyle w:val="BodyText"/>
        <w:tabs>
          <w:tab w:val="left" w:pos="1440"/>
          <w:tab w:val="left" w:pos="7920"/>
          <w:tab w:val="left" w:pos="9180"/>
        </w:tabs>
        <w:rPr>
          <w:rFonts w:ascii="Arial" w:hAnsi="Arial"/>
          <w:color w:val="000000"/>
        </w:rPr>
      </w:pPr>
    </w:p>
    <w:p w14:paraId="575ABF88" w14:textId="77777777" w:rsidR="00703F2D" w:rsidRDefault="008B427D" w:rsidP="00703F2D">
      <w:pPr>
        <w:pStyle w:val="BodyText"/>
        <w:tabs>
          <w:tab w:val="left" w:pos="1440"/>
          <w:tab w:val="left" w:pos="7920"/>
          <w:tab w:val="left" w:pos="9180"/>
        </w:tabs>
        <w:rPr>
          <w:rFonts w:ascii="Arial" w:hAnsi="Arial"/>
          <w:color w:val="000000"/>
        </w:rPr>
      </w:pPr>
    </w:p>
    <w:p w14:paraId="4F729687" w14:textId="77777777" w:rsidR="00640E94" w:rsidRDefault="005A4C21">
      <w:pPr>
        <w:pStyle w:val="List"/>
        <w:keepLines/>
        <w:spacing w:before="120"/>
        <w:ind w:left="0" w:firstLine="0"/>
        <w:rPr>
          <w:rFonts w:ascii="Arial" w:hAnsi="Arial"/>
          <w:b/>
        </w:rPr>
      </w:pPr>
      <w:r>
        <w:rPr>
          <w:rFonts w:ascii="Arial" w:hAnsi="Arial"/>
          <w:b/>
        </w:rPr>
        <w:t>Report on Business</w:t>
      </w:r>
    </w:p>
    <w:p w14:paraId="7A0595E0" w14:textId="77777777" w:rsidR="00703F2D" w:rsidRDefault="005A4C21" w:rsidP="00703F2D">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353B49A" w14:textId="77777777" w:rsidR="002753AF" w:rsidRDefault="008B427D" w:rsidP="00173A40">
      <w:pPr>
        <w:pStyle w:val="List"/>
        <w:spacing w:before="0"/>
        <w:ind w:left="360" w:firstLine="0"/>
        <w:jc w:val="both"/>
        <w:rPr>
          <w:rFonts w:ascii="Arial" w:hAnsi="Arial"/>
        </w:rPr>
      </w:pPr>
    </w:p>
    <w:p w14:paraId="7D444618" w14:textId="77777777" w:rsidR="00D17200" w:rsidRPr="00D17200" w:rsidRDefault="005A4C21" w:rsidP="00173A40">
      <w:pPr>
        <w:pStyle w:val="ListParagraph"/>
        <w:widowControl w:val="0"/>
        <w:numPr>
          <w:ilvl w:val="0"/>
          <w:numId w:val="29"/>
        </w:numPr>
        <w:autoSpaceDE w:val="0"/>
        <w:autoSpaceDN w:val="0"/>
        <w:adjustRightInd w:val="0"/>
        <w:spacing w:line="320" w:lineRule="atLeast"/>
        <w:jc w:val="both"/>
        <w:rPr>
          <w:rFonts w:ascii="Arial" w:hAnsi="Arial"/>
          <w:i/>
          <w:sz w:val="24"/>
          <w:lang w:val="en-GB"/>
        </w:rPr>
      </w:pPr>
      <w:r w:rsidRPr="00D17200">
        <w:rPr>
          <w:rFonts w:ascii="Arial" w:hAnsi="Arial"/>
          <w:i/>
          <w:sz w:val="24"/>
          <w:lang w:val="en-GB"/>
        </w:rPr>
        <w:t xml:space="preserve">The </w:t>
      </w:r>
      <w:r>
        <w:rPr>
          <w:rFonts w:ascii="Arial" w:hAnsi="Arial"/>
          <w:i/>
          <w:sz w:val="24"/>
          <w:lang w:val="en-GB"/>
        </w:rPr>
        <w:t>Issuer</w:t>
      </w:r>
      <w:r w:rsidRPr="00D17200">
        <w:rPr>
          <w:rFonts w:ascii="Arial" w:hAnsi="Arial"/>
          <w:i/>
          <w:sz w:val="24"/>
          <w:lang w:val="en-GB"/>
        </w:rPr>
        <w:t xml:space="preserve">, through its wholly-owned subsidiary, Carberry, operates as a branded cannabis products manufacturer with operations in the State of California. Its products consist of cannabis-infused edibles, which the </w:t>
      </w:r>
      <w:r>
        <w:rPr>
          <w:rFonts w:ascii="Arial" w:hAnsi="Arial"/>
          <w:i/>
          <w:sz w:val="24"/>
          <w:lang w:val="en-GB"/>
        </w:rPr>
        <w:t>Issuer</w:t>
      </w:r>
      <w:r w:rsidRPr="00D17200">
        <w:rPr>
          <w:rFonts w:ascii="Arial" w:hAnsi="Arial"/>
          <w:i/>
          <w:sz w:val="24"/>
          <w:lang w:val="en-GB"/>
        </w:rPr>
        <w:t xml:space="preserve"> sells to both the regulated medicinal and adult-use, or recreational, markets. Carberry holds a</w:t>
      </w:r>
      <w:r>
        <w:rPr>
          <w:rFonts w:ascii="Arial" w:hAnsi="Arial"/>
          <w:i/>
          <w:sz w:val="24"/>
          <w:lang w:val="en-GB"/>
        </w:rPr>
        <w:t>n annual</w:t>
      </w:r>
      <w:r w:rsidRPr="00D17200">
        <w:rPr>
          <w:rFonts w:ascii="Arial" w:hAnsi="Arial"/>
          <w:i/>
          <w:sz w:val="24"/>
          <w:lang w:val="en-GB"/>
        </w:rPr>
        <w:t xml:space="preserve"> license issued by the State of California Department of Public Health, Manufactured Cannabis Safety Branch pursuant to the Medicinal and Adult-Use Cannabis Regulation and Safety Act to extract and manufacture cannabis- infused products at its facility located in Adelanto, California. The </w:t>
      </w:r>
      <w:r>
        <w:rPr>
          <w:rFonts w:ascii="Arial" w:hAnsi="Arial"/>
          <w:i/>
          <w:sz w:val="24"/>
          <w:lang w:val="en-GB"/>
        </w:rPr>
        <w:t>Issuer’s</w:t>
      </w:r>
      <w:r w:rsidRPr="00D17200">
        <w:rPr>
          <w:rFonts w:ascii="Arial" w:hAnsi="Arial"/>
          <w:i/>
          <w:sz w:val="24"/>
          <w:lang w:val="en-GB"/>
        </w:rPr>
        <w:t xml:space="preserve"> products are infused with cannabis oil, which is sourced from licensed suppliers located in California. The </w:t>
      </w:r>
      <w:r>
        <w:rPr>
          <w:rFonts w:ascii="Arial" w:hAnsi="Arial"/>
          <w:i/>
          <w:sz w:val="24"/>
          <w:lang w:val="en-GB"/>
        </w:rPr>
        <w:t>Issuer</w:t>
      </w:r>
      <w:r w:rsidRPr="00D17200">
        <w:rPr>
          <w:rFonts w:ascii="Arial" w:hAnsi="Arial"/>
          <w:i/>
          <w:sz w:val="24"/>
          <w:lang w:val="en-GB"/>
        </w:rPr>
        <w:t xml:space="preserve"> has arrangements with licensed distributors to sell products under the PLUS</w:t>
      </w:r>
      <w:r w:rsidRPr="00D17200">
        <w:rPr>
          <w:rFonts w:ascii="Arial" w:hAnsi="Arial"/>
          <w:i/>
          <w:sz w:val="22"/>
          <w:vertAlign w:val="superscript"/>
          <w:lang w:val="en-GB"/>
        </w:rPr>
        <w:t>TM</w:t>
      </w:r>
      <w:r w:rsidRPr="00D17200">
        <w:rPr>
          <w:rFonts w:ascii="Arial" w:hAnsi="Arial"/>
          <w:i/>
          <w:sz w:val="24"/>
          <w:lang w:val="en-GB"/>
        </w:rPr>
        <w:t xml:space="preserve"> brand to licensed dispensaries and delivery service customers. </w:t>
      </w:r>
    </w:p>
    <w:p w14:paraId="3F41F1DE" w14:textId="77777777" w:rsidR="00D17200" w:rsidRPr="00D17200" w:rsidRDefault="008B427D" w:rsidP="00173A40">
      <w:pPr>
        <w:pStyle w:val="ListParagraph"/>
        <w:widowControl w:val="0"/>
        <w:autoSpaceDE w:val="0"/>
        <w:autoSpaceDN w:val="0"/>
        <w:adjustRightInd w:val="0"/>
        <w:spacing w:after="240" w:line="320" w:lineRule="atLeast"/>
        <w:jc w:val="both"/>
        <w:rPr>
          <w:rFonts w:ascii="Arial" w:hAnsi="Arial"/>
          <w:i/>
          <w:sz w:val="24"/>
          <w:lang w:val="en-GB"/>
        </w:rPr>
      </w:pPr>
    </w:p>
    <w:p w14:paraId="5FE8A1E5" w14:textId="77777777" w:rsidR="004B4987" w:rsidRDefault="005A4C21" w:rsidP="00500185">
      <w:pPr>
        <w:pStyle w:val="ListParagraph"/>
        <w:widowControl w:val="0"/>
        <w:autoSpaceDE w:val="0"/>
        <w:autoSpaceDN w:val="0"/>
        <w:adjustRightInd w:val="0"/>
        <w:spacing w:after="240" w:line="320" w:lineRule="atLeast"/>
        <w:jc w:val="both"/>
        <w:rPr>
          <w:rFonts w:ascii="Arial" w:hAnsi="Arial"/>
          <w:i/>
          <w:sz w:val="24"/>
          <w:lang w:val="en-GB"/>
        </w:rPr>
      </w:pPr>
      <w:r>
        <w:rPr>
          <w:rFonts w:ascii="Arial" w:hAnsi="Arial"/>
          <w:i/>
          <w:sz w:val="24"/>
          <w:lang w:val="en-GB"/>
        </w:rPr>
        <w:t>The I</w:t>
      </w:r>
      <w:r w:rsidRPr="00D17200">
        <w:rPr>
          <w:rFonts w:ascii="Arial" w:hAnsi="Arial"/>
          <w:i/>
          <w:sz w:val="24"/>
          <w:lang w:val="en-GB"/>
        </w:rPr>
        <w:t>ssuer continues to focus efforts on increasing market share in</w:t>
      </w:r>
      <w:r>
        <w:rPr>
          <w:rFonts w:ascii="Arial" w:hAnsi="Arial"/>
          <w:i/>
          <w:sz w:val="24"/>
          <w:lang w:val="en-GB"/>
        </w:rPr>
        <w:t xml:space="preserve"> the California edibles market through sales to licensed distributors. The company is actively exploring new market opportunities.</w:t>
      </w:r>
    </w:p>
    <w:p w14:paraId="7A97BCA2" w14:textId="77777777" w:rsidR="004B4987" w:rsidRDefault="008B427D" w:rsidP="00500185">
      <w:pPr>
        <w:pStyle w:val="ListParagraph"/>
        <w:widowControl w:val="0"/>
        <w:autoSpaceDE w:val="0"/>
        <w:autoSpaceDN w:val="0"/>
        <w:adjustRightInd w:val="0"/>
        <w:spacing w:after="240" w:line="320" w:lineRule="atLeast"/>
        <w:jc w:val="both"/>
        <w:rPr>
          <w:rFonts w:ascii="Arial" w:hAnsi="Arial"/>
          <w:i/>
          <w:sz w:val="24"/>
          <w:lang w:val="en-GB"/>
        </w:rPr>
      </w:pPr>
    </w:p>
    <w:p w14:paraId="2A2C8904" w14:textId="5FFB232F" w:rsidR="008512FF" w:rsidRDefault="005A4C21" w:rsidP="00500185">
      <w:pPr>
        <w:pStyle w:val="ListParagraph"/>
        <w:widowControl w:val="0"/>
        <w:autoSpaceDE w:val="0"/>
        <w:autoSpaceDN w:val="0"/>
        <w:adjustRightInd w:val="0"/>
        <w:spacing w:after="240" w:line="320" w:lineRule="atLeast"/>
        <w:jc w:val="both"/>
        <w:rPr>
          <w:rFonts w:ascii="Arial" w:hAnsi="Arial"/>
          <w:i/>
          <w:sz w:val="24"/>
          <w:lang w:val="en-GB"/>
        </w:rPr>
      </w:pPr>
      <w:r>
        <w:rPr>
          <w:rFonts w:ascii="Arial" w:hAnsi="Arial"/>
          <w:i/>
          <w:sz w:val="24"/>
          <w:lang w:val="en-GB"/>
        </w:rPr>
        <w:t>On April 4, 2019, the Issuer announced that it has launched its newest product: Mango CBD Relief.</w:t>
      </w:r>
    </w:p>
    <w:p w14:paraId="0991232B" w14:textId="77777777" w:rsidR="00ED2BCC" w:rsidRDefault="008B427D" w:rsidP="00500185">
      <w:pPr>
        <w:pStyle w:val="ListParagraph"/>
        <w:widowControl w:val="0"/>
        <w:autoSpaceDE w:val="0"/>
        <w:autoSpaceDN w:val="0"/>
        <w:adjustRightInd w:val="0"/>
        <w:spacing w:after="240" w:line="320" w:lineRule="atLeast"/>
        <w:jc w:val="both"/>
        <w:rPr>
          <w:rFonts w:ascii="Arial" w:hAnsi="Arial"/>
          <w:i/>
          <w:sz w:val="24"/>
          <w:lang w:val="en-GB"/>
        </w:rPr>
      </w:pPr>
    </w:p>
    <w:p w14:paraId="1FFECB64" w14:textId="28D71903" w:rsidR="00ED2BCC" w:rsidRDefault="005A4C21" w:rsidP="00500185">
      <w:pPr>
        <w:pStyle w:val="ListParagraph"/>
        <w:widowControl w:val="0"/>
        <w:autoSpaceDE w:val="0"/>
        <w:autoSpaceDN w:val="0"/>
        <w:adjustRightInd w:val="0"/>
        <w:spacing w:after="240" w:line="320" w:lineRule="atLeast"/>
        <w:jc w:val="both"/>
        <w:rPr>
          <w:rFonts w:ascii="Arial" w:hAnsi="Arial"/>
          <w:i/>
          <w:sz w:val="24"/>
          <w:lang w:val="en-GB"/>
        </w:rPr>
      </w:pPr>
      <w:r>
        <w:rPr>
          <w:rFonts w:ascii="Arial" w:hAnsi="Arial"/>
          <w:i/>
          <w:sz w:val="24"/>
          <w:lang w:val="en-GB"/>
        </w:rPr>
        <w:t xml:space="preserve">On April 11, 2019, the Issuer filed a Notice of Change of Auditor announcing MNP LLP as its new auditors. Dale Matheson Carr-Hilton LaBonte LLP resigned as auditors effective April 11, 2019. </w:t>
      </w:r>
    </w:p>
    <w:p w14:paraId="0CCD7999" w14:textId="77777777" w:rsidR="008512FF" w:rsidRDefault="008B427D" w:rsidP="00500185">
      <w:pPr>
        <w:pStyle w:val="ListParagraph"/>
        <w:widowControl w:val="0"/>
        <w:autoSpaceDE w:val="0"/>
        <w:autoSpaceDN w:val="0"/>
        <w:adjustRightInd w:val="0"/>
        <w:spacing w:after="240" w:line="320" w:lineRule="atLeast"/>
        <w:jc w:val="both"/>
        <w:rPr>
          <w:rFonts w:ascii="Arial" w:hAnsi="Arial"/>
          <w:i/>
          <w:sz w:val="24"/>
          <w:lang w:val="en-GB"/>
        </w:rPr>
      </w:pPr>
    </w:p>
    <w:p w14:paraId="41BE93E3" w14:textId="6883143C" w:rsidR="00446E26" w:rsidRDefault="005A4C21" w:rsidP="00500185">
      <w:pPr>
        <w:pStyle w:val="ListParagraph"/>
        <w:widowControl w:val="0"/>
        <w:autoSpaceDE w:val="0"/>
        <w:autoSpaceDN w:val="0"/>
        <w:adjustRightInd w:val="0"/>
        <w:spacing w:after="240" w:line="320" w:lineRule="atLeast"/>
        <w:jc w:val="both"/>
        <w:rPr>
          <w:rFonts w:ascii="Arial" w:hAnsi="Arial"/>
          <w:i/>
          <w:sz w:val="24"/>
          <w:lang w:val="en-GB"/>
        </w:rPr>
      </w:pPr>
      <w:r>
        <w:rPr>
          <w:rFonts w:ascii="Arial" w:hAnsi="Arial"/>
          <w:i/>
          <w:sz w:val="24"/>
          <w:lang w:val="en-GB"/>
        </w:rPr>
        <w:t>On April 18, 2019, the Issuer introduced its second product line, mints and its first flavour, classic mint.</w:t>
      </w:r>
    </w:p>
    <w:p w14:paraId="473C32DF" w14:textId="77777777" w:rsidR="00C61783" w:rsidRDefault="008B427D" w:rsidP="00500185">
      <w:pPr>
        <w:pStyle w:val="ListParagraph"/>
        <w:widowControl w:val="0"/>
        <w:autoSpaceDE w:val="0"/>
        <w:autoSpaceDN w:val="0"/>
        <w:adjustRightInd w:val="0"/>
        <w:spacing w:after="240" w:line="320" w:lineRule="atLeast"/>
        <w:jc w:val="both"/>
        <w:rPr>
          <w:rFonts w:ascii="Arial" w:hAnsi="Arial"/>
          <w:i/>
          <w:sz w:val="24"/>
          <w:lang w:val="en-GB"/>
        </w:rPr>
      </w:pPr>
    </w:p>
    <w:p w14:paraId="6B7872D2" w14:textId="63418C5F" w:rsidR="00C61783" w:rsidRDefault="005A4C21" w:rsidP="00500185">
      <w:pPr>
        <w:pStyle w:val="ListParagraph"/>
        <w:widowControl w:val="0"/>
        <w:autoSpaceDE w:val="0"/>
        <w:autoSpaceDN w:val="0"/>
        <w:adjustRightInd w:val="0"/>
        <w:spacing w:after="240" w:line="320" w:lineRule="atLeast"/>
        <w:jc w:val="both"/>
        <w:rPr>
          <w:rFonts w:ascii="Arial" w:hAnsi="Arial"/>
          <w:i/>
          <w:sz w:val="24"/>
          <w:lang w:val="en-GB"/>
        </w:rPr>
      </w:pPr>
      <w:r>
        <w:rPr>
          <w:rFonts w:ascii="Arial" w:hAnsi="Arial"/>
          <w:i/>
          <w:sz w:val="24"/>
          <w:lang w:val="en-GB"/>
        </w:rPr>
        <w:t xml:space="preserve">On April 29, 2019, the Issuer announced that it has elected to accelerate the expiry of certain warrants previously issued by the Issuer’s wholly-owned subsidiary, Plus Products Holdings Inc., which were assumed and honoured by the Issuer pursuant to the closing of the Share Exchange Agreement on July 24, 2018. The acceleration applies to the Series Seed Preferred Share Warrants previously issued on July 21, 2017, July 28, 2017 and August 1, 2017, (ii) the Series B-1 Preferred Share Warrants issued on February 8, 2018, February 15, 2018, March 9, 2018, and March 29, 2018, including the related Series </w:t>
      </w:r>
      <w:r>
        <w:rPr>
          <w:rFonts w:ascii="Arial" w:hAnsi="Arial"/>
          <w:i/>
          <w:sz w:val="24"/>
          <w:lang w:val="en-GB"/>
        </w:rPr>
        <w:lastRenderedPageBreak/>
        <w:t xml:space="preserve">B-1 Preferred Share Warrants issued as finder’s fees on April 13, 2018, and (iii) Series B-2 Preferred Share Warrants issued on April 4, 2018. The Warrants will now expire at 5 p.m. (Pacific Time) on Wednesday, May 29, 2019. Please refer to the Issuer’s news release dated April 29, 2019 for additional information regarding the acceleration. </w:t>
      </w:r>
    </w:p>
    <w:p w14:paraId="06D9CC04" w14:textId="77777777" w:rsidR="00446E26" w:rsidRDefault="008B427D" w:rsidP="00500185">
      <w:pPr>
        <w:pStyle w:val="ListParagraph"/>
        <w:widowControl w:val="0"/>
        <w:autoSpaceDE w:val="0"/>
        <w:autoSpaceDN w:val="0"/>
        <w:adjustRightInd w:val="0"/>
        <w:spacing w:after="240" w:line="320" w:lineRule="atLeast"/>
        <w:jc w:val="both"/>
        <w:rPr>
          <w:rFonts w:ascii="Arial" w:hAnsi="Arial"/>
          <w:i/>
          <w:sz w:val="24"/>
          <w:lang w:val="en-GB"/>
        </w:rPr>
      </w:pPr>
    </w:p>
    <w:p w14:paraId="6C747451" w14:textId="64B2F63F" w:rsidR="00446E26" w:rsidRDefault="005A4C21" w:rsidP="00500185">
      <w:pPr>
        <w:pStyle w:val="ListParagraph"/>
        <w:widowControl w:val="0"/>
        <w:autoSpaceDE w:val="0"/>
        <w:autoSpaceDN w:val="0"/>
        <w:adjustRightInd w:val="0"/>
        <w:spacing w:after="240" w:line="320" w:lineRule="atLeast"/>
        <w:jc w:val="both"/>
        <w:rPr>
          <w:rFonts w:ascii="Arial" w:hAnsi="Arial"/>
          <w:i/>
          <w:sz w:val="24"/>
          <w:lang w:val="en-GB"/>
        </w:rPr>
      </w:pPr>
      <w:r>
        <w:rPr>
          <w:rFonts w:ascii="Arial" w:hAnsi="Arial"/>
          <w:i/>
          <w:sz w:val="24"/>
          <w:lang w:val="en-GB"/>
        </w:rPr>
        <w:t>On April 30, 2019, the Company released its audited annual financial statements and MD&amp;A for 2018 with revenues of $8.4 million for the year.</w:t>
      </w:r>
    </w:p>
    <w:p w14:paraId="4A9F307A" w14:textId="77777777" w:rsidR="005830D3" w:rsidRDefault="005A4C21" w:rsidP="008F317F">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8138545" w14:textId="77777777" w:rsidR="00EB468D" w:rsidRPr="008F317F" w:rsidRDefault="008B427D" w:rsidP="00173A40">
      <w:pPr>
        <w:pStyle w:val="List"/>
        <w:spacing w:before="0"/>
        <w:ind w:left="360" w:firstLine="0"/>
        <w:jc w:val="both"/>
        <w:rPr>
          <w:rFonts w:ascii="Arial" w:hAnsi="Arial"/>
        </w:rPr>
      </w:pPr>
    </w:p>
    <w:p w14:paraId="7FEC96CF" w14:textId="77777777" w:rsidR="00EB468D" w:rsidRDefault="005A4C21" w:rsidP="00EB468D">
      <w:pPr>
        <w:pStyle w:val="List"/>
        <w:numPr>
          <w:ilvl w:val="0"/>
          <w:numId w:val="29"/>
        </w:numPr>
        <w:spacing w:before="120"/>
        <w:jc w:val="both"/>
        <w:rPr>
          <w:rFonts w:ascii="Arial" w:hAnsi="Arial"/>
          <w:i/>
        </w:rPr>
      </w:pPr>
      <w:r w:rsidRPr="00E357DF">
        <w:rPr>
          <w:rFonts w:ascii="Arial" w:hAnsi="Arial"/>
          <w:i/>
        </w:rPr>
        <w:t xml:space="preserve">Management is focused on pursuing various levers of growth that </w:t>
      </w:r>
      <w:r>
        <w:rPr>
          <w:rFonts w:ascii="Arial" w:hAnsi="Arial"/>
          <w:i/>
        </w:rPr>
        <w:t>in an effort</w:t>
      </w:r>
      <w:r w:rsidRPr="00E357DF">
        <w:rPr>
          <w:rFonts w:ascii="Arial" w:hAnsi="Arial"/>
          <w:i/>
        </w:rPr>
        <w:t xml:space="preserve"> to continue to expand its market share footprint, both within and outside of California. These initiatives include growing sales of the core product line, limited edition launches, and partnership</w:t>
      </w:r>
      <w:r>
        <w:rPr>
          <w:rFonts w:ascii="Arial" w:hAnsi="Arial"/>
          <w:i/>
        </w:rPr>
        <w:t xml:space="preserve"> opportunities. </w:t>
      </w:r>
    </w:p>
    <w:p w14:paraId="32626EDF" w14:textId="77777777" w:rsidR="005830D3" w:rsidRDefault="008B427D" w:rsidP="00173A40">
      <w:pPr>
        <w:pStyle w:val="List"/>
        <w:spacing w:before="0"/>
        <w:jc w:val="both"/>
        <w:rPr>
          <w:rFonts w:ascii="Arial" w:hAnsi="Arial"/>
        </w:rPr>
      </w:pPr>
    </w:p>
    <w:p w14:paraId="05443B9B" w14:textId="77777777" w:rsidR="00667D6D" w:rsidRPr="000C6B06" w:rsidRDefault="005A4C21" w:rsidP="00667D6D">
      <w:pPr>
        <w:pStyle w:val="List"/>
        <w:numPr>
          <w:ilvl w:val="0"/>
          <w:numId w:val="28"/>
        </w:numPr>
        <w:spacing w:before="120"/>
        <w:jc w:val="both"/>
        <w:rPr>
          <w:rFonts w:ascii="Arial" w:hAnsi="Arial"/>
        </w:rPr>
      </w:pPr>
      <w:r w:rsidRPr="000C6B06">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5AF4D93" w14:textId="77777777" w:rsidR="00667D6D" w:rsidRPr="00667D6D" w:rsidRDefault="008B427D" w:rsidP="00173A40">
      <w:pPr>
        <w:pStyle w:val="List"/>
        <w:spacing w:before="0"/>
        <w:ind w:left="360" w:firstLine="0"/>
        <w:jc w:val="both"/>
        <w:rPr>
          <w:rFonts w:ascii="Arial" w:hAnsi="Arial"/>
        </w:rPr>
      </w:pPr>
    </w:p>
    <w:p w14:paraId="513FD6F2" w14:textId="77777777" w:rsidR="00A01050" w:rsidRPr="00173A40" w:rsidRDefault="005A4C21" w:rsidP="00A01050">
      <w:pPr>
        <w:pStyle w:val="List"/>
        <w:numPr>
          <w:ilvl w:val="0"/>
          <w:numId w:val="29"/>
        </w:numPr>
        <w:spacing w:before="120"/>
        <w:jc w:val="both"/>
        <w:rPr>
          <w:rFonts w:ascii="Arial" w:hAnsi="Arial"/>
        </w:rPr>
      </w:pPr>
      <w:r>
        <w:rPr>
          <w:rFonts w:ascii="Arial" w:hAnsi="Arial"/>
          <w:i/>
        </w:rPr>
        <w:t xml:space="preserve">The Issuer maintains an active research and development department. </w:t>
      </w:r>
    </w:p>
    <w:p w14:paraId="1925D3E3" w14:textId="77777777" w:rsidR="00BF7738" w:rsidRPr="004367F0" w:rsidRDefault="008B427D" w:rsidP="00F66379">
      <w:pPr>
        <w:pStyle w:val="List"/>
        <w:spacing w:before="0"/>
        <w:ind w:left="360" w:firstLine="0"/>
        <w:jc w:val="both"/>
        <w:rPr>
          <w:rFonts w:ascii="Arial" w:hAnsi="Arial"/>
        </w:rPr>
      </w:pPr>
    </w:p>
    <w:p w14:paraId="5B3E7A5D" w14:textId="77777777" w:rsidR="00640E94" w:rsidRDefault="005A4C21">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6E925E5" w14:textId="77777777" w:rsidR="00EB468D" w:rsidRDefault="008B427D" w:rsidP="00173A40">
      <w:pPr>
        <w:pStyle w:val="List"/>
        <w:spacing w:before="0"/>
        <w:ind w:left="360" w:firstLine="0"/>
        <w:jc w:val="both"/>
        <w:rPr>
          <w:rFonts w:ascii="Arial" w:hAnsi="Arial"/>
        </w:rPr>
      </w:pPr>
    </w:p>
    <w:p w14:paraId="395F6914" w14:textId="409DB1A4" w:rsidR="008F317F" w:rsidRDefault="005A4C21" w:rsidP="008F317F">
      <w:pPr>
        <w:pStyle w:val="List"/>
        <w:numPr>
          <w:ilvl w:val="0"/>
          <w:numId w:val="29"/>
        </w:numPr>
        <w:spacing w:before="120"/>
        <w:jc w:val="both"/>
        <w:rPr>
          <w:rFonts w:ascii="Arial" w:hAnsi="Arial"/>
        </w:rPr>
      </w:pPr>
      <w:r>
        <w:rPr>
          <w:rFonts w:ascii="Arial" w:hAnsi="Arial"/>
          <w:i/>
        </w:rPr>
        <w:t xml:space="preserve">The Issuer announced on April 4, 2019 that it will retire its previous CBD relief product, “pineapple coconut CBD relief” as part of a co-ordinated launch campaign with retailers. </w:t>
      </w:r>
    </w:p>
    <w:p w14:paraId="1C4F0886" w14:textId="77777777" w:rsidR="00B974B8" w:rsidRDefault="008B427D" w:rsidP="00173A40">
      <w:pPr>
        <w:pStyle w:val="List"/>
        <w:spacing w:before="0"/>
        <w:ind w:left="0" w:firstLine="0"/>
        <w:rPr>
          <w:rFonts w:ascii="Arial" w:hAnsi="Arial"/>
        </w:rPr>
      </w:pPr>
    </w:p>
    <w:p w14:paraId="1F06B182" w14:textId="77777777" w:rsidR="00640E94" w:rsidRDefault="005A4C2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ED47DE0" w14:textId="77777777" w:rsidR="008F317F" w:rsidRDefault="008B427D" w:rsidP="00173A40">
      <w:pPr>
        <w:pStyle w:val="List"/>
        <w:spacing w:before="0"/>
        <w:jc w:val="both"/>
        <w:rPr>
          <w:rFonts w:ascii="Arial" w:hAnsi="Arial"/>
        </w:rPr>
      </w:pPr>
    </w:p>
    <w:p w14:paraId="18EDD651" w14:textId="77777777" w:rsidR="000B49A1" w:rsidRPr="0046375A" w:rsidRDefault="005A4C21" w:rsidP="000B49A1">
      <w:pPr>
        <w:pStyle w:val="List"/>
        <w:numPr>
          <w:ilvl w:val="0"/>
          <w:numId w:val="29"/>
        </w:numPr>
        <w:spacing w:before="120"/>
        <w:jc w:val="both"/>
        <w:rPr>
          <w:rFonts w:ascii="Arial" w:hAnsi="Arial"/>
          <w:i/>
        </w:rPr>
      </w:pPr>
      <w:r w:rsidRPr="0046375A">
        <w:rPr>
          <w:rFonts w:ascii="Arial" w:hAnsi="Arial"/>
          <w:i/>
        </w:rPr>
        <w:t xml:space="preserve">Not Applicable to the Issuer </w:t>
      </w:r>
    </w:p>
    <w:p w14:paraId="77439007" w14:textId="77777777" w:rsidR="00524749" w:rsidRDefault="008B427D" w:rsidP="00173A40">
      <w:pPr>
        <w:pStyle w:val="List"/>
        <w:spacing w:before="0"/>
        <w:ind w:left="0" w:firstLine="0"/>
        <w:jc w:val="both"/>
        <w:rPr>
          <w:rFonts w:ascii="Arial" w:hAnsi="Arial"/>
        </w:rPr>
      </w:pPr>
    </w:p>
    <w:p w14:paraId="75F95BFE" w14:textId="77777777" w:rsidR="00640E94" w:rsidRDefault="005A4C2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A4B1E6C" w14:textId="77777777" w:rsidR="00EB468D" w:rsidRDefault="008B427D" w:rsidP="00173A40">
      <w:pPr>
        <w:pStyle w:val="List"/>
        <w:spacing w:before="0"/>
        <w:jc w:val="both"/>
        <w:rPr>
          <w:rFonts w:ascii="Arial" w:hAnsi="Arial"/>
        </w:rPr>
      </w:pPr>
    </w:p>
    <w:p w14:paraId="2EDB1EE1" w14:textId="77777777" w:rsidR="000B49A1" w:rsidRPr="0046375A" w:rsidRDefault="005A4C21" w:rsidP="000B49A1">
      <w:pPr>
        <w:pStyle w:val="List"/>
        <w:numPr>
          <w:ilvl w:val="0"/>
          <w:numId w:val="29"/>
        </w:numPr>
        <w:spacing w:before="120"/>
        <w:jc w:val="both"/>
        <w:rPr>
          <w:rFonts w:ascii="Arial" w:hAnsi="Arial"/>
          <w:i/>
        </w:rPr>
      </w:pPr>
      <w:r w:rsidRPr="0046375A">
        <w:rPr>
          <w:rFonts w:ascii="Arial" w:hAnsi="Arial"/>
          <w:i/>
        </w:rPr>
        <w:lastRenderedPageBreak/>
        <w:t xml:space="preserve">Not Applicable to the Issuer </w:t>
      </w:r>
    </w:p>
    <w:p w14:paraId="273C6B24" w14:textId="77777777" w:rsidR="00EB468D" w:rsidRDefault="008B427D" w:rsidP="00173A40">
      <w:pPr>
        <w:pStyle w:val="List"/>
        <w:spacing w:before="0"/>
        <w:jc w:val="both"/>
        <w:rPr>
          <w:rFonts w:ascii="Arial" w:hAnsi="Arial"/>
        </w:rPr>
      </w:pPr>
    </w:p>
    <w:p w14:paraId="53E70FE8" w14:textId="77777777" w:rsidR="00640E94" w:rsidRDefault="005A4C21">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25A0A3A" w14:textId="77777777" w:rsidR="008A63B1" w:rsidRDefault="008B427D" w:rsidP="00173A40">
      <w:pPr>
        <w:pStyle w:val="List"/>
        <w:spacing w:before="0"/>
        <w:jc w:val="both"/>
        <w:rPr>
          <w:rFonts w:ascii="Arial" w:hAnsi="Arial"/>
        </w:rPr>
      </w:pPr>
    </w:p>
    <w:p w14:paraId="33472FD5" w14:textId="77777777" w:rsidR="0063746F" w:rsidRPr="000B10EB" w:rsidRDefault="005A4C21" w:rsidP="0063746F">
      <w:pPr>
        <w:pStyle w:val="List"/>
        <w:numPr>
          <w:ilvl w:val="0"/>
          <w:numId w:val="29"/>
        </w:numPr>
        <w:spacing w:before="120"/>
        <w:jc w:val="both"/>
        <w:rPr>
          <w:rFonts w:ascii="Arial" w:hAnsi="Arial"/>
          <w:i/>
        </w:rPr>
      </w:pPr>
      <w:r w:rsidRPr="000B10EB">
        <w:rPr>
          <w:rFonts w:ascii="Arial" w:hAnsi="Arial"/>
          <w:i/>
        </w:rPr>
        <w:t xml:space="preserve">Not applicable to the issuer </w:t>
      </w:r>
    </w:p>
    <w:p w14:paraId="4D02D346" w14:textId="77777777" w:rsidR="00BC0EB1" w:rsidRDefault="008B427D" w:rsidP="00173A40">
      <w:pPr>
        <w:pStyle w:val="List"/>
        <w:spacing w:before="0"/>
        <w:jc w:val="both"/>
        <w:rPr>
          <w:rFonts w:ascii="Arial" w:hAnsi="Arial"/>
        </w:rPr>
      </w:pPr>
    </w:p>
    <w:p w14:paraId="006FF68E" w14:textId="77777777" w:rsidR="00640E94" w:rsidRDefault="005A4C21">
      <w:pPr>
        <w:pStyle w:val="List"/>
        <w:numPr>
          <w:ilvl w:val="0"/>
          <w:numId w:val="28"/>
        </w:numPr>
        <w:spacing w:before="120"/>
        <w:jc w:val="both"/>
        <w:rPr>
          <w:rFonts w:ascii="Arial" w:hAnsi="Arial"/>
        </w:rPr>
      </w:pPr>
      <w:r>
        <w:rPr>
          <w:rFonts w:ascii="Arial" w:hAnsi="Arial"/>
        </w:rPr>
        <w:t>Describe the acquisition of new customers or loss of customers.</w:t>
      </w:r>
    </w:p>
    <w:p w14:paraId="62525C0F" w14:textId="77777777" w:rsidR="00FD5947" w:rsidRDefault="008B427D" w:rsidP="00173A40">
      <w:pPr>
        <w:pStyle w:val="List"/>
        <w:spacing w:before="0"/>
        <w:jc w:val="both"/>
        <w:rPr>
          <w:rFonts w:ascii="Arial" w:hAnsi="Arial"/>
        </w:rPr>
      </w:pPr>
    </w:p>
    <w:p w14:paraId="0CA28751" w14:textId="77777777" w:rsidR="00FD5947" w:rsidRPr="000B10EB" w:rsidRDefault="005A4C21" w:rsidP="00FD5947">
      <w:pPr>
        <w:pStyle w:val="List"/>
        <w:numPr>
          <w:ilvl w:val="0"/>
          <w:numId w:val="29"/>
        </w:numPr>
        <w:spacing w:before="120"/>
        <w:jc w:val="both"/>
        <w:rPr>
          <w:rFonts w:ascii="Arial" w:hAnsi="Arial"/>
          <w:i/>
        </w:rPr>
      </w:pPr>
      <w:r w:rsidRPr="000B10EB">
        <w:rPr>
          <w:rFonts w:ascii="Arial" w:hAnsi="Arial"/>
          <w:i/>
        </w:rPr>
        <w:t>Not applicable to the Issuer</w:t>
      </w:r>
    </w:p>
    <w:p w14:paraId="522DE187" w14:textId="77777777" w:rsidR="00FD5947" w:rsidRDefault="008B427D" w:rsidP="00173A40">
      <w:pPr>
        <w:rPr>
          <w:rFonts w:ascii="Arial" w:hAnsi="Arial"/>
        </w:rPr>
      </w:pPr>
    </w:p>
    <w:p w14:paraId="4531CD3D" w14:textId="77777777" w:rsidR="00640E94" w:rsidRDefault="005A4C21">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29B64CB" w14:textId="77777777" w:rsidR="00FD5947" w:rsidRDefault="008B427D" w:rsidP="00173A40">
      <w:pPr>
        <w:pStyle w:val="List"/>
        <w:spacing w:before="0"/>
        <w:ind w:left="0" w:firstLine="0"/>
        <w:jc w:val="both"/>
        <w:rPr>
          <w:rFonts w:ascii="Arial" w:hAnsi="Arial"/>
        </w:rPr>
      </w:pPr>
    </w:p>
    <w:p w14:paraId="3E768C19" w14:textId="77777777" w:rsidR="003A0F2D" w:rsidRPr="000B10EB" w:rsidRDefault="005A4C21" w:rsidP="003A0F2D">
      <w:pPr>
        <w:pStyle w:val="List"/>
        <w:numPr>
          <w:ilvl w:val="0"/>
          <w:numId w:val="29"/>
        </w:numPr>
        <w:spacing w:before="120"/>
        <w:jc w:val="both"/>
        <w:rPr>
          <w:rFonts w:ascii="Arial" w:hAnsi="Arial"/>
          <w:i/>
        </w:rPr>
      </w:pPr>
      <w:r w:rsidRPr="000B10EB">
        <w:rPr>
          <w:rFonts w:ascii="Arial" w:hAnsi="Arial"/>
          <w:i/>
        </w:rPr>
        <w:t>Not applicable to the Issuer</w:t>
      </w:r>
      <w:r>
        <w:rPr>
          <w:rFonts w:ascii="Arial" w:hAnsi="Arial"/>
          <w:i/>
        </w:rPr>
        <w:t xml:space="preserve"> </w:t>
      </w:r>
    </w:p>
    <w:p w14:paraId="64E97871" w14:textId="77777777" w:rsidR="00FD5947" w:rsidRDefault="008B427D" w:rsidP="00173A40">
      <w:pPr>
        <w:pStyle w:val="List"/>
        <w:spacing w:before="0"/>
        <w:jc w:val="both"/>
        <w:rPr>
          <w:rFonts w:ascii="Arial" w:hAnsi="Arial"/>
        </w:rPr>
      </w:pPr>
    </w:p>
    <w:p w14:paraId="6BBE6D53" w14:textId="77777777" w:rsidR="00640E94" w:rsidRDefault="005A4C21">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3750709" w14:textId="77777777" w:rsidR="00231EBC" w:rsidRDefault="008B427D" w:rsidP="00173A40">
      <w:pPr>
        <w:pStyle w:val="List"/>
        <w:spacing w:before="0"/>
        <w:jc w:val="both"/>
        <w:rPr>
          <w:rFonts w:ascii="Arial" w:hAnsi="Arial"/>
        </w:rPr>
      </w:pPr>
    </w:p>
    <w:p w14:paraId="3B9B9DBD" w14:textId="7CB4C9D9" w:rsidR="00FD5947" w:rsidRPr="00566FE6" w:rsidRDefault="005A4C21" w:rsidP="00566FE6">
      <w:pPr>
        <w:pStyle w:val="List"/>
        <w:numPr>
          <w:ilvl w:val="0"/>
          <w:numId w:val="29"/>
        </w:numPr>
        <w:spacing w:before="0"/>
        <w:jc w:val="both"/>
        <w:rPr>
          <w:rFonts w:ascii="Arial" w:hAnsi="Arial"/>
        </w:rPr>
      </w:pPr>
      <w:r>
        <w:rPr>
          <w:rFonts w:ascii="Arial" w:hAnsi="Arial"/>
          <w:i/>
        </w:rPr>
        <w:t>The Issuer hired 9 employees during the month of April 2019.</w:t>
      </w:r>
    </w:p>
    <w:p w14:paraId="5BFF41B6" w14:textId="77777777" w:rsidR="00566FE6" w:rsidRDefault="008B427D" w:rsidP="00566FE6">
      <w:pPr>
        <w:pStyle w:val="List"/>
        <w:spacing w:before="0"/>
        <w:ind w:left="720" w:firstLine="0"/>
        <w:jc w:val="both"/>
        <w:rPr>
          <w:rFonts w:ascii="Arial" w:hAnsi="Arial"/>
        </w:rPr>
      </w:pPr>
    </w:p>
    <w:p w14:paraId="6A88CC17" w14:textId="77777777" w:rsidR="00566FE6" w:rsidRDefault="008B427D" w:rsidP="00566FE6">
      <w:pPr>
        <w:pStyle w:val="List"/>
        <w:spacing w:before="0"/>
        <w:ind w:left="720" w:firstLine="0"/>
        <w:jc w:val="both"/>
        <w:rPr>
          <w:rFonts w:ascii="Arial" w:hAnsi="Arial"/>
        </w:rPr>
      </w:pPr>
    </w:p>
    <w:p w14:paraId="1D0A7A8E" w14:textId="77777777" w:rsidR="00640E94" w:rsidRDefault="005A4C21">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0C5827" w14:textId="77777777" w:rsidR="00A40595" w:rsidRDefault="008B427D" w:rsidP="00173A40">
      <w:pPr>
        <w:pStyle w:val="List"/>
        <w:spacing w:before="0"/>
        <w:jc w:val="both"/>
        <w:rPr>
          <w:rFonts w:ascii="Arial" w:hAnsi="Arial"/>
        </w:rPr>
      </w:pPr>
    </w:p>
    <w:p w14:paraId="129E9D59" w14:textId="77777777" w:rsidR="003A00DC" w:rsidRPr="0046375A" w:rsidRDefault="005A4C21" w:rsidP="00A40595">
      <w:pPr>
        <w:pStyle w:val="List"/>
        <w:numPr>
          <w:ilvl w:val="0"/>
          <w:numId w:val="29"/>
        </w:numPr>
        <w:spacing w:before="120"/>
        <w:jc w:val="both"/>
        <w:rPr>
          <w:rFonts w:ascii="Arial" w:hAnsi="Arial"/>
          <w:i/>
        </w:rPr>
      </w:pPr>
      <w:r w:rsidRPr="0046375A">
        <w:rPr>
          <w:rFonts w:ascii="Arial" w:hAnsi="Arial"/>
          <w:i/>
        </w:rPr>
        <w:t xml:space="preserve">Not Applicable to the Issuer </w:t>
      </w:r>
    </w:p>
    <w:p w14:paraId="6A071641" w14:textId="77777777" w:rsidR="00921DB6" w:rsidRPr="00921DB6" w:rsidRDefault="008B427D">
      <w:pPr>
        <w:rPr>
          <w:rFonts w:ascii="Arial" w:hAnsi="Arial"/>
        </w:rPr>
      </w:pPr>
    </w:p>
    <w:p w14:paraId="2CED9AEC" w14:textId="77777777" w:rsidR="00640E94" w:rsidRDefault="005A4C21">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25D2B5F" w14:textId="77777777" w:rsidR="00A40595" w:rsidRDefault="008B427D" w:rsidP="00173A40">
      <w:pPr>
        <w:pStyle w:val="List"/>
        <w:spacing w:before="0"/>
        <w:jc w:val="both"/>
        <w:rPr>
          <w:rFonts w:ascii="Arial" w:hAnsi="Arial"/>
        </w:rPr>
      </w:pPr>
    </w:p>
    <w:p w14:paraId="3B55BAF9" w14:textId="77777777" w:rsidR="00A40595" w:rsidRPr="0046375A" w:rsidRDefault="005A4C21" w:rsidP="00A40595">
      <w:pPr>
        <w:pStyle w:val="List"/>
        <w:numPr>
          <w:ilvl w:val="0"/>
          <w:numId w:val="29"/>
        </w:numPr>
        <w:spacing w:before="120"/>
        <w:jc w:val="both"/>
        <w:rPr>
          <w:rFonts w:ascii="Arial" w:hAnsi="Arial"/>
          <w:i/>
        </w:rPr>
      </w:pPr>
      <w:r w:rsidRPr="0046375A">
        <w:rPr>
          <w:rFonts w:ascii="Arial" w:hAnsi="Arial"/>
          <w:i/>
        </w:rPr>
        <w:t xml:space="preserve">Not applicable to the Issuer </w:t>
      </w:r>
    </w:p>
    <w:p w14:paraId="62F2A5AA" w14:textId="77777777" w:rsidR="00A40595" w:rsidRDefault="008B427D" w:rsidP="00173A40">
      <w:pPr>
        <w:pStyle w:val="List"/>
        <w:spacing w:before="0"/>
        <w:jc w:val="both"/>
        <w:rPr>
          <w:rFonts w:ascii="Arial" w:hAnsi="Arial"/>
        </w:rPr>
      </w:pPr>
    </w:p>
    <w:p w14:paraId="11CA6857" w14:textId="77777777" w:rsidR="00640E94" w:rsidRDefault="005A4C21">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D119591" w14:textId="77777777" w:rsidR="00A40595" w:rsidRPr="0035669E" w:rsidRDefault="005A4C21" w:rsidP="0035669E">
      <w:pPr>
        <w:pStyle w:val="List"/>
        <w:numPr>
          <w:ilvl w:val="0"/>
          <w:numId w:val="29"/>
        </w:numPr>
        <w:spacing w:before="120"/>
        <w:jc w:val="both"/>
        <w:rPr>
          <w:rFonts w:ascii="Arial" w:hAnsi="Arial"/>
          <w:i/>
        </w:rPr>
      </w:pPr>
      <w:r w:rsidRPr="0046375A">
        <w:rPr>
          <w:rFonts w:ascii="Arial" w:hAnsi="Arial"/>
          <w:i/>
        </w:rPr>
        <w:lastRenderedPageBreak/>
        <w:t xml:space="preserve">Not applicable to the Issuer </w:t>
      </w:r>
      <w:r w:rsidRPr="0035669E">
        <w:rPr>
          <w:rFonts w:ascii="Arial" w:hAnsi="Arial"/>
          <w:i/>
        </w:rPr>
        <w:t xml:space="preserve"> </w:t>
      </w:r>
    </w:p>
    <w:p w14:paraId="46A3ABD9" w14:textId="77777777" w:rsidR="00A40595" w:rsidRDefault="008B427D" w:rsidP="00173A40">
      <w:pPr>
        <w:rPr>
          <w:rFonts w:ascii="Arial" w:hAnsi="Arial"/>
        </w:rPr>
      </w:pPr>
    </w:p>
    <w:p w14:paraId="10048B50" w14:textId="77777777" w:rsidR="00640E94" w:rsidRDefault="005A4C21">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F867D06" w14:textId="77777777" w:rsidR="00A16374" w:rsidRDefault="008B427D">
      <w:pPr>
        <w:pStyle w:val="List"/>
        <w:spacing w:before="120"/>
        <w:ind w:left="0" w:firstLine="0"/>
        <w:jc w:val="both"/>
        <w:rPr>
          <w:rFonts w:ascii="Arial" w:hAnsi="Arial"/>
        </w:rPr>
      </w:pPr>
    </w:p>
    <w:tbl>
      <w:tblPr>
        <w:tblStyle w:val="TableGrid"/>
        <w:tblW w:w="0" w:type="auto"/>
        <w:tblLook w:val="04A0" w:firstRow="1" w:lastRow="0" w:firstColumn="1" w:lastColumn="0" w:noHBand="0" w:noVBand="1"/>
      </w:tblPr>
      <w:tblGrid>
        <w:gridCol w:w="2517"/>
        <w:gridCol w:w="2517"/>
        <w:gridCol w:w="2518"/>
        <w:gridCol w:w="2518"/>
      </w:tblGrid>
      <w:tr w:rsidR="00FC08F1" w14:paraId="4C3B8085" w14:textId="77777777" w:rsidTr="00102D93">
        <w:tc>
          <w:tcPr>
            <w:tcW w:w="2517" w:type="dxa"/>
          </w:tcPr>
          <w:p w14:paraId="257714DD" w14:textId="77777777" w:rsidR="00102D93" w:rsidRPr="00B44999" w:rsidRDefault="005A4C21">
            <w:pPr>
              <w:pStyle w:val="List"/>
              <w:spacing w:before="120"/>
              <w:ind w:left="0" w:firstLine="0"/>
              <w:jc w:val="both"/>
              <w:rPr>
                <w:rFonts w:ascii="Arial" w:hAnsi="Arial" w:cs="Arial"/>
                <w:b/>
              </w:rPr>
            </w:pPr>
            <w:r w:rsidRPr="00B44999">
              <w:rPr>
                <w:rFonts w:ascii="Arial" w:hAnsi="Arial" w:cs="Arial"/>
                <w:b/>
              </w:rPr>
              <w:t>Security</w:t>
            </w:r>
          </w:p>
        </w:tc>
        <w:tc>
          <w:tcPr>
            <w:tcW w:w="2517" w:type="dxa"/>
          </w:tcPr>
          <w:p w14:paraId="64683946" w14:textId="77777777" w:rsidR="00102D93" w:rsidRPr="00B44999" w:rsidRDefault="005A4C21">
            <w:pPr>
              <w:pStyle w:val="List"/>
              <w:spacing w:before="120"/>
              <w:ind w:left="0" w:firstLine="0"/>
              <w:jc w:val="both"/>
              <w:rPr>
                <w:rFonts w:ascii="Arial" w:hAnsi="Arial" w:cs="Arial"/>
                <w:b/>
              </w:rPr>
            </w:pPr>
            <w:r w:rsidRPr="00B44999">
              <w:rPr>
                <w:rFonts w:ascii="Arial" w:hAnsi="Arial" w:cs="Arial"/>
                <w:b/>
              </w:rPr>
              <w:t>Number Issued</w:t>
            </w:r>
          </w:p>
        </w:tc>
        <w:tc>
          <w:tcPr>
            <w:tcW w:w="2518" w:type="dxa"/>
          </w:tcPr>
          <w:p w14:paraId="0D6A2E37" w14:textId="77777777" w:rsidR="00102D93" w:rsidRPr="00B44999" w:rsidRDefault="005A4C21">
            <w:pPr>
              <w:pStyle w:val="List"/>
              <w:spacing w:before="120"/>
              <w:ind w:left="0" w:firstLine="0"/>
              <w:jc w:val="both"/>
              <w:rPr>
                <w:rFonts w:ascii="Arial" w:hAnsi="Arial" w:cs="Arial"/>
                <w:b/>
              </w:rPr>
            </w:pPr>
            <w:r w:rsidRPr="00B44999">
              <w:rPr>
                <w:rFonts w:ascii="Arial" w:hAnsi="Arial" w:cs="Arial"/>
                <w:b/>
              </w:rPr>
              <w:t>Details of Issuance</w:t>
            </w:r>
          </w:p>
        </w:tc>
        <w:tc>
          <w:tcPr>
            <w:tcW w:w="2518" w:type="dxa"/>
          </w:tcPr>
          <w:p w14:paraId="3D7BAA27" w14:textId="77777777" w:rsidR="00102D93" w:rsidRPr="00B44999" w:rsidRDefault="005A4C21">
            <w:pPr>
              <w:pStyle w:val="List"/>
              <w:spacing w:before="120"/>
              <w:ind w:left="0" w:firstLine="0"/>
              <w:jc w:val="both"/>
              <w:rPr>
                <w:rFonts w:ascii="Arial" w:hAnsi="Arial" w:cs="Arial"/>
                <w:b/>
              </w:rPr>
            </w:pPr>
            <w:r w:rsidRPr="00B44999">
              <w:rPr>
                <w:rFonts w:ascii="Arial" w:hAnsi="Arial" w:cs="Arial"/>
                <w:b/>
              </w:rPr>
              <w:t>Use of Proceeds</w:t>
            </w:r>
          </w:p>
        </w:tc>
      </w:tr>
      <w:tr w:rsidR="00FC08F1" w14:paraId="2FA9783C" w14:textId="77777777" w:rsidTr="00102D93">
        <w:tc>
          <w:tcPr>
            <w:tcW w:w="2517" w:type="dxa"/>
          </w:tcPr>
          <w:p w14:paraId="21BE4CCE" w14:textId="77777777" w:rsidR="00102D93" w:rsidRPr="003D77F4" w:rsidRDefault="005A4C21">
            <w:pPr>
              <w:pStyle w:val="List"/>
              <w:spacing w:before="120"/>
              <w:ind w:left="0" w:firstLine="0"/>
              <w:jc w:val="both"/>
              <w:rPr>
                <w:rFonts w:ascii="Arial" w:hAnsi="Arial" w:cs="Arial"/>
              </w:rPr>
            </w:pPr>
            <w:r w:rsidRPr="003D77F4">
              <w:rPr>
                <w:rFonts w:ascii="Arial" w:hAnsi="Arial" w:cs="Arial"/>
              </w:rPr>
              <w:t>Subordinate Voting Shares</w:t>
            </w:r>
          </w:p>
        </w:tc>
        <w:tc>
          <w:tcPr>
            <w:tcW w:w="2517" w:type="dxa"/>
          </w:tcPr>
          <w:p w14:paraId="1C953030" w14:textId="072EDB12" w:rsidR="00102D93" w:rsidRPr="003D77F4" w:rsidRDefault="005A4C21">
            <w:pPr>
              <w:pStyle w:val="List"/>
              <w:spacing w:before="120"/>
              <w:ind w:left="0" w:firstLine="0"/>
              <w:jc w:val="both"/>
              <w:rPr>
                <w:rFonts w:ascii="Arial" w:hAnsi="Arial" w:cs="Arial"/>
              </w:rPr>
            </w:pPr>
            <w:r>
              <w:rPr>
                <w:rFonts w:ascii="Arial" w:hAnsi="Arial" w:cs="Arial"/>
              </w:rPr>
              <w:t>428,745</w:t>
            </w:r>
            <w:r w:rsidRPr="00B44999">
              <w:rPr>
                <w:rFonts w:ascii="Arial" w:hAnsi="Arial" w:cs="Arial"/>
              </w:rPr>
              <w:t>(1)</w:t>
            </w:r>
          </w:p>
        </w:tc>
        <w:tc>
          <w:tcPr>
            <w:tcW w:w="2518" w:type="dxa"/>
          </w:tcPr>
          <w:p w14:paraId="22666181" w14:textId="77777777" w:rsidR="00102D93" w:rsidRPr="006826F9" w:rsidRDefault="005A4C21" w:rsidP="006826F9">
            <w:pPr>
              <w:pStyle w:val="List"/>
              <w:spacing w:before="120"/>
              <w:ind w:left="0" w:firstLine="0"/>
              <w:jc w:val="both"/>
              <w:rPr>
                <w:rFonts w:ascii="Arial" w:hAnsi="Arial" w:cs="Arial"/>
              </w:rPr>
            </w:pPr>
            <w:r w:rsidRPr="006826F9">
              <w:rPr>
                <w:rFonts w:ascii="Arial" w:hAnsi="Arial" w:cs="Arial"/>
              </w:rPr>
              <w:t xml:space="preserve">Conversion of </w:t>
            </w:r>
            <w:r>
              <w:rPr>
                <w:rFonts w:ascii="Arial" w:hAnsi="Arial" w:cs="Arial"/>
              </w:rPr>
              <w:t>Proportionate Voting</w:t>
            </w:r>
            <w:r w:rsidRPr="006826F9">
              <w:rPr>
                <w:rFonts w:ascii="Arial" w:hAnsi="Arial" w:cs="Arial"/>
              </w:rPr>
              <w:t xml:space="preserve"> Shares to Subordinate Voting Shares</w:t>
            </w:r>
          </w:p>
        </w:tc>
        <w:tc>
          <w:tcPr>
            <w:tcW w:w="2518" w:type="dxa"/>
          </w:tcPr>
          <w:p w14:paraId="4CB750F4" w14:textId="77777777" w:rsidR="00102D93" w:rsidRPr="006826F9" w:rsidRDefault="005A4C21">
            <w:pPr>
              <w:pStyle w:val="List"/>
              <w:spacing w:before="120"/>
              <w:ind w:left="0" w:firstLine="0"/>
              <w:jc w:val="both"/>
              <w:rPr>
                <w:rFonts w:ascii="Arial" w:hAnsi="Arial" w:cs="Arial"/>
              </w:rPr>
            </w:pPr>
            <w:r w:rsidRPr="006826F9">
              <w:rPr>
                <w:rFonts w:ascii="Arial" w:hAnsi="Arial" w:cs="Arial"/>
              </w:rPr>
              <w:t>N/A</w:t>
            </w:r>
          </w:p>
        </w:tc>
      </w:tr>
      <w:tr w:rsidR="00FC08F1" w14:paraId="71D2D5AE" w14:textId="77777777" w:rsidTr="00102D93">
        <w:tc>
          <w:tcPr>
            <w:tcW w:w="2517" w:type="dxa"/>
          </w:tcPr>
          <w:p w14:paraId="1376563D" w14:textId="77777777" w:rsidR="00102D93" w:rsidRPr="003D77F4" w:rsidRDefault="005A4C21">
            <w:pPr>
              <w:pStyle w:val="List"/>
              <w:spacing w:before="120"/>
              <w:ind w:left="0" w:firstLine="0"/>
              <w:jc w:val="both"/>
              <w:rPr>
                <w:rFonts w:ascii="Arial" w:hAnsi="Arial" w:cs="Arial"/>
              </w:rPr>
            </w:pPr>
            <w:r w:rsidRPr="003D77F4">
              <w:rPr>
                <w:rFonts w:ascii="Arial" w:hAnsi="Arial" w:cs="Arial"/>
              </w:rPr>
              <w:t>Subordinate Voting Shares</w:t>
            </w:r>
          </w:p>
        </w:tc>
        <w:tc>
          <w:tcPr>
            <w:tcW w:w="2517" w:type="dxa"/>
          </w:tcPr>
          <w:p w14:paraId="3DD71DBB" w14:textId="2B96F4CB" w:rsidR="00102D93" w:rsidRPr="006826F9" w:rsidRDefault="005A4C21">
            <w:pPr>
              <w:pStyle w:val="List"/>
              <w:spacing w:before="120"/>
              <w:ind w:left="0" w:firstLine="0"/>
              <w:jc w:val="both"/>
              <w:rPr>
                <w:rFonts w:ascii="Arial" w:hAnsi="Arial" w:cs="Arial"/>
              </w:rPr>
            </w:pPr>
            <w:r>
              <w:rPr>
                <w:rFonts w:ascii="Arial" w:hAnsi="Arial" w:cs="Arial"/>
              </w:rPr>
              <w:t>3,342</w:t>
            </w:r>
          </w:p>
        </w:tc>
        <w:tc>
          <w:tcPr>
            <w:tcW w:w="2518" w:type="dxa"/>
          </w:tcPr>
          <w:p w14:paraId="009C51EC" w14:textId="77777777" w:rsidR="00102D93" w:rsidRPr="003D77F4" w:rsidRDefault="005A4C21" w:rsidP="00D66DA6">
            <w:pPr>
              <w:pStyle w:val="List"/>
              <w:spacing w:before="120"/>
              <w:ind w:left="0" w:firstLine="0"/>
              <w:rPr>
                <w:rFonts w:ascii="Arial" w:hAnsi="Arial" w:cs="Arial"/>
              </w:rPr>
            </w:pPr>
            <w:r w:rsidRPr="00D66DA6">
              <w:rPr>
                <w:rFonts w:ascii="Arial" w:hAnsi="Arial" w:cs="Arial"/>
              </w:rPr>
              <w:t>Issued pursuant to exercise of Agent Warrants at $3.25 per share. The Agent Warrants were previously issued by the Issuer on October 26, 2018 in connection with the Issuer’s initial public offering.</w:t>
            </w:r>
          </w:p>
        </w:tc>
        <w:tc>
          <w:tcPr>
            <w:tcW w:w="2518" w:type="dxa"/>
          </w:tcPr>
          <w:p w14:paraId="07FF8D0D" w14:textId="77777777" w:rsidR="00102D93" w:rsidRPr="003D77F4" w:rsidRDefault="005A4C21">
            <w:pPr>
              <w:pStyle w:val="List"/>
              <w:spacing w:before="120"/>
              <w:ind w:left="0" w:firstLine="0"/>
              <w:jc w:val="both"/>
              <w:rPr>
                <w:rFonts w:ascii="Arial" w:hAnsi="Arial" w:cs="Arial"/>
              </w:rPr>
            </w:pPr>
            <w:r w:rsidRPr="00D66DA6">
              <w:rPr>
                <w:rFonts w:ascii="Arial" w:hAnsi="Arial" w:cs="Arial"/>
              </w:rPr>
              <w:t>Working Capital and General Corporate purposes</w:t>
            </w:r>
          </w:p>
        </w:tc>
      </w:tr>
      <w:tr w:rsidR="00FC08F1" w14:paraId="14D0758D" w14:textId="77777777" w:rsidTr="00102D93">
        <w:tc>
          <w:tcPr>
            <w:tcW w:w="2517" w:type="dxa"/>
          </w:tcPr>
          <w:p w14:paraId="405C7520" w14:textId="77777777" w:rsidR="0038633B" w:rsidRPr="003D77F4" w:rsidRDefault="005A4C21" w:rsidP="0038633B">
            <w:pPr>
              <w:pStyle w:val="List"/>
              <w:spacing w:before="120"/>
              <w:ind w:left="0" w:firstLine="0"/>
              <w:jc w:val="both"/>
              <w:rPr>
                <w:rFonts w:ascii="Arial" w:hAnsi="Arial" w:cs="Arial"/>
              </w:rPr>
            </w:pPr>
            <w:r w:rsidRPr="003D77F4">
              <w:rPr>
                <w:rFonts w:ascii="Arial" w:hAnsi="Arial" w:cs="Arial"/>
              </w:rPr>
              <w:t>Subordinate Voting Shares</w:t>
            </w:r>
          </w:p>
        </w:tc>
        <w:tc>
          <w:tcPr>
            <w:tcW w:w="2517" w:type="dxa"/>
          </w:tcPr>
          <w:p w14:paraId="36062710" w14:textId="77777777" w:rsidR="0038633B" w:rsidRPr="006826F9" w:rsidRDefault="005A4C21" w:rsidP="0038633B">
            <w:pPr>
              <w:pStyle w:val="List"/>
              <w:spacing w:before="120"/>
              <w:ind w:left="0" w:firstLine="0"/>
              <w:jc w:val="both"/>
              <w:rPr>
                <w:rFonts w:ascii="Arial" w:hAnsi="Arial" w:cs="Arial"/>
              </w:rPr>
            </w:pPr>
            <w:r>
              <w:rPr>
                <w:rFonts w:ascii="Arial" w:hAnsi="Arial" w:cs="Arial"/>
              </w:rPr>
              <w:t>252,500</w:t>
            </w:r>
          </w:p>
        </w:tc>
        <w:tc>
          <w:tcPr>
            <w:tcW w:w="2518" w:type="dxa"/>
          </w:tcPr>
          <w:p w14:paraId="251573DF" w14:textId="77777777" w:rsidR="0038633B" w:rsidRPr="00D66DA6" w:rsidRDefault="005A4C21" w:rsidP="0038633B">
            <w:pPr>
              <w:pStyle w:val="List"/>
              <w:spacing w:before="120"/>
              <w:ind w:left="0" w:firstLine="0"/>
              <w:rPr>
                <w:rFonts w:ascii="Arial" w:hAnsi="Arial" w:cs="Arial"/>
              </w:rPr>
            </w:pPr>
            <w:r w:rsidRPr="00B44999">
              <w:rPr>
                <w:rFonts w:ascii="Arial" w:hAnsi="Arial" w:cs="Arial"/>
              </w:rPr>
              <w:t>Issued pursuant to exercise of Series Seed warrants at US$0.69 per share</w:t>
            </w:r>
          </w:p>
        </w:tc>
        <w:tc>
          <w:tcPr>
            <w:tcW w:w="2518" w:type="dxa"/>
          </w:tcPr>
          <w:p w14:paraId="430AEA6F" w14:textId="77777777" w:rsidR="0038633B" w:rsidRPr="00D66DA6" w:rsidRDefault="005A4C21" w:rsidP="0038633B">
            <w:pPr>
              <w:pStyle w:val="List"/>
              <w:spacing w:before="120"/>
              <w:ind w:left="0" w:firstLine="0"/>
              <w:jc w:val="both"/>
              <w:rPr>
                <w:rFonts w:ascii="Arial" w:hAnsi="Arial" w:cs="Arial"/>
              </w:rPr>
            </w:pPr>
            <w:r w:rsidRPr="00D66DA6">
              <w:rPr>
                <w:rFonts w:ascii="Arial" w:hAnsi="Arial" w:cs="Arial"/>
              </w:rPr>
              <w:t>Working Capital and General Corporate purposes</w:t>
            </w:r>
          </w:p>
        </w:tc>
      </w:tr>
      <w:tr w:rsidR="00FC08F1" w14:paraId="23A38BA6" w14:textId="77777777" w:rsidTr="00102D93">
        <w:tc>
          <w:tcPr>
            <w:tcW w:w="2517" w:type="dxa"/>
          </w:tcPr>
          <w:p w14:paraId="1C3A51CE" w14:textId="77777777" w:rsidR="0038633B" w:rsidRPr="003D77F4" w:rsidRDefault="005A4C21" w:rsidP="0038633B">
            <w:pPr>
              <w:pStyle w:val="List"/>
              <w:spacing w:before="120"/>
              <w:ind w:left="0" w:firstLine="0"/>
              <w:jc w:val="both"/>
              <w:rPr>
                <w:rFonts w:ascii="Arial" w:hAnsi="Arial" w:cs="Arial"/>
              </w:rPr>
            </w:pPr>
            <w:r w:rsidRPr="003D77F4">
              <w:rPr>
                <w:rFonts w:ascii="Arial" w:hAnsi="Arial" w:cs="Arial"/>
              </w:rPr>
              <w:t>Subordinate Voting Shares</w:t>
            </w:r>
          </w:p>
        </w:tc>
        <w:tc>
          <w:tcPr>
            <w:tcW w:w="2517" w:type="dxa"/>
          </w:tcPr>
          <w:p w14:paraId="04610C6E" w14:textId="77777777" w:rsidR="0038633B" w:rsidRPr="006826F9" w:rsidRDefault="005A4C21" w:rsidP="0038633B">
            <w:pPr>
              <w:pStyle w:val="List"/>
              <w:spacing w:before="120"/>
              <w:ind w:left="0" w:firstLine="0"/>
              <w:jc w:val="both"/>
              <w:rPr>
                <w:rFonts w:ascii="Arial" w:hAnsi="Arial" w:cs="Arial"/>
              </w:rPr>
            </w:pPr>
            <w:r>
              <w:rPr>
                <w:rFonts w:ascii="Arial" w:hAnsi="Arial" w:cs="Arial"/>
              </w:rPr>
              <w:t>121,166</w:t>
            </w:r>
          </w:p>
        </w:tc>
        <w:tc>
          <w:tcPr>
            <w:tcW w:w="2518" w:type="dxa"/>
          </w:tcPr>
          <w:p w14:paraId="1A267B1B" w14:textId="5939CC83" w:rsidR="0038633B" w:rsidRPr="00B44999" w:rsidRDefault="005A4C21" w:rsidP="000E1628">
            <w:pPr>
              <w:pStyle w:val="List"/>
              <w:spacing w:before="120"/>
              <w:ind w:left="0" w:firstLine="0"/>
              <w:rPr>
                <w:rFonts w:ascii="Arial" w:hAnsi="Arial" w:cs="Arial"/>
              </w:rPr>
            </w:pPr>
            <w:r w:rsidRPr="00B44999">
              <w:rPr>
                <w:rFonts w:ascii="Arial" w:hAnsi="Arial" w:cs="Arial"/>
              </w:rPr>
              <w:t xml:space="preserve">Issued pursuant to exercise of Series </w:t>
            </w:r>
            <w:r>
              <w:rPr>
                <w:rFonts w:ascii="Arial" w:hAnsi="Arial" w:cs="Arial"/>
              </w:rPr>
              <w:t xml:space="preserve">B-1 </w:t>
            </w:r>
            <w:r w:rsidRPr="00B44999">
              <w:rPr>
                <w:rFonts w:ascii="Arial" w:hAnsi="Arial" w:cs="Arial"/>
              </w:rPr>
              <w:t>warrants at US$2.20 per share</w:t>
            </w:r>
          </w:p>
        </w:tc>
        <w:tc>
          <w:tcPr>
            <w:tcW w:w="2518" w:type="dxa"/>
          </w:tcPr>
          <w:p w14:paraId="514D758D" w14:textId="77777777" w:rsidR="0038633B" w:rsidRPr="00D66DA6" w:rsidRDefault="005A4C21" w:rsidP="0038633B">
            <w:pPr>
              <w:pStyle w:val="List"/>
              <w:spacing w:before="120"/>
              <w:ind w:left="0" w:firstLine="0"/>
              <w:jc w:val="both"/>
              <w:rPr>
                <w:rFonts w:ascii="Arial" w:hAnsi="Arial" w:cs="Arial"/>
              </w:rPr>
            </w:pPr>
            <w:r w:rsidRPr="00D66DA6">
              <w:rPr>
                <w:rFonts w:ascii="Arial" w:hAnsi="Arial" w:cs="Arial"/>
              </w:rPr>
              <w:t>Working Capital and General Corporate purposes</w:t>
            </w:r>
          </w:p>
        </w:tc>
      </w:tr>
      <w:tr w:rsidR="00FC08F1" w14:paraId="20C7EC6F" w14:textId="77777777" w:rsidTr="00102D93">
        <w:tc>
          <w:tcPr>
            <w:tcW w:w="2517" w:type="dxa"/>
          </w:tcPr>
          <w:p w14:paraId="54312895" w14:textId="77777777" w:rsidR="005B153F" w:rsidRPr="003D77F4" w:rsidRDefault="005A4C21" w:rsidP="0038633B">
            <w:pPr>
              <w:pStyle w:val="List"/>
              <w:spacing w:before="120"/>
              <w:ind w:left="0" w:firstLine="0"/>
              <w:jc w:val="both"/>
              <w:rPr>
                <w:rFonts w:ascii="Arial" w:hAnsi="Arial" w:cs="Arial"/>
              </w:rPr>
            </w:pPr>
            <w:r>
              <w:rPr>
                <w:rFonts w:ascii="Arial" w:hAnsi="Arial" w:cs="Arial"/>
              </w:rPr>
              <w:t>Options</w:t>
            </w:r>
          </w:p>
        </w:tc>
        <w:tc>
          <w:tcPr>
            <w:tcW w:w="2517" w:type="dxa"/>
          </w:tcPr>
          <w:p w14:paraId="7CEECEB1" w14:textId="77777777" w:rsidR="005B153F" w:rsidRDefault="005A4C21" w:rsidP="0038633B">
            <w:pPr>
              <w:pStyle w:val="List"/>
              <w:spacing w:before="120"/>
              <w:ind w:left="0" w:firstLine="0"/>
              <w:jc w:val="both"/>
              <w:rPr>
                <w:rFonts w:ascii="Arial" w:hAnsi="Arial" w:cs="Arial"/>
              </w:rPr>
            </w:pPr>
            <w:r>
              <w:rPr>
                <w:rFonts w:ascii="Arial" w:hAnsi="Arial" w:cs="Arial"/>
              </w:rPr>
              <w:t>1,566,874</w:t>
            </w:r>
          </w:p>
        </w:tc>
        <w:tc>
          <w:tcPr>
            <w:tcW w:w="2518" w:type="dxa"/>
          </w:tcPr>
          <w:p w14:paraId="707C5216" w14:textId="77777777" w:rsidR="005B153F" w:rsidRPr="00B44999" w:rsidRDefault="005A4C21" w:rsidP="005B153F">
            <w:pPr>
              <w:pStyle w:val="List"/>
              <w:spacing w:before="120"/>
              <w:ind w:left="0" w:firstLine="0"/>
              <w:rPr>
                <w:rFonts w:ascii="Arial" w:hAnsi="Arial" w:cs="Arial"/>
              </w:rPr>
            </w:pPr>
            <w:r w:rsidRPr="00B44999">
              <w:rPr>
                <w:rFonts w:ascii="Arial" w:hAnsi="Arial" w:cs="Arial"/>
              </w:rPr>
              <w:t xml:space="preserve">Granted options to eligible employees pursuant to the Issuer’s 2018 stock and incentive plan (the “Plan”). Options are exercisable into Subordinate Voting Shares at C$4.56 per share </w:t>
            </w:r>
          </w:p>
        </w:tc>
        <w:tc>
          <w:tcPr>
            <w:tcW w:w="2518" w:type="dxa"/>
          </w:tcPr>
          <w:p w14:paraId="6C660482" w14:textId="77777777" w:rsidR="005B153F" w:rsidRPr="00D66DA6" w:rsidRDefault="005A4C21" w:rsidP="0038633B">
            <w:pPr>
              <w:pStyle w:val="List"/>
              <w:spacing w:before="120"/>
              <w:ind w:left="0" w:firstLine="0"/>
              <w:jc w:val="both"/>
              <w:rPr>
                <w:rFonts w:ascii="Arial" w:hAnsi="Arial" w:cs="Arial"/>
              </w:rPr>
            </w:pPr>
            <w:r>
              <w:rPr>
                <w:rFonts w:ascii="Arial" w:hAnsi="Arial" w:cs="Arial"/>
              </w:rPr>
              <w:t>N/A</w:t>
            </w:r>
          </w:p>
        </w:tc>
      </w:tr>
      <w:tr w:rsidR="00FC08F1" w14:paraId="6BB3C8F3" w14:textId="77777777" w:rsidTr="00102D93">
        <w:tc>
          <w:tcPr>
            <w:tcW w:w="2517" w:type="dxa"/>
          </w:tcPr>
          <w:p w14:paraId="30C625E2" w14:textId="77777777" w:rsidR="005B153F" w:rsidRDefault="005A4C21" w:rsidP="005B153F">
            <w:pPr>
              <w:pStyle w:val="List"/>
              <w:spacing w:before="120"/>
              <w:ind w:left="0" w:firstLine="0"/>
              <w:jc w:val="both"/>
              <w:rPr>
                <w:rFonts w:ascii="Arial" w:hAnsi="Arial" w:cs="Arial"/>
              </w:rPr>
            </w:pPr>
            <w:r>
              <w:rPr>
                <w:rFonts w:ascii="Arial" w:hAnsi="Arial" w:cs="Arial"/>
              </w:rPr>
              <w:t>Restricted Stock Units</w:t>
            </w:r>
          </w:p>
        </w:tc>
        <w:tc>
          <w:tcPr>
            <w:tcW w:w="2517" w:type="dxa"/>
          </w:tcPr>
          <w:p w14:paraId="3CA8147C" w14:textId="77777777" w:rsidR="005B153F" w:rsidRDefault="005A4C21" w:rsidP="005B153F">
            <w:pPr>
              <w:pStyle w:val="List"/>
              <w:spacing w:before="120"/>
              <w:ind w:left="0" w:firstLine="0"/>
              <w:jc w:val="both"/>
              <w:rPr>
                <w:rFonts w:ascii="Arial" w:hAnsi="Arial" w:cs="Arial"/>
              </w:rPr>
            </w:pPr>
            <w:r>
              <w:rPr>
                <w:rFonts w:ascii="Arial" w:hAnsi="Arial" w:cs="Arial"/>
              </w:rPr>
              <w:t>212,389</w:t>
            </w:r>
          </w:p>
        </w:tc>
        <w:tc>
          <w:tcPr>
            <w:tcW w:w="2518" w:type="dxa"/>
          </w:tcPr>
          <w:p w14:paraId="1726BA88" w14:textId="77777777" w:rsidR="005B153F" w:rsidRPr="00B44999" w:rsidRDefault="005A4C21" w:rsidP="005B153F">
            <w:pPr>
              <w:pStyle w:val="List"/>
              <w:spacing w:before="120"/>
              <w:ind w:left="0" w:firstLine="0"/>
              <w:rPr>
                <w:rFonts w:ascii="Arial" w:hAnsi="Arial" w:cs="Arial"/>
              </w:rPr>
            </w:pPr>
            <w:r w:rsidRPr="00B44999">
              <w:rPr>
                <w:rFonts w:ascii="Arial" w:hAnsi="Arial" w:cs="Arial"/>
              </w:rPr>
              <w:t xml:space="preserve">Granted to eligible directors, </w:t>
            </w:r>
            <w:r w:rsidRPr="00B44999">
              <w:rPr>
                <w:rFonts w:ascii="Arial" w:hAnsi="Arial" w:cs="Arial"/>
              </w:rPr>
              <w:lastRenderedPageBreak/>
              <w:t xml:space="preserve">consultants, and employees pursuant to the Plan.   </w:t>
            </w:r>
          </w:p>
        </w:tc>
        <w:tc>
          <w:tcPr>
            <w:tcW w:w="2518" w:type="dxa"/>
          </w:tcPr>
          <w:p w14:paraId="43CEB2F2" w14:textId="77777777" w:rsidR="005B153F" w:rsidRDefault="005A4C21" w:rsidP="005B153F">
            <w:pPr>
              <w:pStyle w:val="List"/>
              <w:spacing w:before="120"/>
              <w:ind w:left="0" w:firstLine="0"/>
              <w:jc w:val="both"/>
              <w:rPr>
                <w:rFonts w:ascii="Arial" w:hAnsi="Arial" w:cs="Arial"/>
              </w:rPr>
            </w:pPr>
            <w:r>
              <w:rPr>
                <w:rFonts w:ascii="Arial" w:hAnsi="Arial" w:cs="Arial"/>
              </w:rPr>
              <w:lastRenderedPageBreak/>
              <w:t>N/A</w:t>
            </w:r>
          </w:p>
        </w:tc>
      </w:tr>
    </w:tbl>
    <w:p w14:paraId="6B3106B7" w14:textId="77777777" w:rsidR="00AA4801" w:rsidRPr="00B44999" w:rsidRDefault="005A4C21" w:rsidP="00B44999">
      <w:pPr>
        <w:pStyle w:val="List"/>
        <w:spacing w:before="120"/>
        <w:ind w:left="720" w:firstLine="0"/>
        <w:jc w:val="both"/>
        <w:rPr>
          <w:rFonts w:ascii="Arial" w:hAnsi="Arial"/>
          <w:sz w:val="20"/>
        </w:rPr>
      </w:pPr>
      <w:r w:rsidRPr="00D66DA6">
        <w:rPr>
          <w:rFonts w:ascii="Arial" w:hAnsi="Arial"/>
          <w:b/>
          <w:sz w:val="20"/>
        </w:rPr>
        <w:t>Notes:</w:t>
      </w:r>
    </w:p>
    <w:p w14:paraId="52DB7ECF" w14:textId="4790F0FD" w:rsidR="00625993" w:rsidRPr="00D66DA6" w:rsidRDefault="005A4C21" w:rsidP="00D66DA6">
      <w:pPr>
        <w:pStyle w:val="List"/>
        <w:numPr>
          <w:ilvl w:val="3"/>
          <w:numId w:val="28"/>
        </w:numPr>
        <w:spacing w:before="120"/>
        <w:ind w:left="720" w:hanging="720"/>
        <w:jc w:val="both"/>
        <w:rPr>
          <w:rFonts w:ascii="Arial" w:hAnsi="Arial"/>
          <w:sz w:val="20"/>
        </w:rPr>
      </w:pPr>
      <w:r w:rsidRPr="00D66DA6">
        <w:rPr>
          <w:rFonts w:ascii="Arial" w:hAnsi="Arial"/>
          <w:sz w:val="20"/>
        </w:rPr>
        <w:t xml:space="preserve">A total </w:t>
      </w:r>
      <w:proofErr w:type="gramStart"/>
      <w:r w:rsidRPr="00D66DA6">
        <w:rPr>
          <w:rFonts w:ascii="Arial" w:hAnsi="Arial"/>
          <w:sz w:val="20"/>
        </w:rPr>
        <w:t xml:space="preserve">of </w:t>
      </w:r>
      <w:r>
        <w:rPr>
          <w:rFonts w:ascii="Arial" w:hAnsi="Arial"/>
          <w:sz w:val="20"/>
        </w:rPr>
        <w:t xml:space="preserve"> 4,287.45</w:t>
      </w:r>
      <w:proofErr w:type="gramEnd"/>
      <w:r>
        <w:rPr>
          <w:rFonts w:ascii="Arial" w:hAnsi="Arial"/>
          <w:sz w:val="20"/>
        </w:rPr>
        <w:t xml:space="preserve"> </w:t>
      </w:r>
      <w:r w:rsidRPr="00D66DA6">
        <w:rPr>
          <w:rFonts w:ascii="Arial" w:hAnsi="Arial"/>
          <w:sz w:val="20"/>
        </w:rPr>
        <w:t xml:space="preserve">Proportionate Voting Shares were converted into </w:t>
      </w:r>
      <w:r>
        <w:rPr>
          <w:rFonts w:ascii="Arial" w:hAnsi="Arial"/>
          <w:sz w:val="20"/>
        </w:rPr>
        <w:t xml:space="preserve"> 428,745 </w:t>
      </w:r>
      <w:r w:rsidRPr="00D66DA6">
        <w:rPr>
          <w:rFonts w:ascii="Arial" w:hAnsi="Arial"/>
          <w:sz w:val="20"/>
        </w:rPr>
        <w:t xml:space="preserve">Subordinate Voting Shares in the capital of the Company. Certain holders of Proportionate Voting Shares who elected to convert their Proportionate Voting Shares into Subordinate Voting Shares received Subordinate Voting Shares equivalent to 100 times the number of Proportionate Voting Shares that were converted. </w:t>
      </w:r>
    </w:p>
    <w:p w14:paraId="1AB633D3" w14:textId="77777777" w:rsidR="00CF20E4" w:rsidRPr="00D66DA6" w:rsidRDefault="008B427D" w:rsidP="003D77F4">
      <w:pPr>
        <w:pStyle w:val="List"/>
        <w:tabs>
          <w:tab w:val="left" w:pos="360"/>
        </w:tabs>
        <w:spacing w:before="120"/>
        <w:ind w:left="0" w:firstLine="0"/>
        <w:jc w:val="both"/>
        <w:rPr>
          <w:rFonts w:ascii="Arial" w:hAnsi="Arial"/>
        </w:rPr>
      </w:pPr>
    </w:p>
    <w:p w14:paraId="5AEED77A" w14:textId="77777777" w:rsidR="00640E94" w:rsidRDefault="005A4C21">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7CD5B82" w14:textId="77777777" w:rsidR="00A40595" w:rsidRDefault="008B427D" w:rsidP="00A40595">
      <w:pPr>
        <w:pStyle w:val="List"/>
        <w:keepNext/>
        <w:keepLines/>
        <w:spacing w:before="120"/>
        <w:jc w:val="both"/>
        <w:rPr>
          <w:rFonts w:ascii="Arial" w:hAnsi="Arial"/>
        </w:rPr>
      </w:pPr>
    </w:p>
    <w:p w14:paraId="3C3C4B31" w14:textId="77777777" w:rsidR="00302DBA" w:rsidRDefault="005A4C21" w:rsidP="00A40595">
      <w:pPr>
        <w:pStyle w:val="List"/>
        <w:keepNext/>
        <w:keepLines/>
        <w:numPr>
          <w:ilvl w:val="0"/>
          <w:numId w:val="29"/>
        </w:numPr>
        <w:spacing w:before="120"/>
        <w:jc w:val="both"/>
        <w:rPr>
          <w:rFonts w:ascii="Arial" w:hAnsi="Arial"/>
          <w:i/>
        </w:rPr>
      </w:pPr>
      <w:r w:rsidRPr="00A40595">
        <w:rPr>
          <w:rFonts w:ascii="Arial" w:hAnsi="Arial"/>
          <w:i/>
        </w:rPr>
        <w:t xml:space="preserve">Not applicable to the Issuer </w:t>
      </w:r>
    </w:p>
    <w:p w14:paraId="701D5CC8" w14:textId="77777777" w:rsidR="00A40595" w:rsidRPr="00A40595" w:rsidRDefault="008B427D" w:rsidP="00A40595">
      <w:pPr>
        <w:pStyle w:val="List"/>
        <w:keepNext/>
        <w:keepLines/>
        <w:spacing w:before="120"/>
        <w:jc w:val="both"/>
        <w:rPr>
          <w:rFonts w:ascii="Arial" w:hAnsi="Arial"/>
          <w:i/>
        </w:rPr>
      </w:pPr>
    </w:p>
    <w:p w14:paraId="317D5786" w14:textId="77777777" w:rsidR="00640E94" w:rsidRDefault="005A4C21">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09374B1" w14:textId="77777777" w:rsidR="00A40595" w:rsidRDefault="008B427D" w:rsidP="00A40595">
      <w:pPr>
        <w:pStyle w:val="List"/>
        <w:keepNext/>
        <w:keepLines/>
        <w:spacing w:before="120"/>
        <w:jc w:val="both"/>
        <w:rPr>
          <w:rFonts w:ascii="Arial" w:hAnsi="Arial"/>
        </w:rPr>
      </w:pPr>
    </w:p>
    <w:p w14:paraId="23F068F1" w14:textId="77777777" w:rsidR="00EE0EC6" w:rsidRDefault="005A4C21" w:rsidP="00A40595">
      <w:pPr>
        <w:pStyle w:val="List"/>
        <w:keepNext/>
        <w:keepLines/>
        <w:numPr>
          <w:ilvl w:val="0"/>
          <w:numId w:val="29"/>
        </w:numPr>
        <w:spacing w:before="120"/>
        <w:jc w:val="both"/>
        <w:rPr>
          <w:rFonts w:ascii="Arial" w:hAnsi="Arial"/>
          <w:i/>
        </w:rPr>
      </w:pPr>
      <w:r>
        <w:rPr>
          <w:rFonts w:ascii="Arial" w:hAnsi="Arial"/>
          <w:i/>
        </w:rPr>
        <w:t>Jon Paul was named Chief Financial Officer on April 2, 2019.</w:t>
      </w:r>
    </w:p>
    <w:p w14:paraId="58F6B9B2" w14:textId="2E5341B2" w:rsidR="00920BDE" w:rsidRDefault="005A4C21" w:rsidP="00A40595">
      <w:pPr>
        <w:pStyle w:val="List"/>
        <w:keepNext/>
        <w:keepLines/>
        <w:numPr>
          <w:ilvl w:val="0"/>
          <w:numId w:val="29"/>
        </w:numPr>
        <w:spacing w:before="120"/>
        <w:jc w:val="both"/>
        <w:rPr>
          <w:rFonts w:ascii="Arial" w:hAnsi="Arial"/>
          <w:i/>
        </w:rPr>
      </w:pPr>
      <w:r>
        <w:rPr>
          <w:rFonts w:ascii="Arial" w:hAnsi="Arial"/>
          <w:i/>
        </w:rPr>
        <w:t>Craig Heimark was appointed as Chief Strategy Officer on April 2, 2019 relinquished Chief Financial Officer title; and remains Chairman and Secretary of the Board.</w:t>
      </w:r>
    </w:p>
    <w:p w14:paraId="0C3EBAD5" w14:textId="5B65EBB2" w:rsidR="00EC31BF" w:rsidRPr="00E44733" w:rsidRDefault="005A4C21" w:rsidP="00A40595">
      <w:pPr>
        <w:pStyle w:val="List"/>
        <w:keepNext/>
        <w:keepLines/>
        <w:numPr>
          <w:ilvl w:val="0"/>
          <w:numId w:val="29"/>
        </w:numPr>
        <w:spacing w:before="120"/>
        <w:jc w:val="both"/>
        <w:rPr>
          <w:rFonts w:ascii="Arial" w:hAnsi="Arial"/>
          <w:i/>
        </w:rPr>
      </w:pPr>
      <w:r>
        <w:rPr>
          <w:rFonts w:ascii="Arial" w:hAnsi="Arial"/>
          <w:i/>
        </w:rPr>
        <w:t>Marc Se</w:t>
      </w:r>
      <w:r w:rsidR="00646A3A">
        <w:rPr>
          <w:rFonts w:ascii="Arial" w:hAnsi="Arial"/>
          <w:i/>
        </w:rPr>
        <w:t>g</w:t>
      </w:r>
      <w:bookmarkStart w:id="5" w:name="_GoBack"/>
      <w:bookmarkEnd w:id="5"/>
      <w:r>
        <w:rPr>
          <w:rFonts w:ascii="Arial" w:hAnsi="Arial"/>
          <w:i/>
        </w:rPr>
        <w:t>uin named Chief Revenue Officer on April 30, 2019.</w:t>
      </w:r>
    </w:p>
    <w:p w14:paraId="5D9236B3" w14:textId="77777777" w:rsidR="00A40595" w:rsidRDefault="008B427D" w:rsidP="00A40595">
      <w:pPr>
        <w:pStyle w:val="List"/>
        <w:keepNext/>
        <w:keepLines/>
        <w:spacing w:before="120"/>
        <w:jc w:val="both"/>
        <w:rPr>
          <w:rFonts w:ascii="Arial" w:hAnsi="Arial"/>
        </w:rPr>
      </w:pPr>
    </w:p>
    <w:p w14:paraId="4D494924" w14:textId="77777777" w:rsidR="00640E94" w:rsidRDefault="005A4C21">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F87DB4C" w14:textId="77777777" w:rsidR="007C5ACE" w:rsidRDefault="005A4C21" w:rsidP="00E357DF">
      <w:pPr>
        <w:pStyle w:val="List"/>
        <w:spacing w:before="120"/>
        <w:ind w:left="720" w:firstLine="0"/>
        <w:jc w:val="both"/>
        <w:rPr>
          <w:rFonts w:ascii="Arial" w:hAnsi="Arial"/>
          <w:i/>
        </w:rPr>
      </w:pPr>
      <w:r w:rsidRPr="00E357DF">
        <w:rPr>
          <w:rFonts w:ascii="Arial" w:hAnsi="Arial"/>
          <w:i/>
        </w:rPr>
        <w:t xml:space="preserve">Please refer to the </w:t>
      </w:r>
      <w:r>
        <w:rPr>
          <w:rFonts w:ascii="Arial" w:hAnsi="Arial"/>
          <w:i/>
        </w:rPr>
        <w:t>Issuer’s</w:t>
      </w:r>
      <w:r w:rsidRPr="00E357DF">
        <w:rPr>
          <w:rFonts w:ascii="Arial" w:hAnsi="Arial"/>
          <w:i/>
        </w:rPr>
        <w:t xml:space="preserve"> final prospectus dated October 19, 2018</w:t>
      </w:r>
      <w:r>
        <w:rPr>
          <w:rFonts w:ascii="Arial" w:hAnsi="Arial"/>
          <w:i/>
        </w:rPr>
        <w:t xml:space="preserve"> which is available under the Issuer’s profile on SEDAR (www.sedar.com)</w:t>
      </w:r>
      <w:r w:rsidRPr="00E357DF">
        <w:rPr>
          <w:rFonts w:ascii="Arial" w:hAnsi="Arial"/>
          <w:i/>
        </w:rPr>
        <w:t xml:space="preserve">. </w:t>
      </w:r>
    </w:p>
    <w:p w14:paraId="69F4B7B1" w14:textId="77777777" w:rsidR="00640E94" w:rsidRDefault="005A4C21">
      <w:pPr>
        <w:pStyle w:val="List"/>
        <w:keepNext/>
        <w:spacing w:before="120"/>
        <w:ind w:left="0" w:firstLine="0"/>
        <w:rPr>
          <w:rFonts w:ascii="Arial" w:hAnsi="Arial"/>
          <w:b/>
        </w:rPr>
      </w:pPr>
      <w:r w:rsidRPr="00D740B3">
        <w:rPr>
          <w:rFonts w:ascii="Arial" w:hAnsi="Arial" w:cs="Arial"/>
          <w:b/>
          <w:i/>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6C37ED45" w14:textId="77777777" w:rsidR="00640E94" w:rsidRDefault="005A4C21">
      <w:pPr>
        <w:pStyle w:val="BodyText"/>
        <w:keepNext/>
        <w:rPr>
          <w:rFonts w:ascii="Arial" w:hAnsi="Arial"/>
        </w:rPr>
      </w:pPr>
      <w:r>
        <w:rPr>
          <w:rFonts w:ascii="Arial" w:hAnsi="Arial"/>
        </w:rPr>
        <w:t>The undersigned hereby certifies that:</w:t>
      </w:r>
    </w:p>
    <w:p w14:paraId="38966674" w14:textId="77777777" w:rsidR="00640E94" w:rsidRDefault="005A4C21">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CE549AD" w14:textId="77777777" w:rsidR="00640E94" w:rsidRDefault="005A4C21">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03487460" w14:textId="77777777" w:rsidR="00640E94" w:rsidRDefault="005A4C21">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DA54A8A" w14:textId="77777777" w:rsidR="00640E94" w:rsidRDefault="005A4C21">
      <w:pPr>
        <w:pStyle w:val="List"/>
        <w:numPr>
          <w:ilvl w:val="0"/>
          <w:numId w:val="23"/>
        </w:numPr>
        <w:jc w:val="both"/>
        <w:rPr>
          <w:rFonts w:ascii="Arial" w:hAnsi="Arial"/>
        </w:rPr>
      </w:pPr>
      <w:r>
        <w:rPr>
          <w:rFonts w:ascii="Arial" w:hAnsi="Arial"/>
        </w:rPr>
        <w:t>All of the information in this Form 7 Monthly Progress Report is true.</w:t>
      </w:r>
    </w:p>
    <w:p w14:paraId="19294470" w14:textId="77777777" w:rsidR="00640E94" w:rsidRDefault="005A4C21">
      <w:pPr>
        <w:pStyle w:val="BodyText"/>
        <w:tabs>
          <w:tab w:val="left" w:pos="4680"/>
          <w:tab w:val="left" w:pos="7200"/>
        </w:tabs>
        <w:spacing w:before="480"/>
        <w:jc w:val="both"/>
        <w:rPr>
          <w:rFonts w:ascii="Arial" w:hAnsi="Arial"/>
        </w:rPr>
      </w:pPr>
      <w:r>
        <w:rPr>
          <w:rFonts w:ascii="Arial" w:hAnsi="Arial"/>
        </w:rPr>
        <w:t xml:space="preserve">Dated </w:t>
      </w:r>
      <w:r w:rsidRPr="00B44999">
        <w:rPr>
          <w:rFonts w:ascii="Arial" w:hAnsi="Arial"/>
          <w:b/>
        </w:rPr>
        <w:t>May 7</w:t>
      </w:r>
      <w:r w:rsidRPr="00AA4801">
        <w:rPr>
          <w:rFonts w:ascii="Arial" w:hAnsi="Arial"/>
          <w:b/>
        </w:rPr>
        <w:t>, 2019</w:t>
      </w:r>
      <w:r w:rsidRPr="00B44999">
        <w:rPr>
          <w:rFonts w:ascii="Arial" w:hAnsi="Arial"/>
          <w:b/>
        </w:rPr>
        <w:t>.</w:t>
      </w:r>
    </w:p>
    <w:p w14:paraId="5F333EEC" w14:textId="77777777" w:rsidR="004D736E" w:rsidRPr="00F32776" w:rsidRDefault="005A4C21">
      <w:pPr>
        <w:pStyle w:val="List"/>
        <w:tabs>
          <w:tab w:val="left" w:pos="9180"/>
        </w:tabs>
        <w:ind w:left="5760" w:hanging="5760"/>
        <w:rPr>
          <w:rFonts w:ascii="Arial" w:hAnsi="Arial"/>
          <w:b/>
          <w:u w:val="single"/>
        </w:rPr>
      </w:pPr>
      <w:r>
        <w:rPr>
          <w:rFonts w:ascii="Arial" w:hAnsi="Arial"/>
        </w:rPr>
        <w:tab/>
      </w:r>
      <w:r>
        <w:rPr>
          <w:rFonts w:ascii="Arial" w:hAnsi="Arial"/>
          <w:b/>
          <w:u w:val="single"/>
        </w:rPr>
        <w:t>Craig</w:t>
      </w:r>
      <w:r w:rsidRPr="00E357DF">
        <w:rPr>
          <w:rFonts w:ascii="Arial" w:hAnsi="Arial"/>
          <w:b/>
          <w:u w:val="single"/>
        </w:rPr>
        <w:t xml:space="preserve"> Heimark</w:t>
      </w:r>
      <w:r>
        <w:rPr>
          <w:rFonts w:ascii="Arial" w:hAnsi="Arial"/>
          <w:b/>
          <w:u w:val="single"/>
        </w:rPr>
        <w:tab/>
      </w:r>
    </w:p>
    <w:p w14:paraId="4C01D374" w14:textId="77777777" w:rsidR="00640E94" w:rsidRDefault="005A4C21">
      <w:pPr>
        <w:pStyle w:val="List"/>
        <w:tabs>
          <w:tab w:val="left" w:pos="9180"/>
        </w:tabs>
        <w:ind w:left="5760" w:hanging="5760"/>
        <w:rPr>
          <w:rFonts w:ascii="Arial" w:hAnsi="Arial"/>
        </w:rPr>
      </w:pPr>
      <w:r w:rsidRPr="004D736E">
        <w:rPr>
          <w:rFonts w:ascii="Arial" w:hAnsi="Arial"/>
        </w:rPr>
        <w:tab/>
      </w:r>
      <w:r>
        <w:rPr>
          <w:rFonts w:ascii="Arial" w:hAnsi="Arial"/>
        </w:rPr>
        <w:t>Name of Director or Senior Officer</w:t>
      </w:r>
    </w:p>
    <w:p w14:paraId="7D19DC4F" w14:textId="77777777" w:rsidR="00640E94" w:rsidRDefault="005A4C21">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6425B45D" w14:textId="77777777" w:rsidR="004D736E" w:rsidRDefault="008B427D">
      <w:pPr>
        <w:pStyle w:val="List"/>
        <w:tabs>
          <w:tab w:val="left" w:pos="9180"/>
          <w:tab w:val="left" w:pos="9360"/>
        </w:tabs>
        <w:ind w:left="5760" w:hanging="5760"/>
        <w:rPr>
          <w:rFonts w:ascii="Arial" w:hAnsi="Arial"/>
        </w:rPr>
      </w:pPr>
    </w:p>
    <w:p w14:paraId="158542C2" w14:textId="77777777" w:rsidR="00640E94" w:rsidRDefault="005A4C21">
      <w:pPr>
        <w:pStyle w:val="BodyText"/>
        <w:tabs>
          <w:tab w:val="left" w:pos="9180"/>
        </w:tabs>
        <w:spacing w:before="0"/>
        <w:ind w:left="5760"/>
        <w:rPr>
          <w:rFonts w:ascii="Arial" w:hAnsi="Arial"/>
        </w:rPr>
      </w:pPr>
      <w:r>
        <w:rPr>
          <w:rFonts w:ascii="Arial" w:hAnsi="Arial"/>
          <w:b/>
        </w:rPr>
        <w:t>Chairman, CSO and Director</w:t>
      </w:r>
      <w:r w:rsidRPr="004D736E">
        <w:rPr>
          <w:rFonts w:ascii="Arial" w:hAnsi="Arial"/>
          <w:b/>
        </w:rPr>
        <w:tab/>
      </w:r>
      <w:r w:rsidRPr="004D736E">
        <w:rPr>
          <w:rFonts w:ascii="Arial" w:hAnsi="Arial"/>
          <w:b/>
        </w:rPr>
        <w:br/>
      </w:r>
      <w:r>
        <w:rPr>
          <w:rFonts w:ascii="Arial" w:hAnsi="Arial"/>
        </w:rPr>
        <w:t>Official Capacity</w:t>
      </w:r>
      <w:bookmarkEnd w:id="4"/>
    </w:p>
    <w:p w14:paraId="345EC054" w14:textId="77777777" w:rsidR="00640E94" w:rsidRDefault="008B427D">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FC08F1" w14:paraId="7F8243C1" w14:textId="77777777">
        <w:tc>
          <w:tcPr>
            <w:tcW w:w="4878" w:type="dxa"/>
            <w:tcBorders>
              <w:top w:val="single" w:sz="18" w:space="0" w:color="auto"/>
              <w:bottom w:val="nil"/>
              <w:right w:val="single" w:sz="18" w:space="0" w:color="auto"/>
            </w:tcBorders>
          </w:tcPr>
          <w:p w14:paraId="320524AB" w14:textId="77777777" w:rsidR="00640E94" w:rsidRDefault="005A4C21">
            <w:pPr>
              <w:pStyle w:val="BodyText"/>
              <w:spacing w:before="0"/>
              <w:rPr>
                <w:rFonts w:ascii="Arial" w:hAnsi="Arial"/>
                <w:b/>
                <w:i/>
              </w:rPr>
            </w:pPr>
            <w:r>
              <w:rPr>
                <w:rFonts w:ascii="Arial" w:hAnsi="Arial"/>
                <w:b/>
                <w:i/>
              </w:rPr>
              <w:t>Issuer Details</w:t>
            </w:r>
          </w:p>
          <w:p w14:paraId="0A5C78E9" w14:textId="77777777" w:rsidR="00640E94" w:rsidRDefault="005A4C21">
            <w:pPr>
              <w:pStyle w:val="BodyText"/>
              <w:spacing w:before="0"/>
              <w:rPr>
                <w:rFonts w:ascii="Arial" w:hAnsi="Arial"/>
              </w:rPr>
            </w:pPr>
            <w:r>
              <w:rPr>
                <w:rFonts w:ascii="Arial" w:hAnsi="Arial"/>
              </w:rPr>
              <w:t>Name of Issuer</w:t>
            </w:r>
          </w:p>
          <w:p w14:paraId="18972C62" w14:textId="77777777" w:rsidR="00640E94" w:rsidRDefault="005A4C21" w:rsidP="00173A40">
            <w:pPr>
              <w:pStyle w:val="BodyText"/>
              <w:spacing w:before="0"/>
              <w:rPr>
                <w:rFonts w:ascii="Arial" w:hAnsi="Arial"/>
              </w:rPr>
            </w:pPr>
            <w:r>
              <w:rPr>
                <w:rFonts w:ascii="Arial" w:hAnsi="Arial"/>
              </w:rPr>
              <w:t>Plus Products Inc.</w:t>
            </w:r>
          </w:p>
        </w:tc>
        <w:tc>
          <w:tcPr>
            <w:tcW w:w="1800" w:type="dxa"/>
            <w:tcBorders>
              <w:top w:val="single" w:sz="18" w:space="0" w:color="auto"/>
              <w:left w:val="single" w:sz="18" w:space="0" w:color="auto"/>
              <w:bottom w:val="nil"/>
              <w:right w:val="single" w:sz="18" w:space="0" w:color="auto"/>
            </w:tcBorders>
          </w:tcPr>
          <w:p w14:paraId="7A8E65BE" w14:textId="582D8612" w:rsidR="00640E94" w:rsidRDefault="005A4C21" w:rsidP="00F32776">
            <w:pPr>
              <w:pStyle w:val="BodyText"/>
              <w:spacing w:before="0"/>
              <w:rPr>
                <w:rFonts w:ascii="Arial" w:hAnsi="Arial"/>
              </w:rPr>
            </w:pPr>
            <w:r>
              <w:rPr>
                <w:rFonts w:ascii="Arial" w:hAnsi="Arial"/>
              </w:rPr>
              <w:t xml:space="preserve">For Month </w:t>
            </w:r>
          </w:p>
          <w:p w14:paraId="43E2286D" w14:textId="383171A0" w:rsidR="00AF449B" w:rsidRDefault="005A4C21">
            <w:pPr>
              <w:pStyle w:val="BodyText"/>
              <w:spacing w:before="0"/>
              <w:rPr>
                <w:rFonts w:ascii="Arial" w:hAnsi="Arial"/>
              </w:rPr>
            </w:pPr>
            <w:r>
              <w:rPr>
                <w:rFonts w:ascii="Arial" w:hAnsi="Arial"/>
              </w:rPr>
              <w:t>April 2019</w:t>
            </w:r>
          </w:p>
        </w:tc>
        <w:tc>
          <w:tcPr>
            <w:tcW w:w="2898" w:type="dxa"/>
            <w:tcBorders>
              <w:top w:val="single" w:sz="18" w:space="0" w:color="auto"/>
              <w:left w:val="single" w:sz="18" w:space="0" w:color="auto"/>
              <w:bottom w:val="nil"/>
            </w:tcBorders>
          </w:tcPr>
          <w:p w14:paraId="5635C7EB" w14:textId="77777777" w:rsidR="00640E94" w:rsidRDefault="005A4C21">
            <w:pPr>
              <w:pStyle w:val="BodyText"/>
              <w:spacing w:before="0"/>
              <w:rPr>
                <w:rFonts w:ascii="Arial" w:hAnsi="Arial"/>
              </w:rPr>
            </w:pPr>
            <w:r>
              <w:rPr>
                <w:rFonts w:ascii="Arial" w:hAnsi="Arial"/>
              </w:rPr>
              <w:t>Date of Report</w:t>
            </w:r>
          </w:p>
          <w:p w14:paraId="684378E8" w14:textId="5BE0D220" w:rsidR="00640E94" w:rsidRDefault="005A4C21" w:rsidP="0044748D">
            <w:pPr>
              <w:pStyle w:val="BodyText"/>
              <w:spacing w:before="0"/>
              <w:rPr>
                <w:rFonts w:ascii="Arial" w:hAnsi="Arial"/>
              </w:rPr>
            </w:pPr>
            <w:r>
              <w:rPr>
                <w:rFonts w:ascii="Arial" w:hAnsi="Arial"/>
              </w:rPr>
              <w:t>2019/05/06</w:t>
            </w:r>
          </w:p>
        </w:tc>
      </w:tr>
      <w:tr w:rsidR="00FC08F1" w14:paraId="75CE871B" w14:textId="77777777">
        <w:trPr>
          <w:cantSplit/>
        </w:trPr>
        <w:tc>
          <w:tcPr>
            <w:tcW w:w="9576" w:type="dxa"/>
            <w:gridSpan w:val="3"/>
            <w:tcBorders>
              <w:top w:val="single" w:sz="18" w:space="0" w:color="auto"/>
              <w:bottom w:val="single" w:sz="18" w:space="0" w:color="auto"/>
            </w:tcBorders>
          </w:tcPr>
          <w:p w14:paraId="436E3D65" w14:textId="77777777" w:rsidR="00640E94" w:rsidRDefault="005A4C21">
            <w:pPr>
              <w:pStyle w:val="BodyText"/>
              <w:spacing w:before="0"/>
              <w:rPr>
                <w:rFonts w:ascii="Arial" w:hAnsi="Arial"/>
              </w:rPr>
            </w:pPr>
            <w:r>
              <w:rPr>
                <w:rFonts w:ascii="Arial" w:hAnsi="Arial"/>
              </w:rPr>
              <w:t>Issuer Address</w:t>
            </w:r>
          </w:p>
          <w:p w14:paraId="77363650" w14:textId="77777777" w:rsidR="00640E94" w:rsidRDefault="005A4C21" w:rsidP="00173A40">
            <w:pPr>
              <w:rPr>
                <w:rFonts w:ascii="Arial" w:hAnsi="Arial"/>
                <w:color w:val="222222"/>
                <w:shd w:val="clear" w:color="auto" w:fill="FFFFFF"/>
              </w:rPr>
            </w:pPr>
            <w:r w:rsidRPr="00173A40">
              <w:rPr>
                <w:rFonts w:ascii="Arial" w:hAnsi="Arial" w:cs="Arial"/>
                <w:color w:val="222222"/>
                <w:sz w:val="24"/>
                <w:szCs w:val="24"/>
                <w:shd w:val="clear" w:color="auto" w:fill="FFFFFF"/>
              </w:rPr>
              <w:t>3 East Third Avenue</w:t>
            </w:r>
          </w:p>
        </w:tc>
      </w:tr>
      <w:tr w:rsidR="00FC08F1" w14:paraId="2AE3F4F6" w14:textId="77777777">
        <w:tc>
          <w:tcPr>
            <w:tcW w:w="4878" w:type="dxa"/>
            <w:tcBorders>
              <w:top w:val="single" w:sz="18" w:space="0" w:color="auto"/>
              <w:bottom w:val="single" w:sz="18" w:space="0" w:color="auto"/>
              <w:right w:val="single" w:sz="18" w:space="0" w:color="auto"/>
            </w:tcBorders>
          </w:tcPr>
          <w:p w14:paraId="0F221451" w14:textId="77777777" w:rsidR="00640E94" w:rsidRDefault="005A4C21">
            <w:pPr>
              <w:pStyle w:val="BodyText"/>
              <w:spacing w:before="0"/>
              <w:rPr>
                <w:rFonts w:ascii="Arial" w:hAnsi="Arial"/>
              </w:rPr>
            </w:pPr>
            <w:r>
              <w:rPr>
                <w:rFonts w:ascii="Arial" w:hAnsi="Arial"/>
              </w:rPr>
              <w:t>City/Province/Postal Code</w:t>
            </w:r>
          </w:p>
          <w:p w14:paraId="2972247E" w14:textId="77777777" w:rsidR="00640E94" w:rsidRDefault="005A4C21">
            <w:pPr>
              <w:pStyle w:val="BodyText"/>
              <w:spacing w:before="0"/>
              <w:rPr>
                <w:rFonts w:ascii="Arial" w:hAnsi="Arial"/>
              </w:rPr>
            </w:pPr>
            <w:r>
              <w:rPr>
                <w:rFonts w:ascii="Arial" w:hAnsi="Arial" w:cs="Arial"/>
                <w:color w:val="222222"/>
                <w:shd w:val="clear" w:color="auto" w:fill="FFFFFF"/>
              </w:rPr>
              <w:t>San Mateo, California, 94401</w:t>
            </w:r>
            <w:r>
              <w:rPr>
                <w:rFonts w:ascii="Arial" w:hAnsi="Arial"/>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AEED10A" w14:textId="77777777" w:rsidR="00640E94" w:rsidRDefault="005A4C21">
            <w:pPr>
              <w:pStyle w:val="BodyText"/>
              <w:spacing w:before="0"/>
              <w:rPr>
                <w:rFonts w:ascii="Arial" w:hAnsi="Arial"/>
              </w:rPr>
            </w:pPr>
            <w:r>
              <w:rPr>
                <w:rFonts w:ascii="Arial" w:hAnsi="Arial"/>
              </w:rPr>
              <w:t>Issuer Fax No.</w:t>
            </w:r>
          </w:p>
          <w:p w14:paraId="56D62940" w14:textId="77777777" w:rsidR="00640E94" w:rsidRDefault="005A4C21">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0F95410" w14:textId="77777777" w:rsidR="00640E94" w:rsidRDefault="005A4C21">
            <w:pPr>
              <w:pStyle w:val="BodyText"/>
              <w:spacing w:before="0"/>
              <w:rPr>
                <w:rFonts w:ascii="Arial" w:hAnsi="Arial"/>
              </w:rPr>
            </w:pPr>
            <w:r>
              <w:rPr>
                <w:rFonts w:ascii="Arial" w:hAnsi="Arial"/>
              </w:rPr>
              <w:t>Issuer Telephone No.</w:t>
            </w:r>
          </w:p>
          <w:p w14:paraId="281AE585" w14:textId="77777777" w:rsidR="00640E94" w:rsidRDefault="005A4C21" w:rsidP="00F32776">
            <w:pPr>
              <w:pStyle w:val="BodyText"/>
              <w:spacing w:before="0"/>
              <w:rPr>
                <w:rFonts w:ascii="Arial" w:hAnsi="Arial"/>
              </w:rPr>
            </w:pPr>
            <w:r>
              <w:rPr>
                <w:rFonts w:ascii="Arial" w:hAnsi="Arial"/>
              </w:rPr>
              <w:t>(650) 223-5478</w:t>
            </w:r>
          </w:p>
        </w:tc>
      </w:tr>
      <w:tr w:rsidR="00FC08F1" w14:paraId="6439F1E6" w14:textId="77777777">
        <w:tc>
          <w:tcPr>
            <w:tcW w:w="4878" w:type="dxa"/>
            <w:tcBorders>
              <w:top w:val="single" w:sz="18" w:space="0" w:color="auto"/>
              <w:bottom w:val="single" w:sz="18" w:space="0" w:color="auto"/>
              <w:right w:val="single" w:sz="18" w:space="0" w:color="auto"/>
            </w:tcBorders>
          </w:tcPr>
          <w:p w14:paraId="06394C73" w14:textId="77777777" w:rsidR="00640E94" w:rsidRDefault="005A4C21">
            <w:pPr>
              <w:pStyle w:val="BodyText"/>
              <w:spacing w:before="0"/>
              <w:rPr>
                <w:rFonts w:ascii="Arial" w:hAnsi="Arial"/>
              </w:rPr>
            </w:pPr>
            <w:r>
              <w:rPr>
                <w:rFonts w:ascii="Arial" w:hAnsi="Arial"/>
              </w:rPr>
              <w:t>Contact Name</w:t>
            </w:r>
          </w:p>
          <w:p w14:paraId="5F368B67" w14:textId="77777777" w:rsidR="00640E94" w:rsidRDefault="005A4C21">
            <w:pPr>
              <w:pStyle w:val="BodyText"/>
              <w:spacing w:before="0"/>
              <w:rPr>
                <w:rFonts w:ascii="Arial" w:hAnsi="Arial"/>
              </w:rPr>
            </w:pPr>
            <w:r>
              <w:rPr>
                <w:rFonts w:ascii="Arial" w:hAnsi="Arial"/>
              </w:rPr>
              <w:t>Jessica Bornn</w:t>
            </w:r>
          </w:p>
        </w:tc>
        <w:tc>
          <w:tcPr>
            <w:tcW w:w="1800" w:type="dxa"/>
            <w:tcBorders>
              <w:top w:val="single" w:sz="18" w:space="0" w:color="auto"/>
              <w:left w:val="single" w:sz="18" w:space="0" w:color="auto"/>
              <w:bottom w:val="single" w:sz="18" w:space="0" w:color="auto"/>
              <w:right w:val="single" w:sz="18" w:space="0" w:color="auto"/>
            </w:tcBorders>
          </w:tcPr>
          <w:p w14:paraId="4A8ECE07" w14:textId="77777777" w:rsidR="00640E94" w:rsidRDefault="005A4C21">
            <w:pPr>
              <w:pStyle w:val="BodyText"/>
              <w:spacing w:before="0"/>
              <w:rPr>
                <w:rFonts w:ascii="Arial" w:hAnsi="Arial"/>
              </w:rPr>
            </w:pPr>
            <w:r>
              <w:rPr>
                <w:rFonts w:ascii="Arial" w:hAnsi="Arial"/>
              </w:rPr>
              <w:t>Contact Position</w:t>
            </w:r>
          </w:p>
          <w:p w14:paraId="6382B3B0" w14:textId="77777777" w:rsidR="00140260" w:rsidRDefault="005A4C21">
            <w:pPr>
              <w:pStyle w:val="BodyText"/>
              <w:spacing w:before="0"/>
              <w:rPr>
                <w:rFonts w:ascii="Arial" w:hAnsi="Arial"/>
              </w:rPr>
            </w:pPr>
            <w:r>
              <w:rPr>
                <w:rFonts w:ascii="Arial" w:hAnsi="Arial"/>
              </w:rPr>
              <w:t>Director of IR</w:t>
            </w:r>
          </w:p>
        </w:tc>
        <w:tc>
          <w:tcPr>
            <w:tcW w:w="2898" w:type="dxa"/>
            <w:tcBorders>
              <w:top w:val="single" w:sz="18" w:space="0" w:color="auto"/>
              <w:left w:val="single" w:sz="18" w:space="0" w:color="auto"/>
              <w:bottom w:val="single" w:sz="18" w:space="0" w:color="auto"/>
            </w:tcBorders>
          </w:tcPr>
          <w:p w14:paraId="28345C47" w14:textId="77777777" w:rsidR="00640E94" w:rsidRDefault="005A4C21">
            <w:pPr>
              <w:pStyle w:val="BodyText"/>
              <w:spacing w:before="0"/>
              <w:rPr>
                <w:rFonts w:ascii="Arial" w:hAnsi="Arial"/>
              </w:rPr>
            </w:pPr>
            <w:r>
              <w:rPr>
                <w:rFonts w:ascii="Arial" w:hAnsi="Arial"/>
              </w:rPr>
              <w:t>Contact Telephone No.</w:t>
            </w:r>
          </w:p>
          <w:p w14:paraId="7BC4D480" w14:textId="77777777" w:rsidR="00B6278B" w:rsidRDefault="008B427D">
            <w:pPr>
              <w:pStyle w:val="BodyText"/>
              <w:spacing w:before="0"/>
              <w:rPr>
                <w:rFonts w:ascii="Arial" w:hAnsi="Arial"/>
              </w:rPr>
            </w:pPr>
          </w:p>
          <w:p w14:paraId="491921FE" w14:textId="77777777" w:rsidR="00B6278B" w:rsidRDefault="005A4C21">
            <w:pPr>
              <w:pStyle w:val="BodyText"/>
              <w:spacing w:before="0"/>
              <w:rPr>
                <w:rFonts w:ascii="Arial" w:hAnsi="Arial"/>
              </w:rPr>
            </w:pPr>
            <w:r>
              <w:rPr>
                <w:rFonts w:ascii="Arial" w:hAnsi="Arial"/>
              </w:rPr>
              <w:t>650-223-4578</w:t>
            </w:r>
          </w:p>
        </w:tc>
      </w:tr>
      <w:tr w:rsidR="00FC08F1" w14:paraId="58EBD961" w14:textId="77777777">
        <w:trPr>
          <w:cantSplit/>
        </w:trPr>
        <w:tc>
          <w:tcPr>
            <w:tcW w:w="4878" w:type="dxa"/>
            <w:tcBorders>
              <w:top w:val="single" w:sz="18" w:space="0" w:color="auto"/>
              <w:bottom w:val="single" w:sz="18" w:space="0" w:color="auto"/>
              <w:right w:val="single" w:sz="18" w:space="0" w:color="auto"/>
            </w:tcBorders>
          </w:tcPr>
          <w:p w14:paraId="1E020296" w14:textId="77777777" w:rsidR="00640E94" w:rsidRDefault="005A4C21">
            <w:pPr>
              <w:pStyle w:val="BodyText"/>
              <w:spacing w:before="0"/>
              <w:rPr>
                <w:rFonts w:ascii="Arial" w:hAnsi="Arial"/>
              </w:rPr>
            </w:pPr>
            <w:r>
              <w:rPr>
                <w:rFonts w:ascii="Arial" w:hAnsi="Arial"/>
              </w:rPr>
              <w:t>Contact Email Address</w:t>
            </w:r>
          </w:p>
          <w:p w14:paraId="4E29FBE6" w14:textId="77777777" w:rsidR="00640E94" w:rsidRDefault="005A4C21">
            <w:pPr>
              <w:pStyle w:val="BodyText"/>
              <w:spacing w:before="0"/>
              <w:rPr>
                <w:rFonts w:ascii="Arial" w:hAnsi="Arial"/>
              </w:rPr>
            </w:pPr>
            <w:r>
              <w:rPr>
                <w:rFonts w:ascii="Arial" w:hAnsi="Arial"/>
              </w:rPr>
              <w:t>ir@plusproducts.com</w:t>
            </w:r>
          </w:p>
        </w:tc>
        <w:tc>
          <w:tcPr>
            <w:tcW w:w="4698" w:type="dxa"/>
            <w:gridSpan w:val="2"/>
            <w:tcBorders>
              <w:top w:val="single" w:sz="18" w:space="0" w:color="auto"/>
              <w:left w:val="single" w:sz="18" w:space="0" w:color="auto"/>
              <w:bottom w:val="single" w:sz="18" w:space="0" w:color="auto"/>
            </w:tcBorders>
          </w:tcPr>
          <w:p w14:paraId="3BB1845E" w14:textId="77777777" w:rsidR="00640E94" w:rsidRDefault="005A4C21">
            <w:pPr>
              <w:pStyle w:val="BodyText"/>
              <w:spacing w:before="0"/>
              <w:rPr>
                <w:rFonts w:ascii="Arial" w:hAnsi="Arial"/>
              </w:rPr>
            </w:pPr>
            <w:r>
              <w:rPr>
                <w:rFonts w:ascii="Arial" w:hAnsi="Arial"/>
              </w:rPr>
              <w:t>Web Site Address</w:t>
            </w:r>
          </w:p>
          <w:p w14:paraId="242FCD83" w14:textId="77777777" w:rsidR="00640E94" w:rsidRDefault="005A4C21">
            <w:pPr>
              <w:pStyle w:val="BodyText"/>
              <w:spacing w:before="0"/>
              <w:rPr>
                <w:rFonts w:ascii="Arial" w:hAnsi="Arial"/>
              </w:rPr>
            </w:pPr>
            <w:r>
              <w:rPr>
                <w:rFonts w:ascii="Arial" w:hAnsi="Arial"/>
              </w:rPr>
              <w:t>www.plusproducts.com</w:t>
            </w:r>
          </w:p>
        </w:tc>
      </w:tr>
    </w:tbl>
    <w:p w14:paraId="6AFF4051" w14:textId="77777777" w:rsidR="00640E94" w:rsidRDefault="008B427D" w:rsidP="00922A46">
      <w:pPr>
        <w:pStyle w:val="BodyText"/>
      </w:pPr>
    </w:p>
    <w:sectPr w:rsidR="00640E94" w:rsidSect="00900B2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8E4C" w14:textId="77777777" w:rsidR="008B427D" w:rsidRDefault="008B427D">
      <w:r>
        <w:separator/>
      </w:r>
    </w:p>
  </w:endnote>
  <w:endnote w:type="continuationSeparator" w:id="0">
    <w:p w14:paraId="1CD7975F"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6997" w14:textId="77777777" w:rsidR="000E1628" w:rsidRDefault="008B4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E40E" w14:textId="77777777" w:rsidR="00640E94" w:rsidRDefault="008B427D">
    <w:pPr>
      <w:pStyle w:val="Footer"/>
      <w:tabs>
        <w:tab w:val="clear" w:pos="4320"/>
        <w:tab w:val="clear" w:pos="8640"/>
        <w:tab w:val="center" w:pos="4680"/>
        <w:tab w:val="right" w:pos="9360"/>
      </w:tabs>
      <w:rPr>
        <w:b/>
      </w:rPr>
    </w:pPr>
  </w:p>
  <w:p w14:paraId="0BB9A9EE" w14:textId="77777777" w:rsidR="00640E94" w:rsidRDefault="005A4C21"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60288" behindDoc="0" locked="0" layoutInCell="1" allowOverlap="1" wp14:anchorId="1DA62DA0" wp14:editId="0B310D4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434F"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6CB8D5D1" w14:textId="77777777" w:rsidR="00640E94" w:rsidRPr="006D1A06" w:rsidRDefault="005A4C2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2018</w:t>
    </w:r>
  </w:p>
  <w:p w14:paraId="09EFA246" w14:textId="77777777" w:rsidR="00640E94" w:rsidRDefault="005A4C21"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7</w:t>
    </w:r>
    <w:r w:rsidRPr="006D1A06">
      <w:rPr>
        <w:rStyle w:val="PageNumber"/>
        <w:rFonts w:ascii="Arial" w:hAnsi="Arial" w:cs="Arial"/>
        <w:sz w:val="16"/>
        <w:szCs w:val="16"/>
      </w:rPr>
      <w:fldChar w:fldCharType="end"/>
    </w:r>
  </w:p>
  <w:p w14:paraId="493107E8" w14:textId="77777777" w:rsidR="00FE4669" w:rsidRPr="006D1A06" w:rsidRDefault="005A4C21" w:rsidP="00FE4669">
    <w:pPr>
      <w:pStyle w:val="Footer"/>
      <w:tabs>
        <w:tab w:val="clear" w:pos="8640"/>
        <w:tab w:val="left" w:pos="6930"/>
        <w:tab w:val="right" w:pos="9360"/>
      </w:tabs>
      <w:rPr>
        <w:rFonts w:ascii="Arial" w:hAnsi="Arial" w:cs="Arial"/>
        <w:color w:val="000000"/>
        <w:sz w:val="16"/>
        <w:szCs w:val="16"/>
      </w:rPr>
    </w:pPr>
    <w:r w:rsidRPr="00FE4669">
      <w:rPr>
        <w:rStyle w:val="DocID"/>
      </w:rPr>
      <w:fldChar w:fldCharType="begin"/>
    </w:r>
    <w:r w:rsidRPr="00FE4669">
      <w:rPr>
        <w:rStyle w:val="DocID"/>
      </w:rPr>
      <w:instrText xml:space="preserve"> DOCPROPERTY "DocID" \* MERGEFORMAT </w:instrText>
    </w:r>
    <w:r w:rsidRPr="00FE4669">
      <w:rPr>
        <w:rStyle w:val="DocID"/>
      </w:rPr>
      <w:fldChar w:fldCharType="separate"/>
    </w:r>
    <w:r w:rsidRPr="000E1628">
      <w:rPr>
        <w:rStyle w:val="DocID"/>
      </w:rPr>
      <w:t>LEGAL_31136058.1</w:t>
    </w:r>
    <w:r w:rsidRPr="00FE4669">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C74B" w14:textId="77777777" w:rsidR="00640E94" w:rsidRDefault="008B427D">
    <w:pPr>
      <w:pStyle w:val="Footer"/>
      <w:tabs>
        <w:tab w:val="clear" w:pos="4320"/>
        <w:tab w:val="clear" w:pos="8640"/>
        <w:tab w:val="center" w:pos="4680"/>
        <w:tab w:val="right" w:pos="9360"/>
      </w:tabs>
      <w:rPr>
        <w:b/>
        <w:color w:val="000000"/>
      </w:rPr>
    </w:pPr>
  </w:p>
  <w:p w14:paraId="13C4435E" w14:textId="77777777" w:rsidR="00640E94" w:rsidRDefault="005A4C21"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73D6E81B" wp14:editId="16933E0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56A3"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6B592CAF" w14:textId="77777777" w:rsidR="000A1AB1" w:rsidRPr="00635E9A" w:rsidRDefault="005A4C2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1436F9" w14:textId="77777777" w:rsidR="00640E94" w:rsidRPr="00635E9A" w:rsidRDefault="005A4C2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A09E8" w14:textId="77777777" w:rsidR="008B427D" w:rsidRDefault="008B427D">
      <w:r>
        <w:separator/>
      </w:r>
    </w:p>
  </w:footnote>
  <w:footnote w:type="continuationSeparator" w:id="0">
    <w:p w14:paraId="1AFBAFEF" w14:textId="77777777" w:rsidR="008B427D" w:rsidRDefault="008B4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327A" w14:textId="77777777" w:rsidR="00640E94" w:rsidRDefault="005A4C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0959A5" w14:textId="77777777" w:rsidR="00640E94" w:rsidRDefault="008B4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1263" w14:textId="77777777" w:rsidR="00640E94" w:rsidRDefault="008B427D">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D967" w14:textId="77777777" w:rsidR="000E1628" w:rsidRDefault="008B427D">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70484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2B45B58"/>
    <w:multiLevelType w:val="hybridMultilevel"/>
    <w:tmpl w:val="AB08D0B8"/>
    <w:lvl w:ilvl="0" w:tplc="75FA65EA">
      <w:numFmt w:val="bullet"/>
      <w:lvlText w:val="-"/>
      <w:lvlJc w:val="left"/>
      <w:pPr>
        <w:ind w:left="720" w:hanging="360"/>
      </w:pPr>
      <w:rPr>
        <w:rFonts w:ascii="Arial" w:eastAsia="Times New Roman" w:hAnsi="Arial" w:cs="Arial" w:hint="default"/>
      </w:rPr>
    </w:lvl>
    <w:lvl w:ilvl="1" w:tplc="3DB8392A">
      <w:start w:val="1"/>
      <w:numFmt w:val="bullet"/>
      <w:lvlText w:val="o"/>
      <w:lvlJc w:val="left"/>
      <w:pPr>
        <w:ind w:left="1440" w:hanging="360"/>
      </w:pPr>
      <w:rPr>
        <w:rFonts w:ascii="Courier New" w:hAnsi="Courier New" w:cs="Courier New" w:hint="default"/>
      </w:rPr>
    </w:lvl>
    <w:lvl w:ilvl="2" w:tplc="67A49130" w:tentative="1">
      <w:start w:val="1"/>
      <w:numFmt w:val="bullet"/>
      <w:lvlText w:val=""/>
      <w:lvlJc w:val="left"/>
      <w:pPr>
        <w:ind w:left="2160" w:hanging="360"/>
      </w:pPr>
      <w:rPr>
        <w:rFonts w:ascii="Wingdings" w:hAnsi="Wingdings" w:hint="default"/>
      </w:rPr>
    </w:lvl>
    <w:lvl w:ilvl="3" w:tplc="5DAC189A" w:tentative="1">
      <w:start w:val="1"/>
      <w:numFmt w:val="bullet"/>
      <w:lvlText w:val=""/>
      <w:lvlJc w:val="left"/>
      <w:pPr>
        <w:ind w:left="2880" w:hanging="360"/>
      </w:pPr>
      <w:rPr>
        <w:rFonts w:ascii="Symbol" w:hAnsi="Symbol" w:hint="default"/>
      </w:rPr>
    </w:lvl>
    <w:lvl w:ilvl="4" w:tplc="24D0B176" w:tentative="1">
      <w:start w:val="1"/>
      <w:numFmt w:val="bullet"/>
      <w:lvlText w:val="o"/>
      <w:lvlJc w:val="left"/>
      <w:pPr>
        <w:ind w:left="3600" w:hanging="360"/>
      </w:pPr>
      <w:rPr>
        <w:rFonts w:ascii="Courier New" w:hAnsi="Courier New" w:cs="Courier New" w:hint="default"/>
      </w:rPr>
    </w:lvl>
    <w:lvl w:ilvl="5" w:tplc="8578D668" w:tentative="1">
      <w:start w:val="1"/>
      <w:numFmt w:val="bullet"/>
      <w:lvlText w:val=""/>
      <w:lvlJc w:val="left"/>
      <w:pPr>
        <w:ind w:left="4320" w:hanging="360"/>
      </w:pPr>
      <w:rPr>
        <w:rFonts w:ascii="Wingdings" w:hAnsi="Wingdings" w:hint="default"/>
      </w:rPr>
    </w:lvl>
    <w:lvl w:ilvl="6" w:tplc="00287108" w:tentative="1">
      <w:start w:val="1"/>
      <w:numFmt w:val="bullet"/>
      <w:lvlText w:val=""/>
      <w:lvlJc w:val="left"/>
      <w:pPr>
        <w:ind w:left="5040" w:hanging="360"/>
      </w:pPr>
      <w:rPr>
        <w:rFonts w:ascii="Symbol" w:hAnsi="Symbol" w:hint="default"/>
      </w:rPr>
    </w:lvl>
    <w:lvl w:ilvl="7" w:tplc="E2461AD4" w:tentative="1">
      <w:start w:val="1"/>
      <w:numFmt w:val="bullet"/>
      <w:lvlText w:val="o"/>
      <w:lvlJc w:val="left"/>
      <w:pPr>
        <w:ind w:left="5760" w:hanging="360"/>
      </w:pPr>
      <w:rPr>
        <w:rFonts w:ascii="Courier New" w:hAnsi="Courier New" w:cs="Courier New" w:hint="default"/>
      </w:rPr>
    </w:lvl>
    <w:lvl w:ilvl="8" w:tplc="7D2A243C" w:tentative="1">
      <w:start w:val="1"/>
      <w:numFmt w:val="bullet"/>
      <w:lvlText w:val=""/>
      <w:lvlJc w:val="left"/>
      <w:pPr>
        <w:ind w:left="6480" w:hanging="360"/>
      </w:pPr>
      <w:rPr>
        <w:rFonts w:ascii="Wingdings" w:hAnsi="Wingding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4"/>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3"/>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5"/>
  </w:num>
  <w:num w:numId="26">
    <w:abstractNumId w:val="26"/>
  </w:num>
  <w:num w:numId="27">
    <w:abstractNumId w:val="28"/>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F1"/>
    <w:rsid w:val="00146478"/>
    <w:rsid w:val="005A4C21"/>
    <w:rsid w:val="00646A3A"/>
    <w:rsid w:val="008B427D"/>
    <w:rsid w:val="00AA511F"/>
    <w:rsid w:val="00B44999"/>
    <w:rsid w:val="00B45013"/>
    <w:rsid w:val="00EC26FB"/>
    <w:rsid w:val="00FC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34801"/>
  <w15:docId w15:val="{4406FAFA-3A14-4988-809B-5DB44E29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A74B1"/>
    <w:pPr>
      <w:ind w:left="720"/>
      <w:contextualSpacing/>
    </w:pPr>
  </w:style>
  <w:style w:type="character" w:customStyle="1" w:styleId="DocID">
    <w:name w:val="DocID"/>
    <w:basedOn w:val="DefaultParagraphFont"/>
    <w:rsid w:val="00FE4669"/>
    <w:rPr>
      <w:rFonts w:ascii="Verdana" w:hAnsi="Verdana"/>
      <w:color w:val="000000"/>
      <w:sz w:val="14"/>
    </w:rPr>
  </w:style>
  <w:style w:type="character" w:styleId="CommentReference">
    <w:name w:val="annotation reference"/>
    <w:basedOn w:val="DefaultParagraphFont"/>
    <w:uiPriority w:val="99"/>
    <w:semiHidden/>
    <w:unhideWhenUsed/>
    <w:rsid w:val="00117F24"/>
    <w:rPr>
      <w:sz w:val="16"/>
      <w:szCs w:val="16"/>
    </w:rPr>
  </w:style>
  <w:style w:type="paragraph" w:styleId="CommentText">
    <w:name w:val="annotation text"/>
    <w:basedOn w:val="Normal"/>
    <w:link w:val="CommentTextChar"/>
    <w:uiPriority w:val="99"/>
    <w:semiHidden/>
    <w:unhideWhenUsed/>
    <w:rsid w:val="00117F24"/>
  </w:style>
  <w:style w:type="character" w:customStyle="1" w:styleId="CommentTextChar">
    <w:name w:val="Comment Text Char"/>
    <w:basedOn w:val="DefaultParagraphFont"/>
    <w:link w:val="CommentText"/>
    <w:uiPriority w:val="99"/>
    <w:semiHidden/>
    <w:rsid w:val="00117F24"/>
  </w:style>
  <w:style w:type="paragraph" w:styleId="CommentSubject">
    <w:name w:val="annotation subject"/>
    <w:basedOn w:val="CommentText"/>
    <w:next w:val="CommentText"/>
    <w:link w:val="CommentSubjectChar"/>
    <w:uiPriority w:val="99"/>
    <w:semiHidden/>
    <w:unhideWhenUsed/>
    <w:rsid w:val="00117F24"/>
    <w:rPr>
      <w:b/>
      <w:bCs/>
    </w:rPr>
  </w:style>
  <w:style w:type="character" w:customStyle="1" w:styleId="CommentSubjectChar">
    <w:name w:val="Comment Subject Char"/>
    <w:basedOn w:val="CommentTextChar"/>
    <w:link w:val="CommentSubject"/>
    <w:uiPriority w:val="99"/>
    <w:semiHidden/>
    <w:rsid w:val="00117F24"/>
    <w:rPr>
      <w:b/>
      <w:bCs/>
    </w:rPr>
  </w:style>
  <w:style w:type="character" w:customStyle="1" w:styleId="m7502254184816390525gmail-il">
    <w:name w:val="m_7502254184816390525gmail-il"/>
    <w:basedOn w:val="DefaultParagraphFont"/>
    <w:rsid w:val="00AF449B"/>
  </w:style>
  <w:style w:type="table" w:styleId="TableGrid">
    <w:name w:val="Table Grid"/>
    <w:basedOn w:val="TableNormal"/>
    <w:uiPriority w:val="59"/>
    <w:rsid w:val="0010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2019-05-07T01:35:00Z</dcterms:created>
  <dcterms:modified xsi:type="dcterms:W3CDTF">2019-05-07T01:35:00Z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LEGAL_31136058.1</vt:lpwstr>
  </property>
</Properties>
</file>