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648B590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00DF5" w:rsidRPr="00800DF5">
        <w:rPr>
          <w:rFonts w:ascii="Arial" w:hAnsi="Arial"/>
          <w:color w:val="000000"/>
        </w:rPr>
        <w:t xml:space="preserve">CHIMATA GOLD CORP.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177BDD6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F5931" w:rsidRPr="00B65447">
        <w:rPr>
          <w:rFonts w:ascii="Arial" w:hAnsi="Arial"/>
          <w:color w:val="000000"/>
        </w:rPr>
        <w:t>39</w:t>
      </w:r>
      <w:r w:rsidR="00B65447" w:rsidRPr="00B65447">
        <w:rPr>
          <w:rFonts w:ascii="Arial" w:hAnsi="Arial"/>
          <w:color w:val="000000"/>
        </w:rPr>
        <w:t>,152,270</w:t>
      </w:r>
    </w:p>
    <w:p w14:paraId="477C2FB0" w14:textId="740E995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608FF">
        <w:rPr>
          <w:rFonts w:ascii="Arial" w:hAnsi="Arial"/>
          <w:color w:val="000000"/>
        </w:rPr>
        <w:t>October</w:t>
      </w:r>
      <w:r w:rsidR="00B65447" w:rsidRPr="00B65447">
        <w:rPr>
          <w:rFonts w:ascii="Arial" w:hAnsi="Arial"/>
          <w:color w:val="000000"/>
        </w:rPr>
        <w:t xml:space="preserve"> 1, 2018</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A6AB258" w14:textId="6A996208" w:rsidR="00713C5A" w:rsidRDefault="00B65447" w:rsidP="00B65447">
      <w:pPr>
        <w:pStyle w:val="List"/>
        <w:spacing w:before="120"/>
        <w:ind w:left="720" w:firstLine="0"/>
        <w:jc w:val="both"/>
        <w:rPr>
          <w:rFonts w:ascii="Arial" w:hAnsi="Arial"/>
          <w:i/>
          <w:lang w:val="en-US"/>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1608FF">
        <w:rPr>
          <w:rFonts w:ascii="Arial" w:hAnsi="Arial"/>
          <w:i/>
        </w:rPr>
        <w:t>September</w:t>
      </w:r>
      <w:r w:rsidR="002140FE">
        <w:rPr>
          <w:rFonts w:ascii="Arial" w:hAnsi="Arial"/>
          <w:i/>
        </w:rPr>
        <w:t>,</w:t>
      </w:r>
      <w:r>
        <w:rPr>
          <w:rFonts w:ascii="Arial" w:hAnsi="Arial"/>
          <w:i/>
        </w:rPr>
        <w:t xml:space="preserve"> </w:t>
      </w:r>
      <w:r w:rsidRPr="00B65447">
        <w:rPr>
          <w:rFonts w:ascii="Arial" w:hAnsi="Arial"/>
          <w:i/>
        </w:rPr>
        <w:t xml:space="preserve">the </w:t>
      </w:r>
      <w:r>
        <w:rPr>
          <w:rFonts w:ascii="Arial" w:hAnsi="Arial"/>
          <w:i/>
        </w:rPr>
        <w:t>C</w:t>
      </w:r>
      <w:r w:rsidRPr="00B65447">
        <w:rPr>
          <w:rFonts w:ascii="Arial" w:hAnsi="Arial"/>
          <w:i/>
        </w:rPr>
        <w:t>ompany</w:t>
      </w:r>
      <w:r w:rsidR="007D768A">
        <w:rPr>
          <w:rFonts w:ascii="Arial" w:hAnsi="Arial"/>
          <w:i/>
        </w:rPr>
        <w:t xml:space="preserve"> </w:t>
      </w:r>
      <w:r w:rsidR="001608FF">
        <w:rPr>
          <w:rFonts w:ascii="Arial" w:hAnsi="Arial"/>
          <w:i/>
        </w:rPr>
        <w:t xml:space="preserve">received x-ray diffraction results for selected samples from the recently completed drill program at the </w:t>
      </w:r>
      <w:proofErr w:type="spellStart"/>
      <w:r w:rsidR="001608FF">
        <w:rPr>
          <w:rFonts w:ascii="Arial" w:hAnsi="Arial"/>
          <w:i/>
        </w:rPr>
        <w:t>Kamativi</w:t>
      </w:r>
      <w:proofErr w:type="spellEnd"/>
      <w:r w:rsidR="001608FF">
        <w:rPr>
          <w:rFonts w:ascii="Arial" w:hAnsi="Arial"/>
          <w:i/>
        </w:rPr>
        <w:t xml:space="preserve"> Tailings Lithium Project. The purpose of the analysis was to identify and quantify all minerals present with </w:t>
      </w:r>
      <w:proofErr w:type="spellStart"/>
      <w:r w:rsidR="001608FF">
        <w:rPr>
          <w:rFonts w:ascii="Arial" w:hAnsi="Arial"/>
          <w:i/>
        </w:rPr>
        <w:t>a</w:t>
      </w:r>
      <w:proofErr w:type="spellEnd"/>
      <w:r w:rsidR="001608FF">
        <w:rPr>
          <w:rFonts w:ascii="Arial" w:hAnsi="Arial"/>
          <w:i/>
        </w:rPr>
        <w:t xml:space="preserve"> specific focus on the lithium bearing minerals. The </w:t>
      </w:r>
      <w:r w:rsidR="001608FF">
        <w:rPr>
          <w:rFonts w:ascii="Arial" w:hAnsi="Arial"/>
          <w:i/>
        </w:rPr>
        <w:lastRenderedPageBreak/>
        <w:t>results</w:t>
      </w:r>
      <w:r w:rsidR="002140FE">
        <w:rPr>
          <w:rFonts w:ascii="Arial" w:hAnsi="Arial"/>
          <w:i/>
        </w:rPr>
        <w:t xml:space="preserve"> of the analysis confirm Spodumene as the predominant lithium bearing species.</w:t>
      </w:r>
      <w:r w:rsidR="001608FF">
        <w:rPr>
          <w:rFonts w:ascii="Arial" w:hAnsi="Arial"/>
          <w:i/>
        </w:rPr>
        <w:t xml:space="preserve"> </w:t>
      </w:r>
      <w:r w:rsidR="00BB7E6B">
        <w:rPr>
          <w:rFonts w:ascii="Arial" w:hAnsi="Arial"/>
          <w:i/>
          <w:lang w:val="en-US"/>
        </w:rPr>
        <w:t xml:space="preserve">(News release of </w:t>
      </w:r>
      <w:r w:rsidR="002140FE">
        <w:rPr>
          <w:rFonts w:ascii="Arial" w:hAnsi="Arial"/>
          <w:i/>
          <w:lang w:val="en-US"/>
        </w:rPr>
        <w:t>September</w:t>
      </w:r>
      <w:r w:rsidR="00BB7E6B">
        <w:rPr>
          <w:rFonts w:ascii="Arial" w:hAnsi="Arial"/>
          <w:i/>
          <w:lang w:val="en-US"/>
        </w:rPr>
        <w:t xml:space="preserve"> 13, 2018)</w:t>
      </w:r>
    </w:p>
    <w:p w14:paraId="1952B057" w14:textId="1443AE82" w:rsidR="002140FE" w:rsidRDefault="002140FE" w:rsidP="00B65447">
      <w:pPr>
        <w:pStyle w:val="List"/>
        <w:spacing w:before="120"/>
        <w:ind w:left="720" w:firstLine="0"/>
        <w:jc w:val="both"/>
        <w:rPr>
          <w:rFonts w:ascii="Arial" w:hAnsi="Arial"/>
          <w:i/>
        </w:rPr>
      </w:pPr>
    </w:p>
    <w:p w14:paraId="038A6DD9" w14:textId="41EB651F" w:rsidR="002140FE" w:rsidRDefault="002140FE" w:rsidP="00B65447">
      <w:pPr>
        <w:pStyle w:val="List"/>
        <w:spacing w:before="120"/>
        <w:ind w:left="720" w:firstLine="0"/>
        <w:jc w:val="both"/>
        <w:rPr>
          <w:rFonts w:ascii="Arial" w:hAnsi="Arial"/>
          <w:i/>
        </w:rPr>
      </w:pPr>
      <w:r>
        <w:rPr>
          <w:rFonts w:ascii="Arial" w:hAnsi="Arial"/>
          <w:i/>
        </w:rPr>
        <w:t>The Company also commenced a Dense Media Separation Metallurgical Test Program on a 7.5 tonne bulk sample grading 0.88% Li</w:t>
      </w:r>
      <w:r w:rsidRPr="002140FE">
        <w:rPr>
          <w:rFonts w:ascii="Arial" w:hAnsi="Arial"/>
          <w:i/>
          <w:vertAlign w:val="subscript"/>
        </w:rPr>
        <w:t>2</w:t>
      </w:r>
      <w:r>
        <w:rPr>
          <w:rFonts w:ascii="Arial" w:hAnsi="Arial"/>
          <w:i/>
        </w:rPr>
        <w:t xml:space="preserve">O generated from the </w:t>
      </w:r>
      <w:proofErr w:type="spellStart"/>
      <w:r>
        <w:rPr>
          <w:rFonts w:ascii="Arial" w:hAnsi="Arial"/>
          <w:i/>
        </w:rPr>
        <w:t>Kamativi</w:t>
      </w:r>
      <w:proofErr w:type="spellEnd"/>
      <w:r>
        <w:rPr>
          <w:rFonts w:ascii="Arial" w:hAnsi="Arial"/>
          <w:i/>
        </w:rPr>
        <w:t xml:space="preserve"> Tailings Lithium Project. (News release of September 18, 2018)</w:t>
      </w:r>
      <w:r w:rsidR="00AB4C0B">
        <w:rPr>
          <w:rFonts w:ascii="Arial" w:hAnsi="Arial"/>
          <w:i/>
        </w:rPr>
        <w:t xml:space="preserve"> </w:t>
      </w:r>
    </w:p>
    <w:p w14:paraId="7E93211D" w14:textId="6D6A40FB" w:rsidR="00AB4C0B" w:rsidRDefault="00AB4C0B" w:rsidP="00B65447">
      <w:pPr>
        <w:pStyle w:val="List"/>
        <w:spacing w:before="120"/>
        <w:ind w:left="720" w:firstLine="0"/>
        <w:jc w:val="both"/>
        <w:rPr>
          <w:rFonts w:ascii="Arial" w:hAnsi="Arial"/>
          <w:i/>
        </w:rPr>
      </w:pPr>
    </w:p>
    <w:p w14:paraId="204BC94F" w14:textId="2071664A" w:rsidR="00AB4C0B" w:rsidRDefault="00AB4C0B" w:rsidP="00B65447">
      <w:pPr>
        <w:pStyle w:val="List"/>
        <w:spacing w:before="120"/>
        <w:ind w:left="720" w:firstLine="0"/>
        <w:jc w:val="both"/>
        <w:rPr>
          <w:rFonts w:ascii="Arial" w:hAnsi="Arial"/>
          <w:i/>
        </w:rPr>
      </w:pPr>
      <w:r>
        <w:rPr>
          <w:rFonts w:ascii="Arial" w:hAnsi="Arial"/>
          <w:i/>
        </w:rPr>
        <w:t xml:space="preserve">The Company released a maiden Mineral Resource Statement for the </w:t>
      </w:r>
      <w:proofErr w:type="spellStart"/>
      <w:r>
        <w:rPr>
          <w:rFonts w:ascii="Arial" w:hAnsi="Arial"/>
          <w:i/>
        </w:rPr>
        <w:t>Kamativi</w:t>
      </w:r>
      <w:proofErr w:type="spellEnd"/>
      <w:r>
        <w:rPr>
          <w:rFonts w:ascii="Arial" w:hAnsi="Arial"/>
          <w:i/>
        </w:rPr>
        <w:t xml:space="preserve"> Tailings Lithium project that was prepared by the MSA Group (Pty) Ltd. The Statement was based on a wide variety of analyses of work programs undertaken between March and June 2018</w:t>
      </w:r>
      <w:r w:rsidR="0040335D">
        <w:rPr>
          <w:rFonts w:ascii="Arial" w:hAnsi="Arial"/>
          <w:i/>
        </w:rPr>
        <w:t xml:space="preserve">. </w:t>
      </w:r>
      <w:r w:rsidR="0040335D" w:rsidRPr="0040335D">
        <w:rPr>
          <w:rFonts w:ascii="Arial" w:hAnsi="Arial"/>
          <w:i/>
          <w:lang w:val="en-US"/>
        </w:rPr>
        <w:t>The Mineral Resource was estimated using the Canadian Institute of Mining, Metallurgy and Petroleum (CIM) Best Practice Guidelines and is reported in accordance with the 2014 CIM Definition Standards, which have been incorporated by reference into National Instrument 43-101 – Standards of Disclosure for Mineral Projects (“NI 43- 101”). The Mineral Resource is classified into the Indicated and Inferred categories</w:t>
      </w:r>
      <w:r w:rsidR="0040335D">
        <w:rPr>
          <w:rFonts w:ascii="Arial" w:hAnsi="Arial"/>
          <w:i/>
          <w:lang w:val="en-US"/>
        </w:rPr>
        <w:t>.</w:t>
      </w:r>
      <w:r w:rsidR="0040335D" w:rsidRPr="0040335D">
        <w:rPr>
          <w:rFonts w:ascii="Arial" w:hAnsi="Arial"/>
          <w:i/>
          <w:lang w:val="en-US"/>
        </w:rPr>
        <w:t xml:space="preserve"> </w:t>
      </w:r>
      <w:r w:rsidR="004808C0" w:rsidRPr="004808C0">
        <w:rPr>
          <w:rFonts w:ascii="Arial" w:hAnsi="Arial"/>
          <w:i/>
          <w:lang w:val="en-US"/>
        </w:rPr>
        <w:t>The Mineral Resource is reported for the total tailings’ storage facility. The lowest Li2O block estimate is 0.22% whic</w:t>
      </w:r>
      <w:r w:rsidR="004808C0">
        <w:rPr>
          <w:rFonts w:ascii="Arial" w:hAnsi="Arial"/>
          <w:i/>
          <w:lang w:val="en-US"/>
        </w:rPr>
        <w:t xml:space="preserve">h </w:t>
      </w:r>
      <w:r w:rsidR="004808C0" w:rsidRPr="004808C0">
        <w:rPr>
          <w:rFonts w:ascii="Arial" w:hAnsi="Arial"/>
          <w:i/>
          <w:lang w:val="en-US"/>
        </w:rPr>
        <w:t>has reasonable prospects for eventual economic extraction, particularly given the anticipated low-cost bulk mining and non-selective nature of tailings storage facility reclamation and the outcome of initial metallurgical test work combined with the project located on a historical mine site. Preliminary mineral processing and metallurgical test work indicates that a concentrate of a commercially acceptable specification can be produced.</w:t>
      </w:r>
      <w:r w:rsidR="004808C0">
        <w:rPr>
          <w:rFonts w:ascii="Arial" w:hAnsi="Arial"/>
          <w:i/>
          <w:lang w:val="en-US"/>
        </w:rPr>
        <w:t xml:space="preserve"> (News release of September 20, 2018)</w:t>
      </w:r>
    </w:p>
    <w:p w14:paraId="2DFD2E52" w14:textId="41C0D29C"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D5C84BD" w14:textId="288679BB" w:rsidR="00BB7E6B" w:rsidRPr="00166B55" w:rsidRDefault="00AA1EAC" w:rsidP="00BB7E6B">
      <w:pPr>
        <w:pStyle w:val="List"/>
        <w:spacing w:before="120"/>
        <w:ind w:left="720" w:firstLine="0"/>
        <w:jc w:val="both"/>
        <w:rPr>
          <w:rFonts w:ascii="Arial" w:hAnsi="Arial"/>
          <w:i/>
        </w:rPr>
      </w:pPr>
      <w:r>
        <w:rPr>
          <w:rFonts w:ascii="Arial" w:hAnsi="Arial"/>
          <w:i/>
          <w:lang w:val="en-US"/>
        </w:rPr>
        <w:t>Company</w:t>
      </w:r>
      <w:r w:rsidR="004808C0">
        <w:rPr>
          <w:rFonts w:ascii="Arial" w:hAnsi="Arial"/>
          <w:i/>
          <w:lang w:val="en-US"/>
        </w:rPr>
        <w:t xml:space="preserve"> management continued to monitor and manage activities relating to ongoing testing and reporting of results in connection with the </w:t>
      </w:r>
      <w:proofErr w:type="spellStart"/>
      <w:r w:rsidR="004808C0">
        <w:rPr>
          <w:rFonts w:ascii="Arial" w:hAnsi="Arial"/>
          <w:i/>
          <w:lang w:val="en-US"/>
        </w:rPr>
        <w:t>Kamativi</w:t>
      </w:r>
      <w:proofErr w:type="spellEnd"/>
      <w:r w:rsidR="004808C0">
        <w:rPr>
          <w:rFonts w:ascii="Arial" w:hAnsi="Arial"/>
          <w:i/>
          <w:lang w:val="en-US"/>
        </w:rPr>
        <w:t xml:space="preserve"> Lithium Tailings Project. Management also continued to pursue</w:t>
      </w:r>
      <w:r w:rsidR="00912CAD">
        <w:rPr>
          <w:rFonts w:ascii="Arial" w:hAnsi="Arial"/>
          <w:i/>
          <w:lang w:val="en-US"/>
        </w:rPr>
        <w:t xml:space="preserve"> discussion regarding</w:t>
      </w:r>
      <w:r w:rsidR="004808C0">
        <w:rPr>
          <w:rFonts w:ascii="Arial" w:hAnsi="Arial"/>
          <w:i/>
          <w:lang w:val="en-US"/>
        </w:rPr>
        <w:t xml:space="preserve"> potential business opportunities </w:t>
      </w:r>
      <w:r w:rsidR="00912CAD">
        <w:rPr>
          <w:rFonts w:ascii="Arial" w:hAnsi="Arial"/>
          <w:i/>
          <w:lang w:val="en-US"/>
        </w:rPr>
        <w:t xml:space="preserve">and corporate marketing initiatives. </w:t>
      </w:r>
      <w:bookmarkStart w:id="5" w:name="_Hlk526859037"/>
      <w:proofErr w:type="spellStart"/>
      <w:r w:rsidR="00912CAD">
        <w:rPr>
          <w:rFonts w:ascii="Arial" w:hAnsi="Arial"/>
          <w:i/>
          <w:lang w:val="en-US"/>
        </w:rPr>
        <w:t>Questrade</w:t>
      </w:r>
      <w:proofErr w:type="spellEnd"/>
      <w:r w:rsidR="00912CAD">
        <w:rPr>
          <w:rFonts w:ascii="Arial" w:hAnsi="Arial"/>
          <w:i/>
          <w:lang w:val="en-US"/>
        </w:rPr>
        <w:t xml:space="preserve"> Inc. was retained to provide market-making services for a period of 6 months at a cost of $4,500 per month. </w:t>
      </w:r>
      <w:proofErr w:type="spellStart"/>
      <w:r w:rsidR="00912CAD" w:rsidRPr="00912CAD">
        <w:rPr>
          <w:rFonts w:ascii="Arial" w:hAnsi="Arial"/>
          <w:i/>
          <w:lang w:val="en-US"/>
        </w:rPr>
        <w:t>Questrade</w:t>
      </w:r>
      <w:proofErr w:type="spellEnd"/>
      <w:r w:rsidR="00912CAD" w:rsidRPr="00912CAD">
        <w:rPr>
          <w:rFonts w:ascii="Arial" w:hAnsi="Arial"/>
          <w:i/>
          <w:lang w:val="en-US"/>
        </w:rPr>
        <w:t xml:space="preserve">, Inc. provides Canadians with high-speed, direct-access trading in the U.S. and Canadian stock and options markets through its IQ trading platforms. </w:t>
      </w:r>
      <w:proofErr w:type="spellStart"/>
      <w:r w:rsidR="00912CAD" w:rsidRPr="00912CAD">
        <w:rPr>
          <w:rFonts w:ascii="Arial" w:hAnsi="Arial"/>
          <w:i/>
          <w:lang w:val="en-US"/>
        </w:rPr>
        <w:t>Questrade</w:t>
      </w:r>
      <w:proofErr w:type="spellEnd"/>
      <w:r w:rsidR="00912CAD" w:rsidRPr="00912CAD">
        <w:rPr>
          <w:rFonts w:ascii="Arial" w:hAnsi="Arial"/>
          <w:i/>
          <w:lang w:val="en-US"/>
        </w:rPr>
        <w:t xml:space="preserve"> offers market-making services on behalf of TSX</w:t>
      </w:r>
      <w:r w:rsidR="00912CAD">
        <w:rPr>
          <w:rFonts w:ascii="Arial" w:hAnsi="Arial"/>
          <w:i/>
          <w:lang w:val="en-US"/>
        </w:rPr>
        <w:t xml:space="preserve">, </w:t>
      </w:r>
      <w:r w:rsidR="00912CAD" w:rsidRPr="00912CAD">
        <w:rPr>
          <w:rFonts w:ascii="Arial" w:hAnsi="Arial"/>
          <w:i/>
          <w:lang w:val="en-US"/>
        </w:rPr>
        <w:t>TSX Venture Exchange</w:t>
      </w:r>
      <w:r w:rsidR="00912CAD">
        <w:rPr>
          <w:rFonts w:ascii="Arial" w:hAnsi="Arial"/>
          <w:i/>
          <w:lang w:val="en-US"/>
        </w:rPr>
        <w:t>, and CSE</w:t>
      </w:r>
      <w:r w:rsidR="00912CAD" w:rsidRPr="00912CAD">
        <w:rPr>
          <w:rFonts w:ascii="Arial" w:hAnsi="Arial"/>
          <w:i/>
          <w:lang w:val="en-US"/>
        </w:rPr>
        <w:t xml:space="preserve"> listed companies providing liquidity on the stock exchange for shareholders. </w:t>
      </w:r>
      <w:r>
        <w:rPr>
          <w:rFonts w:ascii="Arial" w:hAnsi="Arial"/>
          <w:i/>
          <w:lang w:val="en-US"/>
        </w:rPr>
        <w:t xml:space="preserve"> </w:t>
      </w:r>
      <w:bookmarkStart w:id="6" w:name="_Hlk526686482"/>
      <w:r w:rsidR="0016043A">
        <w:rPr>
          <w:rFonts w:ascii="Arial" w:hAnsi="Arial"/>
          <w:i/>
          <w:lang w:val="en-US"/>
        </w:rPr>
        <w:t xml:space="preserve">(News release of </w:t>
      </w:r>
      <w:r w:rsidR="00912CAD">
        <w:rPr>
          <w:rFonts w:ascii="Arial" w:hAnsi="Arial"/>
          <w:i/>
          <w:lang w:val="en-US"/>
        </w:rPr>
        <w:t>September 17</w:t>
      </w:r>
      <w:r w:rsidR="0016043A">
        <w:rPr>
          <w:rFonts w:ascii="Arial" w:hAnsi="Arial"/>
          <w:i/>
          <w:lang w:val="en-US"/>
        </w:rPr>
        <w:t>, 2018)</w:t>
      </w:r>
      <w:bookmarkEnd w:id="5"/>
    </w:p>
    <w:bookmarkEnd w:id="6"/>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lastRenderedPageBreak/>
        <w:t>Not applicable in the current month</w:t>
      </w:r>
    </w:p>
    <w:p w14:paraId="1D2CF83B" w14:textId="77777777" w:rsidR="00C6032D" w:rsidRPr="00C6032D"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09BA13C2" w14:textId="7BD45E27" w:rsidR="00640E94" w:rsidRDefault="00C6032D" w:rsidP="00C6032D">
      <w:pPr>
        <w:pStyle w:val="List"/>
        <w:spacing w:before="120"/>
        <w:ind w:left="720" w:firstLine="0"/>
        <w:jc w:val="both"/>
        <w:rPr>
          <w:rFonts w:ascii="Arial" w:hAnsi="Arial"/>
        </w:rPr>
      </w:pPr>
      <w:proofErr w:type="spellStart"/>
      <w:r w:rsidRPr="00C6032D">
        <w:rPr>
          <w:rFonts w:ascii="Arial" w:hAnsi="Arial"/>
          <w:i/>
          <w:lang w:val="en-US"/>
        </w:rPr>
        <w:t>Questrade</w:t>
      </w:r>
      <w:proofErr w:type="spellEnd"/>
      <w:r w:rsidRPr="00C6032D">
        <w:rPr>
          <w:rFonts w:ascii="Arial" w:hAnsi="Arial"/>
          <w:i/>
          <w:lang w:val="en-US"/>
        </w:rPr>
        <w:t xml:space="preserve"> Inc. was retained to provide market-making services for a period of 6 months at a cost of $4,500 per month. </w:t>
      </w:r>
      <w:proofErr w:type="spellStart"/>
      <w:r w:rsidRPr="00C6032D">
        <w:rPr>
          <w:rFonts w:ascii="Arial" w:hAnsi="Arial"/>
          <w:i/>
          <w:lang w:val="en-US"/>
        </w:rPr>
        <w:t>Questrade</w:t>
      </w:r>
      <w:proofErr w:type="spellEnd"/>
      <w:r w:rsidRPr="00C6032D">
        <w:rPr>
          <w:rFonts w:ascii="Arial" w:hAnsi="Arial"/>
          <w:i/>
          <w:lang w:val="en-US"/>
        </w:rPr>
        <w:t xml:space="preserve">, Inc. provides Canadians with high-speed, direct-access trading in the U.S. and Canadian stock and options markets through its IQ trading platforms. </w:t>
      </w:r>
      <w:proofErr w:type="spellStart"/>
      <w:r w:rsidRPr="00C6032D">
        <w:rPr>
          <w:rFonts w:ascii="Arial" w:hAnsi="Arial"/>
          <w:i/>
          <w:lang w:val="en-US"/>
        </w:rPr>
        <w:t>Questrade</w:t>
      </w:r>
      <w:proofErr w:type="spellEnd"/>
      <w:r w:rsidRPr="00C6032D">
        <w:rPr>
          <w:rFonts w:ascii="Arial" w:hAnsi="Arial"/>
          <w:i/>
          <w:lang w:val="en-US"/>
        </w:rPr>
        <w:t xml:space="preserve"> offers market-making services on behalf of TSX, TSX Venture Exchange, and CSE listed companies providing liquidity on the stock exchange for shareholders.  (News release of September 17, 2018)</w:t>
      </w:r>
    </w:p>
    <w:p w14:paraId="1E9E644C" w14:textId="3D3E5664" w:rsidR="00166B55" w:rsidRPr="00166B55" w:rsidRDefault="00166B55" w:rsidP="00166B55">
      <w:pPr>
        <w:pStyle w:val="List"/>
        <w:spacing w:before="120"/>
        <w:ind w:left="720" w:firstLine="0"/>
        <w:jc w:val="both"/>
        <w:rPr>
          <w:rFonts w:ascii="Arial" w:hAnsi="Arial"/>
          <w:i/>
        </w:rPr>
      </w:pPr>
      <w:r w:rsidRPr="00166B55">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2728F9B2" w:rsidR="00231A4C" w:rsidRDefault="00231A4C" w:rsidP="00231A4C">
      <w:pPr>
        <w:pStyle w:val="List"/>
        <w:spacing w:before="120"/>
        <w:ind w:left="720" w:firstLine="0"/>
        <w:jc w:val="both"/>
        <w:rPr>
          <w:rFonts w:ascii="Arial" w:hAnsi="Arial"/>
          <w:i/>
        </w:rPr>
      </w:pPr>
      <w:bookmarkStart w:id="7" w:name="_Hlk525052382"/>
      <w:r w:rsidRPr="00231A4C">
        <w:rPr>
          <w:rFonts w:ascii="Arial" w:hAnsi="Arial"/>
          <w:i/>
        </w:rPr>
        <w:t>Not applicable in the current month</w:t>
      </w:r>
    </w:p>
    <w:bookmarkEnd w:id="7"/>
    <w:p w14:paraId="3888FA10" w14:textId="116DF71E" w:rsidR="00231A4C" w:rsidRDefault="00231A4C" w:rsidP="00231A4C">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AFE02D" w14:textId="33FD5AC1" w:rsidR="00166B55" w:rsidRPr="00166B55" w:rsidRDefault="0016043A" w:rsidP="0016043A">
      <w:pPr>
        <w:pStyle w:val="List"/>
        <w:spacing w:before="120"/>
        <w:ind w:left="720" w:firstLine="0"/>
        <w:jc w:val="both"/>
        <w:rPr>
          <w:rFonts w:ascii="Arial" w:hAnsi="Arial"/>
          <w:i/>
        </w:rPr>
      </w:pPr>
      <w:r>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5301F465" w14:textId="77777777" w:rsidR="00713C5A" w:rsidRDefault="00713C5A" w:rsidP="00713C5A">
      <w:pPr>
        <w:pStyle w:val="List"/>
        <w:spacing w:before="120"/>
        <w:ind w:left="720" w:firstLine="0"/>
        <w:jc w:val="both"/>
        <w:rPr>
          <w:rFonts w:ascii="Arial" w:hAnsi="Arial"/>
        </w:rPr>
      </w:pPr>
    </w:p>
    <w:p w14:paraId="65BE5EF1" w14:textId="13546BB9" w:rsidR="00640E94" w:rsidRDefault="00640E94">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w:t>
      </w:r>
      <w:r>
        <w:rPr>
          <w:rFonts w:ascii="Arial" w:hAnsi="Arial"/>
        </w:rPr>
        <w:lastRenderedPageBreak/>
        <w:t>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bookmarkStart w:id="8" w:name="_GoBack"/>
      <w:bookmarkEnd w:id="8"/>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9" w:name="_Hlk525052553"/>
      <w:r w:rsidRPr="00A04BF7">
        <w:rPr>
          <w:rFonts w:ascii="Arial" w:hAnsi="Arial"/>
          <w:i/>
        </w:rPr>
        <w:t>Not applicable in the current month</w:t>
      </w:r>
    </w:p>
    <w:bookmarkEnd w:id="9"/>
    <w:p w14:paraId="55751D10"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29B947E9"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635AB406"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C80C6E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77777777" w:rsidR="00640E94" w:rsidRPr="00A04BF7" w:rsidRDefault="00640E94">
            <w:pPr>
              <w:pStyle w:val="List"/>
              <w:tabs>
                <w:tab w:val="left" w:pos="360"/>
              </w:tabs>
              <w:spacing w:before="0" w:line="280" w:lineRule="exact"/>
              <w:ind w:left="0" w:firstLine="0"/>
              <w:jc w:val="both"/>
              <w:rPr>
                <w:rFonts w:ascii="Arial" w:hAnsi="Arial"/>
                <w:i/>
              </w:rPr>
            </w:pPr>
          </w:p>
        </w:tc>
      </w:tr>
      <w:tr w:rsidR="00640E94" w14:paraId="4DE8B45E" w14:textId="77777777">
        <w:tc>
          <w:tcPr>
            <w:tcW w:w="2394" w:type="dxa"/>
          </w:tcPr>
          <w:p w14:paraId="55C022A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6FF756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48DF5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ACF966" w14:textId="77777777" w:rsidR="00640E94" w:rsidRDefault="00640E94">
            <w:pPr>
              <w:pStyle w:val="List"/>
              <w:tabs>
                <w:tab w:val="left" w:pos="360"/>
              </w:tabs>
              <w:spacing w:before="0" w:line="280" w:lineRule="exact"/>
              <w:ind w:left="0" w:firstLine="0"/>
              <w:jc w:val="both"/>
              <w:rPr>
                <w:rFonts w:ascii="Arial" w:hAnsi="Arial"/>
              </w:rPr>
            </w:pPr>
          </w:p>
        </w:tc>
      </w:tr>
      <w:tr w:rsidR="00640E94" w14:paraId="0ADBBB9C" w14:textId="77777777">
        <w:tc>
          <w:tcPr>
            <w:tcW w:w="2394" w:type="dxa"/>
          </w:tcPr>
          <w:p w14:paraId="735C4CC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FAEF0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3AF922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18733D2" w14:textId="77777777" w:rsidR="00640E94" w:rsidRDefault="00640E94">
            <w:pPr>
              <w:pStyle w:val="List"/>
              <w:tabs>
                <w:tab w:val="left" w:pos="360"/>
              </w:tabs>
              <w:spacing w:before="0" w:line="280" w:lineRule="exact"/>
              <w:ind w:left="0" w:firstLine="0"/>
              <w:jc w:val="both"/>
              <w:rPr>
                <w:rFonts w:ascii="Arial" w:hAnsi="Arial"/>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59E6BA0D" w14:textId="4844318A" w:rsidR="008E5C06" w:rsidRDefault="00D31271" w:rsidP="008E5C06">
      <w:pPr>
        <w:pStyle w:val="List"/>
        <w:tabs>
          <w:tab w:val="left" w:pos="360"/>
        </w:tabs>
        <w:spacing w:before="120"/>
        <w:jc w:val="both"/>
        <w:rPr>
          <w:rFonts w:ascii="Arial" w:hAnsi="Arial"/>
          <w:i/>
        </w:rPr>
      </w:pPr>
      <w:r>
        <w:rPr>
          <w:rFonts w:ascii="Arial" w:hAnsi="Arial"/>
          <w:i/>
        </w:rPr>
        <w:tab/>
        <w:t>Not applicable in the current month</w:t>
      </w:r>
    </w:p>
    <w:p w14:paraId="686D50A6" w14:textId="77777777" w:rsidR="008E5C06" w:rsidRDefault="008E5C06" w:rsidP="008E5C06">
      <w:pPr>
        <w:pStyle w:val="List"/>
        <w:tabs>
          <w:tab w:val="left" w:pos="360"/>
        </w:tabs>
        <w:spacing w:before="120"/>
        <w:jc w:val="both"/>
        <w:rPr>
          <w:rFonts w:ascii="Arial" w:hAnsi="Arial"/>
          <w:i/>
        </w:rPr>
      </w:pP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 xml:space="preserve">Certificate </w:t>
      </w:r>
      <w:proofErr w:type="gramStart"/>
      <w:r w:rsidR="00640E94">
        <w:rPr>
          <w:rFonts w:ascii="Arial" w:hAnsi="Arial"/>
          <w:b/>
        </w:rPr>
        <w:t>Of</w:t>
      </w:r>
      <w:proofErr w:type="gramEnd"/>
      <w:r w:rsidR="00640E94">
        <w:rPr>
          <w:rFonts w:ascii="Arial" w:hAnsi="Arial"/>
          <w:b/>
        </w:rPr>
        <w:t xml:space="preserve">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3F04141C"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608FF">
        <w:rPr>
          <w:rFonts w:ascii="Arial" w:hAnsi="Arial"/>
        </w:rPr>
        <w:t>October</w:t>
      </w:r>
      <w:r w:rsidR="00431800">
        <w:rPr>
          <w:rFonts w:ascii="Arial" w:hAnsi="Arial"/>
        </w:rPr>
        <w:t xml:space="preserve"> 1, 2018</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290462E4" w:rsidR="00640E94" w:rsidRDefault="00431800">
            <w:pPr>
              <w:pStyle w:val="BodyText"/>
              <w:rPr>
                <w:rFonts w:ascii="Arial" w:hAnsi="Arial"/>
              </w:rPr>
            </w:pPr>
            <w:r>
              <w:rPr>
                <w:rFonts w:ascii="Arial" w:hAnsi="Arial"/>
              </w:rPr>
              <w:t>CHIMATA GOLD CORP.</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3E55D2FD" w14:textId="77777777" w:rsidR="00431800" w:rsidRDefault="00431800">
            <w:pPr>
              <w:pStyle w:val="BodyText"/>
              <w:spacing w:before="0"/>
              <w:rPr>
                <w:rFonts w:ascii="Arial" w:hAnsi="Arial"/>
              </w:rPr>
            </w:pPr>
          </w:p>
          <w:p w14:paraId="41A8DA23" w14:textId="775ECB4B" w:rsidR="00431800" w:rsidRDefault="001608FF">
            <w:pPr>
              <w:pStyle w:val="BodyText"/>
              <w:spacing w:before="0"/>
              <w:rPr>
                <w:rFonts w:ascii="Arial" w:hAnsi="Arial"/>
              </w:rPr>
            </w:pPr>
            <w:r>
              <w:rPr>
                <w:rFonts w:ascii="Arial" w:hAnsi="Arial"/>
              </w:rPr>
              <w:t>September</w:t>
            </w:r>
            <w:r w:rsidR="00431800">
              <w:rPr>
                <w:rFonts w:ascii="Arial" w:hAnsi="Arial"/>
              </w:rPr>
              <w:t xml:space="preserve"> 2018</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665BC68E" w:rsidR="00431800" w:rsidRDefault="00431800">
            <w:pPr>
              <w:pStyle w:val="BodyText"/>
              <w:spacing w:before="0"/>
              <w:rPr>
                <w:rFonts w:ascii="Arial" w:hAnsi="Arial"/>
              </w:rPr>
            </w:pPr>
            <w:r>
              <w:rPr>
                <w:rFonts w:ascii="Arial" w:hAnsi="Arial"/>
              </w:rPr>
              <w:t>18/</w:t>
            </w:r>
            <w:r w:rsidR="001608FF">
              <w:rPr>
                <w:rFonts w:ascii="Arial" w:hAnsi="Arial"/>
              </w:rPr>
              <w:t>10/</w:t>
            </w:r>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65D31591" w:rsidR="00431800" w:rsidRDefault="00431800">
            <w:pPr>
              <w:pStyle w:val="BodyText"/>
              <w:spacing w:before="0"/>
              <w:rPr>
                <w:rFonts w:ascii="Arial" w:hAnsi="Arial"/>
              </w:rPr>
            </w:pPr>
            <w:r>
              <w:rPr>
                <w:rFonts w:ascii="Arial" w:hAnsi="Arial"/>
              </w:rPr>
              <w:t>202-905 WEST BROADWAY</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20DC9873" w:rsidR="00431800" w:rsidRDefault="00431800">
            <w:pPr>
              <w:pStyle w:val="BodyText"/>
              <w:spacing w:before="0"/>
              <w:rPr>
                <w:rFonts w:ascii="Arial" w:hAnsi="Arial"/>
              </w:rPr>
            </w:pPr>
            <w:r>
              <w:rPr>
                <w:rFonts w:ascii="Arial" w:hAnsi="Arial"/>
              </w:rPr>
              <w:t>VANCOUVER, BC V5Z 4M3</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1B7B59D9" w:rsidR="00431800" w:rsidRDefault="00431800">
            <w:pPr>
              <w:pStyle w:val="BodyText"/>
              <w:spacing w:before="0"/>
              <w:rPr>
                <w:rFonts w:ascii="Arial" w:hAnsi="Arial"/>
              </w:rPr>
            </w:pPr>
            <w:r>
              <w:rPr>
                <w:rFonts w:ascii="Arial" w:hAnsi="Arial"/>
              </w:rPr>
              <w:t>Chimatagoldcorp.com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F3C7" w14:textId="77777777" w:rsidR="006263B6" w:rsidRDefault="006263B6">
      <w:r>
        <w:separator/>
      </w:r>
    </w:p>
  </w:endnote>
  <w:endnote w:type="continuationSeparator" w:id="0">
    <w:p w14:paraId="7374A10A" w14:textId="77777777" w:rsidR="006263B6" w:rsidRDefault="0062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CA2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3869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8661D" w14:textId="77777777" w:rsidR="006263B6" w:rsidRDefault="006263B6">
      <w:r>
        <w:separator/>
      </w:r>
    </w:p>
  </w:footnote>
  <w:footnote w:type="continuationSeparator" w:id="0">
    <w:p w14:paraId="769C4F2F" w14:textId="77777777" w:rsidR="006263B6" w:rsidRDefault="0062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C7003"/>
    <w:rsid w:val="00126C84"/>
    <w:rsid w:val="0016043A"/>
    <w:rsid w:val="001608FF"/>
    <w:rsid w:val="00166B55"/>
    <w:rsid w:val="002140FE"/>
    <w:rsid w:val="00231A4C"/>
    <w:rsid w:val="002C281E"/>
    <w:rsid w:val="002F00EB"/>
    <w:rsid w:val="003668BF"/>
    <w:rsid w:val="003669A9"/>
    <w:rsid w:val="00371A64"/>
    <w:rsid w:val="00387FA8"/>
    <w:rsid w:val="003F3113"/>
    <w:rsid w:val="003F6B29"/>
    <w:rsid w:val="0040335D"/>
    <w:rsid w:val="00431800"/>
    <w:rsid w:val="004808C0"/>
    <w:rsid w:val="004D5298"/>
    <w:rsid w:val="004F7DA3"/>
    <w:rsid w:val="00540773"/>
    <w:rsid w:val="005453C8"/>
    <w:rsid w:val="005F6D8F"/>
    <w:rsid w:val="00620E7F"/>
    <w:rsid w:val="006263B6"/>
    <w:rsid w:val="00633ED3"/>
    <w:rsid w:val="00635E9A"/>
    <w:rsid w:val="00640E94"/>
    <w:rsid w:val="006D1A06"/>
    <w:rsid w:val="0070137E"/>
    <w:rsid w:val="00713C5A"/>
    <w:rsid w:val="007D768A"/>
    <w:rsid w:val="00800DF5"/>
    <w:rsid w:val="008163D4"/>
    <w:rsid w:val="008B7E92"/>
    <w:rsid w:val="008E5C06"/>
    <w:rsid w:val="00912CAD"/>
    <w:rsid w:val="00922A46"/>
    <w:rsid w:val="009F69E3"/>
    <w:rsid w:val="00A04BF7"/>
    <w:rsid w:val="00A47914"/>
    <w:rsid w:val="00AA1EAC"/>
    <w:rsid w:val="00AB4C0B"/>
    <w:rsid w:val="00AF5931"/>
    <w:rsid w:val="00B65447"/>
    <w:rsid w:val="00BB7E6B"/>
    <w:rsid w:val="00C123F0"/>
    <w:rsid w:val="00C27A18"/>
    <w:rsid w:val="00C6032D"/>
    <w:rsid w:val="00C6383E"/>
    <w:rsid w:val="00C63AB8"/>
    <w:rsid w:val="00D03F13"/>
    <w:rsid w:val="00D31271"/>
    <w:rsid w:val="00D663D6"/>
    <w:rsid w:val="00E36141"/>
    <w:rsid w:val="00E83E58"/>
    <w:rsid w:val="00EC1E61"/>
    <w:rsid w:val="00EE403B"/>
    <w:rsid w:val="00EF6FCF"/>
    <w:rsid w:val="00F5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1334-E05B-4E1E-9B94-5C7EE065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2</cp:revision>
  <cp:lastPrinted>2004-05-10T18:28:00Z</cp:lastPrinted>
  <dcterms:created xsi:type="dcterms:W3CDTF">2018-10-09T21:37:00Z</dcterms:created>
  <dcterms:modified xsi:type="dcterms:W3CDTF">2018-10-09T21:37:00Z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