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4AC8588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00DF5" w:rsidRPr="00800DF5">
        <w:rPr>
          <w:rFonts w:ascii="Arial" w:hAnsi="Arial"/>
          <w:color w:val="000000"/>
        </w:rPr>
        <w:t>C</w:t>
      </w:r>
      <w:r w:rsidR="0086035F">
        <w:rPr>
          <w:rFonts w:ascii="Arial" w:hAnsi="Arial"/>
          <w:color w:val="000000"/>
        </w:rPr>
        <w:t>AT STRATEGIC MTALS</w:t>
      </w:r>
      <w:r w:rsidR="00800DF5" w:rsidRPr="00800DF5">
        <w:rPr>
          <w:rFonts w:ascii="Arial" w:hAnsi="Arial"/>
          <w:color w:val="000000"/>
        </w:rPr>
        <w:t xml:space="preserve"> CORP</w:t>
      </w:r>
      <w:r w:rsidR="0086035F">
        <w:rPr>
          <w:rFonts w:ascii="Arial" w:hAnsi="Arial"/>
          <w:color w:val="000000"/>
        </w:rPr>
        <w:t>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D85A5A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54954" w:rsidRPr="00507C38">
        <w:rPr>
          <w:rFonts w:ascii="Arial" w:hAnsi="Arial"/>
          <w:color w:val="000000"/>
        </w:rPr>
        <w:t>1</w:t>
      </w:r>
      <w:r w:rsidR="00F440BE">
        <w:rPr>
          <w:rFonts w:ascii="Arial" w:hAnsi="Arial"/>
          <w:color w:val="000000"/>
        </w:rPr>
        <w:t>95</w:t>
      </w:r>
      <w:r w:rsidR="00654954" w:rsidRPr="00507C38">
        <w:rPr>
          <w:rFonts w:ascii="Arial" w:hAnsi="Arial"/>
          <w:color w:val="000000"/>
        </w:rPr>
        <w:t>,</w:t>
      </w:r>
      <w:r w:rsidR="003D1C4B">
        <w:rPr>
          <w:rFonts w:ascii="Arial" w:hAnsi="Arial"/>
          <w:color w:val="000000"/>
        </w:rPr>
        <w:t>976,866</w:t>
      </w:r>
    </w:p>
    <w:p w14:paraId="477C2FB0" w14:textId="08E9DF6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440BE">
        <w:rPr>
          <w:rFonts w:ascii="Arial" w:hAnsi="Arial"/>
          <w:color w:val="000000"/>
        </w:rPr>
        <w:t>January</w:t>
      </w:r>
      <w:r w:rsidR="00BE7C0F">
        <w:rPr>
          <w:rFonts w:ascii="Arial" w:hAnsi="Arial"/>
          <w:color w:val="000000"/>
        </w:rPr>
        <w:t xml:space="preserve"> </w:t>
      </w:r>
      <w:r w:rsidR="00B65447" w:rsidRPr="00B65447">
        <w:rPr>
          <w:rFonts w:ascii="Arial" w:hAnsi="Arial"/>
          <w:color w:val="000000"/>
        </w:rPr>
        <w:t>1, 20</w:t>
      </w:r>
      <w:r w:rsidR="001C6CA2">
        <w:rPr>
          <w:rFonts w:ascii="Arial" w:hAnsi="Arial"/>
          <w:color w:val="000000"/>
        </w:rPr>
        <w:t>2</w:t>
      </w:r>
      <w:r w:rsidR="006E3687">
        <w:rPr>
          <w:rFonts w:ascii="Arial" w:hAnsi="Arial"/>
          <w:color w:val="000000"/>
        </w:rPr>
        <w:t>1</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rsidP="009205A9">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Pr="00AD60C0" w:rsidRDefault="00640E94">
      <w:pPr>
        <w:pStyle w:val="List"/>
        <w:numPr>
          <w:ilvl w:val="0"/>
          <w:numId w:val="28"/>
        </w:numPr>
        <w:spacing w:before="120"/>
        <w:jc w:val="both"/>
        <w:rPr>
          <w:rFonts w:ascii="Arial" w:hAnsi="Arial" w:cs="Arial"/>
          <w:szCs w:val="24"/>
        </w:rPr>
      </w:pPr>
      <w:r w:rsidRPr="00AD60C0">
        <w:rPr>
          <w:rFonts w:ascii="Arial" w:hAnsi="Arial" w:cs="Arial"/>
          <w:szCs w:val="24"/>
        </w:rPr>
        <w:t>Provide a general overview and discussion of the development of the Issuer’s business and operations over the previous month.  Where the Issuer was inactive disclose this fact.</w:t>
      </w:r>
    </w:p>
    <w:p w14:paraId="79E81705" w14:textId="77777777" w:rsidR="00090A3B" w:rsidRPr="00AD60C0" w:rsidRDefault="00090A3B" w:rsidP="00E5175E">
      <w:pPr>
        <w:pStyle w:val="Body"/>
        <w:ind w:left="720"/>
        <w:jc w:val="both"/>
        <w:rPr>
          <w:rFonts w:cs="Arial"/>
          <w:i/>
          <w:sz w:val="24"/>
          <w:szCs w:val="24"/>
        </w:rPr>
      </w:pPr>
      <w:bookmarkStart w:id="5" w:name="_Hlk52972532"/>
    </w:p>
    <w:p w14:paraId="57E9993D" w14:textId="29053078" w:rsidR="005B21DA" w:rsidRDefault="00C0059A" w:rsidP="009C48E7">
      <w:pPr>
        <w:pStyle w:val="Body"/>
        <w:ind w:left="720"/>
        <w:jc w:val="both"/>
        <w:rPr>
          <w:i/>
          <w:sz w:val="24"/>
          <w:szCs w:val="24"/>
        </w:rPr>
      </w:pPr>
      <w:r w:rsidRPr="00AD60C0">
        <w:rPr>
          <w:rFonts w:cs="Arial"/>
          <w:i/>
          <w:sz w:val="24"/>
          <w:szCs w:val="24"/>
        </w:rPr>
        <w:t xml:space="preserve">On </w:t>
      </w:r>
      <w:r w:rsidR="00F440BE" w:rsidRPr="00AD60C0">
        <w:rPr>
          <w:rFonts w:cs="Arial"/>
          <w:i/>
          <w:sz w:val="24"/>
          <w:szCs w:val="24"/>
        </w:rPr>
        <w:t>December 9</w:t>
      </w:r>
      <w:r w:rsidRPr="00AD60C0">
        <w:rPr>
          <w:rFonts w:cs="Arial"/>
          <w:i/>
          <w:sz w:val="24"/>
          <w:szCs w:val="24"/>
        </w:rPr>
        <w:t>, 2021 t</w:t>
      </w:r>
      <w:r w:rsidR="00790DB1" w:rsidRPr="00AD60C0">
        <w:rPr>
          <w:rFonts w:cs="Arial"/>
          <w:i/>
          <w:sz w:val="24"/>
          <w:szCs w:val="24"/>
        </w:rPr>
        <w:t>he Company</w:t>
      </w:r>
      <w:bookmarkEnd w:id="5"/>
      <w:r w:rsidR="00E71719" w:rsidRPr="00AD60C0">
        <w:rPr>
          <w:rFonts w:cs="Arial"/>
          <w:i/>
          <w:sz w:val="24"/>
          <w:szCs w:val="24"/>
        </w:rPr>
        <w:t xml:space="preserve"> </w:t>
      </w:r>
      <w:r w:rsidR="00090A3B" w:rsidRPr="00AD60C0">
        <w:rPr>
          <w:rFonts w:cs="Arial"/>
          <w:i/>
          <w:sz w:val="24"/>
          <w:szCs w:val="24"/>
        </w:rPr>
        <w:t>announced</w:t>
      </w:r>
      <w:r w:rsidR="009C48E7" w:rsidRPr="00AD60C0">
        <w:rPr>
          <w:rFonts w:cs="Arial"/>
          <w:i/>
          <w:sz w:val="24"/>
          <w:szCs w:val="24"/>
        </w:rPr>
        <w:t xml:space="preserve"> that it </w:t>
      </w:r>
      <w:r w:rsidR="00F440BE" w:rsidRPr="00AD60C0">
        <w:rPr>
          <w:i/>
          <w:sz w:val="24"/>
          <w:szCs w:val="24"/>
        </w:rPr>
        <w:t xml:space="preserve">has commenced a diamond drill program on the Company’s wholly owned </w:t>
      </w:r>
      <w:proofErr w:type="spellStart"/>
      <w:r w:rsidR="00F440BE" w:rsidRPr="00AD60C0">
        <w:rPr>
          <w:i/>
          <w:sz w:val="24"/>
          <w:szCs w:val="24"/>
        </w:rPr>
        <w:t>Burntland</w:t>
      </w:r>
      <w:proofErr w:type="spellEnd"/>
      <w:r w:rsidR="00F440BE" w:rsidRPr="00AD60C0">
        <w:rPr>
          <w:i/>
          <w:sz w:val="24"/>
          <w:szCs w:val="24"/>
        </w:rPr>
        <w:t xml:space="preserve"> Project in northern New Brunswick.</w:t>
      </w:r>
      <w:r w:rsidR="00AD60C0" w:rsidRPr="00AD60C0">
        <w:rPr>
          <w:i/>
          <w:sz w:val="24"/>
          <w:szCs w:val="24"/>
        </w:rPr>
        <w:t xml:space="preserve"> </w:t>
      </w:r>
      <w:r w:rsidR="00AD60C0" w:rsidRPr="00AD60C0">
        <w:rPr>
          <w:i/>
          <w:sz w:val="24"/>
          <w:szCs w:val="24"/>
        </w:rPr>
        <w:t xml:space="preserve">Seven drill hole targets were identified following a trenching program and a </w:t>
      </w:r>
      <w:r w:rsidR="00AD60C0" w:rsidRPr="00AD60C0">
        <w:rPr>
          <w:rFonts w:cs="Arial"/>
          <w:i/>
          <w:sz w:val="24"/>
          <w:szCs w:val="24"/>
        </w:rPr>
        <w:t>975 line-</w:t>
      </w:r>
      <w:proofErr w:type="spellStart"/>
      <w:r w:rsidR="00AD60C0" w:rsidRPr="00AD60C0">
        <w:rPr>
          <w:rFonts w:cs="Arial"/>
          <w:i/>
          <w:sz w:val="24"/>
          <w:szCs w:val="24"/>
        </w:rPr>
        <w:t>kilometre</w:t>
      </w:r>
      <w:proofErr w:type="spellEnd"/>
      <w:r w:rsidR="00AD60C0" w:rsidRPr="00AD60C0">
        <w:rPr>
          <w:rFonts w:cs="Arial"/>
          <w:i/>
          <w:sz w:val="24"/>
          <w:szCs w:val="24"/>
        </w:rPr>
        <w:t xml:space="preserve"> high-resolution drone magnetic survey that was </w:t>
      </w:r>
      <w:r w:rsidR="00AD60C0" w:rsidRPr="00AD60C0">
        <w:rPr>
          <w:rFonts w:cs="Arial"/>
          <w:i/>
          <w:sz w:val="24"/>
          <w:szCs w:val="24"/>
        </w:rPr>
        <w:lastRenderedPageBreak/>
        <w:t>conducted over the summer and early fall, and an additional geophysical VLF-EM,</w:t>
      </w:r>
      <w:r w:rsidR="00AD60C0" w:rsidRPr="00AD60C0">
        <w:rPr>
          <w:i/>
          <w:sz w:val="24"/>
          <w:szCs w:val="24"/>
        </w:rPr>
        <w:t xml:space="preserve"> DTM and Mag survey completed in October.</w:t>
      </w:r>
      <w:r w:rsidR="00AD60C0">
        <w:rPr>
          <w:i/>
          <w:sz w:val="24"/>
          <w:szCs w:val="24"/>
        </w:rPr>
        <w:t xml:space="preserve"> </w:t>
      </w:r>
      <w:r w:rsidR="00AD60C0" w:rsidRPr="00AD60C0">
        <w:rPr>
          <w:i/>
          <w:sz w:val="24"/>
          <w:szCs w:val="24"/>
        </w:rPr>
        <w:t xml:space="preserve">Forages Technic </w:t>
      </w:r>
      <w:proofErr w:type="spellStart"/>
      <w:r w:rsidR="00AD60C0" w:rsidRPr="00AD60C0">
        <w:rPr>
          <w:i/>
          <w:sz w:val="24"/>
          <w:szCs w:val="24"/>
        </w:rPr>
        <w:t>Eau</w:t>
      </w:r>
      <w:proofErr w:type="spellEnd"/>
      <w:r w:rsidR="00AD60C0" w:rsidRPr="00AD60C0">
        <w:rPr>
          <w:i/>
          <w:sz w:val="24"/>
          <w:szCs w:val="24"/>
        </w:rPr>
        <w:t xml:space="preserve"> Inc. (“</w:t>
      </w:r>
      <w:r w:rsidR="00AD60C0" w:rsidRPr="00AD60C0">
        <w:rPr>
          <w:b/>
          <w:bCs/>
          <w:i/>
          <w:sz w:val="24"/>
          <w:szCs w:val="24"/>
        </w:rPr>
        <w:t>FTE</w:t>
      </w:r>
      <w:r w:rsidR="00AD60C0" w:rsidRPr="00AD60C0">
        <w:rPr>
          <w:i/>
          <w:sz w:val="24"/>
          <w:szCs w:val="24"/>
        </w:rPr>
        <w:t xml:space="preserve">”) is the contractor engaged to undertake the diamond drilling program, which will consist of seven holes to be drilled to a depth of ~200 </w:t>
      </w:r>
      <w:proofErr w:type="spellStart"/>
      <w:r w:rsidR="00AD60C0" w:rsidRPr="00AD60C0">
        <w:rPr>
          <w:i/>
          <w:sz w:val="24"/>
          <w:szCs w:val="24"/>
        </w:rPr>
        <w:t>metres</w:t>
      </w:r>
      <w:proofErr w:type="spellEnd"/>
      <w:r w:rsidR="00AD60C0" w:rsidRPr="00AD60C0">
        <w:rPr>
          <w:i/>
          <w:sz w:val="24"/>
          <w:szCs w:val="24"/>
        </w:rPr>
        <w:t xml:space="preserve"> each and is expected to be completed within 28 days, with a short break occurring over the Christmas holidays. FTE will be running two crew shifts per day in order to complete the drilling as quickly as possible. Patrick </w:t>
      </w:r>
      <w:proofErr w:type="spellStart"/>
      <w:r w:rsidR="00AD60C0" w:rsidRPr="00AD60C0">
        <w:rPr>
          <w:i/>
          <w:sz w:val="24"/>
          <w:szCs w:val="24"/>
        </w:rPr>
        <w:t>Laforest</w:t>
      </w:r>
      <w:proofErr w:type="spellEnd"/>
      <w:r w:rsidR="00AD60C0" w:rsidRPr="00AD60C0">
        <w:rPr>
          <w:i/>
          <w:sz w:val="24"/>
          <w:szCs w:val="24"/>
        </w:rPr>
        <w:t xml:space="preserve">, </w:t>
      </w:r>
      <w:proofErr w:type="spellStart"/>
      <w:proofErr w:type="gramStart"/>
      <w:r w:rsidR="00AD60C0" w:rsidRPr="00AD60C0">
        <w:rPr>
          <w:i/>
          <w:sz w:val="24"/>
          <w:szCs w:val="24"/>
        </w:rPr>
        <w:t>P.Geo</w:t>
      </w:r>
      <w:proofErr w:type="spellEnd"/>
      <w:proofErr w:type="gramEnd"/>
      <w:r w:rsidR="00AD60C0" w:rsidRPr="00AD60C0">
        <w:rPr>
          <w:i/>
          <w:sz w:val="24"/>
          <w:szCs w:val="24"/>
        </w:rPr>
        <w:t>, is the Company’s field project manager overseeing the drill program as well as being the designated QC/QA geologist.</w:t>
      </w:r>
    </w:p>
    <w:p w14:paraId="472132A0" w14:textId="5FA00575" w:rsidR="00E716B1" w:rsidRDefault="00E716B1" w:rsidP="009C48E7">
      <w:pPr>
        <w:pStyle w:val="Body"/>
        <w:ind w:left="720"/>
        <w:jc w:val="both"/>
        <w:rPr>
          <w:i/>
          <w:sz w:val="24"/>
          <w:szCs w:val="24"/>
        </w:rPr>
      </w:pPr>
    </w:p>
    <w:p w14:paraId="18FE3179" w14:textId="79CD9C91" w:rsidR="00E716B1" w:rsidRPr="00AD60C0" w:rsidRDefault="00E716B1" w:rsidP="009C48E7">
      <w:pPr>
        <w:pStyle w:val="Body"/>
        <w:ind w:left="720"/>
        <w:jc w:val="both"/>
        <w:rPr>
          <w:i/>
          <w:sz w:val="24"/>
          <w:szCs w:val="24"/>
        </w:rPr>
      </w:pPr>
      <w:r>
        <w:rPr>
          <w:i/>
          <w:sz w:val="24"/>
          <w:szCs w:val="24"/>
        </w:rPr>
        <w:t xml:space="preserve">On December 20, 2021 the Company announced </w:t>
      </w:r>
      <w:r w:rsidRPr="00E716B1">
        <w:rPr>
          <w:i/>
          <w:sz w:val="24"/>
          <w:szCs w:val="24"/>
        </w:rPr>
        <w:t xml:space="preserve">that it has entered into a Property Acquisition Agreement dated November 30, 2021 with 9248-7792 Quebec Inc. and Prospect </w:t>
      </w:r>
      <w:proofErr w:type="gramStart"/>
      <w:r w:rsidRPr="00E716B1">
        <w:rPr>
          <w:i/>
          <w:sz w:val="24"/>
          <w:szCs w:val="24"/>
        </w:rPr>
        <w:t>Or</w:t>
      </w:r>
      <w:proofErr w:type="gramEnd"/>
      <w:r w:rsidRPr="00E716B1">
        <w:rPr>
          <w:i/>
          <w:sz w:val="24"/>
          <w:szCs w:val="24"/>
        </w:rPr>
        <w:t xml:space="preserve"> Corp. to acquire two additional claims comprised of 520 hectares of land that are adjacent and contiguous to the </w:t>
      </w:r>
      <w:proofErr w:type="spellStart"/>
      <w:r w:rsidRPr="00E716B1">
        <w:rPr>
          <w:i/>
          <w:sz w:val="24"/>
          <w:szCs w:val="24"/>
        </w:rPr>
        <w:t>Burntland</w:t>
      </w:r>
      <w:proofErr w:type="spellEnd"/>
      <w:r w:rsidRPr="00E716B1">
        <w:rPr>
          <w:i/>
          <w:sz w:val="24"/>
          <w:szCs w:val="24"/>
        </w:rPr>
        <w:t xml:space="preserve"> Project currently under option to the Company</w:t>
      </w:r>
      <w:r>
        <w:rPr>
          <w:i/>
          <w:sz w:val="24"/>
          <w:szCs w:val="24"/>
        </w:rPr>
        <w:t>.</w:t>
      </w:r>
    </w:p>
    <w:p w14:paraId="3B099811" w14:textId="6F1FDD9C" w:rsidR="009C48E7" w:rsidRPr="00AD60C0" w:rsidRDefault="009C48E7" w:rsidP="009C48E7">
      <w:pPr>
        <w:pStyle w:val="Body"/>
        <w:ind w:left="720"/>
        <w:jc w:val="both"/>
        <w:rPr>
          <w:rFonts w:cs="Arial"/>
          <w:i/>
          <w:iCs/>
          <w:sz w:val="24"/>
          <w:szCs w:val="24"/>
          <w:lang w:eastAsia="en-CA"/>
        </w:rPr>
      </w:pPr>
    </w:p>
    <w:p w14:paraId="2DFD2E52" w14:textId="41C0D29C" w:rsidR="00640E94" w:rsidRPr="00AD60C0" w:rsidRDefault="00640E94">
      <w:pPr>
        <w:pStyle w:val="List"/>
        <w:numPr>
          <w:ilvl w:val="0"/>
          <w:numId w:val="28"/>
        </w:numPr>
        <w:spacing w:before="120"/>
        <w:jc w:val="both"/>
        <w:rPr>
          <w:rFonts w:ascii="Arial" w:hAnsi="Arial" w:cs="Arial"/>
          <w:szCs w:val="24"/>
        </w:rPr>
      </w:pPr>
      <w:r w:rsidRPr="00AD60C0">
        <w:rPr>
          <w:rFonts w:ascii="Arial" w:hAnsi="Arial" w:cs="Arial"/>
          <w:szCs w:val="24"/>
        </w:rPr>
        <w:t>Provide a general overview and discussion of the activities of management.</w:t>
      </w:r>
    </w:p>
    <w:p w14:paraId="2F93F86F" w14:textId="77777777" w:rsidR="00090A3B" w:rsidRPr="00AD60C0" w:rsidRDefault="00090A3B" w:rsidP="00090A3B">
      <w:pPr>
        <w:pStyle w:val="Body"/>
        <w:ind w:left="720"/>
        <w:jc w:val="both"/>
        <w:rPr>
          <w:rFonts w:cs="Arial"/>
          <w:i/>
          <w:sz w:val="24"/>
          <w:szCs w:val="24"/>
        </w:rPr>
      </w:pPr>
    </w:p>
    <w:p w14:paraId="24725583" w14:textId="6E999336" w:rsidR="006C4E9E" w:rsidRDefault="006C4E9E" w:rsidP="006C4E9E">
      <w:pPr>
        <w:pStyle w:val="Body"/>
        <w:ind w:left="720"/>
        <w:jc w:val="both"/>
        <w:rPr>
          <w:rFonts w:cs="Arial"/>
          <w:i/>
          <w:sz w:val="24"/>
          <w:szCs w:val="24"/>
        </w:rPr>
      </w:pPr>
      <w:r w:rsidRPr="00AD60C0">
        <w:rPr>
          <w:rFonts w:cs="Arial"/>
          <w:i/>
          <w:sz w:val="24"/>
          <w:szCs w:val="24"/>
        </w:rPr>
        <w:t xml:space="preserve">During the month of </w:t>
      </w:r>
      <w:r w:rsidR="00AD60C0" w:rsidRPr="00AD60C0">
        <w:rPr>
          <w:rFonts w:cs="Arial"/>
          <w:i/>
          <w:sz w:val="24"/>
          <w:szCs w:val="24"/>
        </w:rPr>
        <w:t>December</w:t>
      </w:r>
      <w:r w:rsidRPr="00AD60C0">
        <w:rPr>
          <w:rFonts w:cs="Arial"/>
          <w:i/>
          <w:sz w:val="24"/>
          <w:szCs w:val="24"/>
        </w:rPr>
        <w:t xml:space="preserve">, the Company </w:t>
      </w:r>
      <w:r w:rsidR="00AD60C0" w:rsidRPr="00AD60C0">
        <w:rPr>
          <w:rFonts w:cs="Arial"/>
          <w:i/>
          <w:sz w:val="24"/>
          <w:szCs w:val="24"/>
        </w:rPr>
        <w:t xml:space="preserve">announced that it </w:t>
      </w:r>
      <w:r w:rsidR="00AD60C0" w:rsidRPr="00AD60C0">
        <w:rPr>
          <w:sz w:val="24"/>
          <w:szCs w:val="24"/>
        </w:rPr>
        <w:t xml:space="preserve">has commenced a diamond drill program on the Company’s wholly owned </w:t>
      </w:r>
      <w:proofErr w:type="spellStart"/>
      <w:r w:rsidR="00AD60C0" w:rsidRPr="00AD60C0">
        <w:rPr>
          <w:sz w:val="24"/>
          <w:szCs w:val="24"/>
        </w:rPr>
        <w:t>Burntland</w:t>
      </w:r>
      <w:proofErr w:type="spellEnd"/>
      <w:r w:rsidR="00AD60C0" w:rsidRPr="00AD60C0">
        <w:rPr>
          <w:sz w:val="24"/>
          <w:szCs w:val="24"/>
        </w:rPr>
        <w:t xml:space="preserve"> Project in northern New Brunswick. Forages Technic </w:t>
      </w:r>
      <w:proofErr w:type="spellStart"/>
      <w:r w:rsidR="00AD60C0" w:rsidRPr="00AD60C0">
        <w:rPr>
          <w:sz w:val="24"/>
          <w:szCs w:val="24"/>
        </w:rPr>
        <w:t>Eau</w:t>
      </w:r>
      <w:proofErr w:type="spellEnd"/>
      <w:r w:rsidR="00AD60C0" w:rsidRPr="00AD60C0">
        <w:rPr>
          <w:sz w:val="24"/>
          <w:szCs w:val="24"/>
        </w:rPr>
        <w:t xml:space="preserve"> Inc. (“</w:t>
      </w:r>
      <w:r w:rsidR="00AD60C0" w:rsidRPr="00AD60C0">
        <w:rPr>
          <w:b/>
          <w:bCs/>
          <w:sz w:val="24"/>
          <w:szCs w:val="24"/>
        </w:rPr>
        <w:t>FTE</w:t>
      </w:r>
      <w:r w:rsidR="00AD60C0" w:rsidRPr="00AD60C0">
        <w:rPr>
          <w:sz w:val="24"/>
          <w:szCs w:val="24"/>
        </w:rPr>
        <w:t xml:space="preserve">”) is the contractor engaged to undertake the diamond drilling program, which will consist of seven holes to be drilled to a depth of ~200 </w:t>
      </w:r>
      <w:proofErr w:type="spellStart"/>
      <w:r w:rsidR="00AD60C0" w:rsidRPr="00AD60C0">
        <w:rPr>
          <w:sz w:val="24"/>
          <w:szCs w:val="24"/>
        </w:rPr>
        <w:t>metres</w:t>
      </w:r>
      <w:proofErr w:type="spellEnd"/>
      <w:r w:rsidR="00AD60C0" w:rsidRPr="00AD60C0">
        <w:rPr>
          <w:sz w:val="24"/>
          <w:szCs w:val="24"/>
        </w:rPr>
        <w:t xml:space="preserve"> each and is expected to be completed within 28 days, with a short break occurring over the Christmas holidays. FTE will be running two crew shifts per day in order to complete the drilling as quickly as possible. Patrick </w:t>
      </w:r>
      <w:proofErr w:type="spellStart"/>
      <w:r w:rsidR="00AD60C0" w:rsidRPr="00AD60C0">
        <w:rPr>
          <w:sz w:val="24"/>
          <w:szCs w:val="24"/>
        </w:rPr>
        <w:t>Laforest</w:t>
      </w:r>
      <w:proofErr w:type="spellEnd"/>
      <w:r w:rsidR="00AD60C0" w:rsidRPr="00AD60C0">
        <w:rPr>
          <w:sz w:val="24"/>
          <w:szCs w:val="24"/>
        </w:rPr>
        <w:t xml:space="preserve">, </w:t>
      </w:r>
      <w:proofErr w:type="spellStart"/>
      <w:proofErr w:type="gramStart"/>
      <w:r w:rsidR="00AD60C0" w:rsidRPr="00AD60C0">
        <w:rPr>
          <w:sz w:val="24"/>
          <w:szCs w:val="24"/>
        </w:rPr>
        <w:t>P.Geo</w:t>
      </w:r>
      <w:proofErr w:type="spellEnd"/>
      <w:proofErr w:type="gramEnd"/>
      <w:r w:rsidR="00AD60C0" w:rsidRPr="00AD60C0">
        <w:rPr>
          <w:sz w:val="24"/>
          <w:szCs w:val="24"/>
        </w:rPr>
        <w:t>, is the Company’s field project manager overseeing the drill program as well as being the designated QC/QA geologist.</w:t>
      </w:r>
    </w:p>
    <w:p w14:paraId="14B1820B" w14:textId="78D6AA8C" w:rsidR="00E716B1" w:rsidRDefault="00E716B1" w:rsidP="006C4E9E">
      <w:pPr>
        <w:pStyle w:val="Body"/>
        <w:ind w:left="720"/>
        <w:jc w:val="both"/>
        <w:rPr>
          <w:rFonts w:cs="Arial"/>
          <w:i/>
          <w:sz w:val="24"/>
          <w:szCs w:val="24"/>
        </w:rPr>
      </w:pPr>
    </w:p>
    <w:p w14:paraId="5E59B2CC" w14:textId="0625E329" w:rsidR="00E716B1" w:rsidRPr="00AD60C0" w:rsidRDefault="00E716B1" w:rsidP="006C4E9E">
      <w:pPr>
        <w:pStyle w:val="Body"/>
        <w:ind w:left="720"/>
        <w:jc w:val="both"/>
        <w:rPr>
          <w:rFonts w:cs="Arial"/>
          <w:i/>
          <w:sz w:val="24"/>
          <w:szCs w:val="24"/>
        </w:rPr>
      </w:pPr>
      <w:r>
        <w:rPr>
          <w:i/>
          <w:sz w:val="24"/>
          <w:szCs w:val="24"/>
        </w:rPr>
        <w:t xml:space="preserve">On December 20, 2021 the Company announced </w:t>
      </w:r>
      <w:r w:rsidRPr="00E716B1">
        <w:rPr>
          <w:i/>
          <w:sz w:val="24"/>
          <w:szCs w:val="24"/>
        </w:rPr>
        <w:t xml:space="preserve">that it has entered into a Property Acquisition Agreement dated November 30, 2021 with 9248-7792 Quebec Inc. and Prospect </w:t>
      </w:r>
      <w:proofErr w:type="gramStart"/>
      <w:r w:rsidRPr="00E716B1">
        <w:rPr>
          <w:i/>
          <w:sz w:val="24"/>
          <w:szCs w:val="24"/>
        </w:rPr>
        <w:t>Or</w:t>
      </w:r>
      <w:proofErr w:type="gramEnd"/>
      <w:r w:rsidRPr="00E716B1">
        <w:rPr>
          <w:i/>
          <w:sz w:val="24"/>
          <w:szCs w:val="24"/>
        </w:rPr>
        <w:t xml:space="preserve"> Corp. to acquire two additional claims comprised of 520 hectares of land that are adjacent and contiguous to the </w:t>
      </w:r>
      <w:proofErr w:type="spellStart"/>
      <w:r w:rsidRPr="00E716B1">
        <w:rPr>
          <w:i/>
          <w:sz w:val="24"/>
          <w:szCs w:val="24"/>
        </w:rPr>
        <w:t>Burntland</w:t>
      </w:r>
      <w:proofErr w:type="spellEnd"/>
      <w:r w:rsidRPr="00E716B1">
        <w:rPr>
          <w:i/>
          <w:sz w:val="24"/>
          <w:szCs w:val="24"/>
        </w:rPr>
        <w:t xml:space="preserve"> Project currently under option to the Company</w:t>
      </w:r>
      <w:r>
        <w:rPr>
          <w:i/>
          <w:sz w:val="24"/>
          <w:szCs w:val="24"/>
        </w:rPr>
        <w:t>.</w:t>
      </w:r>
    </w:p>
    <w:p w14:paraId="3C946731" w14:textId="24479F30" w:rsidR="002A232C" w:rsidRDefault="002A232C" w:rsidP="006C4E9E">
      <w:pPr>
        <w:pStyle w:val="Body"/>
        <w:ind w:left="720"/>
        <w:jc w:val="both"/>
        <w:rPr>
          <w:rFonts w:cs="Arial"/>
          <w:i/>
          <w:sz w:val="24"/>
          <w:szCs w:val="24"/>
        </w:rPr>
      </w:pPr>
    </w:p>
    <w:p w14:paraId="64E6DAAD" w14:textId="4EC3DAB0"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345663">
        <w:rPr>
          <w:rFonts w:ascii="Arial" w:hAnsi="Arial"/>
        </w:rPr>
        <w:t xml:space="preserve"> </w:t>
      </w:r>
    </w:p>
    <w:p w14:paraId="6C65AC40" w14:textId="27F41ECA" w:rsidR="00231A4C" w:rsidRDefault="00E716B1" w:rsidP="00231A4C">
      <w:pPr>
        <w:pStyle w:val="List"/>
        <w:spacing w:before="120"/>
        <w:ind w:left="720" w:firstLine="0"/>
        <w:jc w:val="both"/>
        <w:rPr>
          <w:rFonts w:ascii="Arial" w:hAnsi="Arial"/>
          <w:i/>
          <w:lang w:val="en-US"/>
        </w:rPr>
      </w:pPr>
      <w:r>
        <w:rPr>
          <w:rFonts w:ascii="Arial" w:hAnsi="Arial"/>
          <w:i/>
        </w:rPr>
        <w:t>T</w:t>
      </w:r>
      <w:r w:rsidRPr="00E716B1">
        <w:rPr>
          <w:rFonts w:ascii="Arial" w:hAnsi="Arial"/>
          <w:i/>
          <w:lang w:val="en-US"/>
        </w:rPr>
        <w:t xml:space="preserve">he Company has commenced a diamond drill program on the Company’s wholly owned </w:t>
      </w:r>
      <w:proofErr w:type="spellStart"/>
      <w:r w:rsidRPr="00E716B1">
        <w:rPr>
          <w:rFonts w:ascii="Arial" w:hAnsi="Arial"/>
          <w:i/>
          <w:lang w:val="en-US"/>
        </w:rPr>
        <w:t>Burntland</w:t>
      </w:r>
      <w:proofErr w:type="spellEnd"/>
      <w:r w:rsidRPr="00E716B1">
        <w:rPr>
          <w:rFonts w:ascii="Arial" w:hAnsi="Arial"/>
          <w:i/>
          <w:lang w:val="en-US"/>
        </w:rPr>
        <w:t xml:space="preserve"> Project in northern New Brunswick. </w:t>
      </w:r>
      <w:r w:rsidR="00004227" w:rsidRPr="00AD60C0">
        <w:rPr>
          <w:rFonts w:ascii="Arial" w:hAnsi="Arial"/>
          <w:i/>
          <w:szCs w:val="24"/>
        </w:rPr>
        <w:t xml:space="preserve">Seven drill hole targets were identified following a trenching program and a </w:t>
      </w:r>
      <w:r w:rsidR="00004227" w:rsidRPr="00AD60C0">
        <w:rPr>
          <w:rFonts w:ascii="Arial" w:hAnsi="Arial" w:cs="Arial"/>
          <w:i/>
          <w:szCs w:val="24"/>
        </w:rPr>
        <w:t>975 line-kilometre high-resolution drone magnetic survey that was conducted over the summer and early fall, and an additional geophysical VLF-EM,</w:t>
      </w:r>
      <w:r w:rsidR="00004227" w:rsidRPr="00AD60C0">
        <w:rPr>
          <w:rFonts w:ascii="Arial" w:hAnsi="Arial"/>
          <w:i/>
          <w:szCs w:val="24"/>
        </w:rPr>
        <w:t xml:space="preserve"> DTM and Mag survey completed in October.</w:t>
      </w:r>
      <w:r w:rsidR="00004227">
        <w:rPr>
          <w:rFonts w:ascii="Arial" w:hAnsi="Arial"/>
          <w:i/>
          <w:szCs w:val="24"/>
        </w:rPr>
        <w:t xml:space="preserve"> </w:t>
      </w:r>
      <w:r w:rsidRPr="00E716B1">
        <w:rPr>
          <w:rFonts w:ascii="Arial" w:hAnsi="Arial"/>
          <w:i/>
          <w:lang w:val="en-US"/>
        </w:rPr>
        <w:t xml:space="preserve">Forages Technic </w:t>
      </w:r>
      <w:proofErr w:type="spellStart"/>
      <w:r w:rsidRPr="00E716B1">
        <w:rPr>
          <w:rFonts w:ascii="Arial" w:hAnsi="Arial"/>
          <w:i/>
          <w:lang w:val="en-US"/>
        </w:rPr>
        <w:t>Eau</w:t>
      </w:r>
      <w:proofErr w:type="spellEnd"/>
      <w:r w:rsidRPr="00E716B1">
        <w:rPr>
          <w:rFonts w:ascii="Arial" w:hAnsi="Arial"/>
          <w:i/>
          <w:lang w:val="en-US"/>
        </w:rPr>
        <w:t xml:space="preserve"> Inc. (“</w:t>
      </w:r>
      <w:r w:rsidRPr="00E716B1">
        <w:rPr>
          <w:rFonts w:ascii="Arial" w:hAnsi="Arial"/>
          <w:b/>
          <w:bCs/>
          <w:i/>
          <w:lang w:val="en-US"/>
        </w:rPr>
        <w:t>FTE</w:t>
      </w:r>
      <w:r w:rsidRPr="00E716B1">
        <w:rPr>
          <w:rFonts w:ascii="Arial" w:hAnsi="Arial"/>
          <w:i/>
          <w:lang w:val="en-US"/>
        </w:rPr>
        <w:t xml:space="preserve">”) is the contractor engaged to undertake the diamond drilling program, which will consist of seven holes to be drilled to a depth of ~200 </w:t>
      </w:r>
      <w:proofErr w:type="spellStart"/>
      <w:r w:rsidRPr="00E716B1">
        <w:rPr>
          <w:rFonts w:ascii="Arial" w:hAnsi="Arial"/>
          <w:i/>
          <w:lang w:val="en-US"/>
        </w:rPr>
        <w:t>metres</w:t>
      </w:r>
      <w:proofErr w:type="spellEnd"/>
      <w:r w:rsidRPr="00E716B1">
        <w:rPr>
          <w:rFonts w:ascii="Arial" w:hAnsi="Arial"/>
          <w:i/>
          <w:lang w:val="en-US"/>
        </w:rPr>
        <w:t xml:space="preserve"> each and is expected to be completed within 28 days, with a short </w:t>
      </w:r>
      <w:r w:rsidRPr="00E716B1">
        <w:rPr>
          <w:rFonts w:ascii="Arial" w:hAnsi="Arial"/>
          <w:i/>
          <w:lang w:val="en-US"/>
        </w:rPr>
        <w:lastRenderedPageBreak/>
        <w:t xml:space="preserve">break occurring over the Christmas holidays. FTE will be running two crew shifts per day in order to complete the drilling as quickly as possible. Patrick </w:t>
      </w:r>
      <w:proofErr w:type="spellStart"/>
      <w:r w:rsidRPr="00E716B1">
        <w:rPr>
          <w:rFonts w:ascii="Arial" w:hAnsi="Arial"/>
          <w:i/>
          <w:lang w:val="en-US"/>
        </w:rPr>
        <w:t>Laforest</w:t>
      </w:r>
      <w:proofErr w:type="spellEnd"/>
      <w:r w:rsidRPr="00E716B1">
        <w:rPr>
          <w:rFonts w:ascii="Arial" w:hAnsi="Arial"/>
          <w:i/>
          <w:lang w:val="en-US"/>
        </w:rPr>
        <w:t xml:space="preserve">, </w:t>
      </w:r>
      <w:proofErr w:type="spellStart"/>
      <w:proofErr w:type="gramStart"/>
      <w:r w:rsidRPr="00E716B1">
        <w:rPr>
          <w:rFonts w:ascii="Arial" w:hAnsi="Arial"/>
          <w:i/>
          <w:lang w:val="en-US"/>
        </w:rPr>
        <w:t>P.Geo</w:t>
      </w:r>
      <w:proofErr w:type="spellEnd"/>
      <w:proofErr w:type="gramEnd"/>
      <w:r w:rsidRPr="00E716B1">
        <w:rPr>
          <w:rFonts w:ascii="Arial" w:hAnsi="Arial"/>
          <w:i/>
          <w:lang w:val="en-US"/>
        </w:rPr>
        <w:t>, is the Company’s field project manager overseeing the drill program as well as being the designated QC/QA geologist.</w:t>
      </w:r>
    </w:p>
    <w:p w14:paraId="5B4DE719" w14:textId="70A0BA78" w:rsidR="00004227" w:rsidRPr="00004227" w:rsidRDefault="00004227" w:rsidP="00231A4C">
      <w:pPr>
        <w:pStyle w:val="List"/>
        <w:spacing w:before="120"/>
        <w:ind w:left="720" w:firstLine="0"/>
        <w:jc w:val="both"/>
        <w:rPr>
          <w:rFonts w:ascii="Arial" w:hAnsi="Arial"/>
          <w:i/>
          <w:lang w:val="en-CA"/>
        </w:rPr>
      </w:pPr>
      <w:r w:rsidRPr="00004227">
        <w:rPr>
          <w:rFonts w:ascii="Arial" w:hAnsi="Arial"/>
          <w:i/>
          <w:lang w:val="en-US"/>
        </w:rPr>
        <w:t xml:space="preserve">The </w:t>
      </w:r>
      <w:r w:rsidRPr="00004227">
        <w:rPr>
          <w:rFonts w:ascii="Arial" w:hAnsi="Arial"/>
          <w:i/>
          <w:lang w:val="en-US"/>
        </w:rPr>
        <w:t xml:space="preserve">Company entered into a </w:t>
      </w:r>
      <w:r w:rsidRPr="00004227">
        <w:rPr>
          <w:rFonts w:ascii="Arial" w:hAnsi="Arial"/>
          <w:i/>
          <w:sz w:val="22"/>
          <w:szCs w:val="22"/>
        </w:rPr>
        <w:t>Property Acquisition Agreement (the “</w:t>
      </w:r>
      <w:r w:rsidRPr="00004227">
        <w:rPr>
          <w:rFonts w:ascii="Arial" w:hAnsi="Arial"/>
          <w:b/>
          <w:bCs/>
          <w:i/>
          <w:sz w:val="22"/>
          <w:szCs w:val="22"/>
        </w:rPr>
        <w:t>Agreement</w:t>
      </w:r>
      <w:r w:rsidRPr="00004227">
        <w:rPr>
          <w:rFonts w:ascii="Arial" w:hAnsi="Arial"/>
          <w:i/>
          <w:sz w:val="22"/>
          <w:szCs w:val="22"/>
        </w:rPr>
        <w:t>”) dated November 30, 2021 with 9248-7792 Quebec Inc. (“</w:t>
      </w:r>
      <w:r w:rsidRPr="00004227">
        <w:rPr>
          <w:rFonts w:ascii="Arial" w:hAnsi="Arial"/>
          <w:b/>
          <w:bCs/>
          <w:i/>
          <w:sz w:val="22"/>
          <w:szCs w:val="22"/>
        </w:rPr>
        <w:t>9248</w:t>
      </w:r>
      <w:r w:rsidRPr="00004227">
        <w:rPr>
          <w:rFonts w:ascii="Arial" w:hAnsi="Arial"/>
          <w:i/>
          <w:sz w:val="22"/>
          <w:szCs w:val="22"/>
        </w:rPr>
        <w:t xml:space="preserve">”) and Prospect </w:t>
      </w:r>
      <w:proofErr w:type="gramStart"/>
      <w:r w:rsidRPr="00004227">
        <w:rPr>
          <w:rFonts w:ascii="Arial" w:hAnsi="Arial"/>
          <w:i/>
          <w:sz w:val="22"/>
          <w:szCs w:val="22"/>
        </w:rPr>
        <w:t>Or</w:t>
      </w:r>
      <w:proofErr w:type="gramEnd"/>
      <w:r w:rsidRPr="00004227">
        <w:rPr>
          <w:rFonts w:ascii="Arial" w:hAnsi="Arial"/>
          <w:i/>
          <w:sz w:val="22"/>
          <w:szCs w:val="22"/>
        </w:rPr>
        <w:t xml:space="preserve"> Corp. (“</w:t>
      </w:r>
      <w:r w:rsidRPr="00004227">
        <w:rPr>
          <w:rFonts w:ascii="Arial" w:hAnsi="Arial"/>
          <w:b/>
          <w:bCs/>
          <w:i/>
          <w:sz w:val="22"/>
          <w:szCs w:val="22"/>
        </w:rPr>
        <w:t>POC</w:t>
      </w:r>
      <w:r w:rsidRPr="00004227">
        <w:rPr>
          <w:rFonts w:ascii="Arial" w:hAnsi="Arial"/>
          <w:i/>
          <w:sz w:val="22"/>
          <w:szCs w:val="22"/>
        </w:rPr>
        <w:t xml:space="preserve">”, and collectively with </w:t>
      </w:r>
      <w:r w:rsidRPr="00004227">
        <w:rPr>
          <w:rFonts w:ascii="Arial" w:hAnsi="Arial"/>
          <w:b/>
          <w:bCs/>
          <w:i/>
          <w:sz w:val="22"/>
          <w:szCs w:val="22"/>
        </w:rPr>
        <w:t>9248</w:t>
      </w:r>
      <w:r w:rsidRPr="00004227">
        <w:rPr>
          <w:rFonts w:ascii="Arial" w:hAnsi="Arial"/>
          <w:i/>
          <w:sz w:val="22"/>
          <w:szCs w:val="22"/>
        </w:rPr>
        <w:t>, the “</w:t>
      </w:r>
      <w:r w:rsidRPr="00004227">
        <w:rPr>
          <w:rFonts w:ascii="Arial" w:hAnsi="Arial"/>
          <w:b/>
          <w:bCs/>
          <w:i/>
          <w:sz w:val="22"/>
          <w:szCs w:val="22"/>
        </w:rPr>
        <w:t>Vendors</w:t>
      </w:r>
      <w:r w:rsidRPr="00004227">
        <w:rPr>
          <w:rFonts w:ascii="Arial" w:hAnsi="Arial"/>
          <w:i/>
          <w:sz w:val="22"/>
          <w:szCs w:val="22"/>
        </w:rPr>
        <w:t>”) to acquire two additional claims comprised of 520 hectares of land (the “</w:t>
      </w:r>
      <w:r w:rsidRPr="00004227">
        <w:rPr>
          <w:rFonts w:ascii="Arial" w:hAnsi="Arial"/>
          <w:b/>
          <w:bCs/>
          <w:i/>
          <w:sz w:val="22"/>
          <w:szCs w:val="22"/>
        </w:rPr>
        <w:t>Property</w:t>
      </w:r>
      <w:r w:rsidRPr="00004227">
        <w:rPr>
          <w:rFonts w:ascii="Arial" w:hAnsi="Arial"/>
          <w:i/>
          <w:sz w:val="22"/>
          <w:szCs w:val="22"/>
        </w:rPr>
        <w:t xml:space="preserve">”) that are adjacent and contiguous to the </w:t>
      </w:r>
      <w:proofErr w:type="spellStart"/>
      <w:r w:rsidRPr="00004227">
        <w:rPr>
          <w:rFonts w:ascii="Arial" w:hAnsi="Arial"/>
          <w:i/>
          <w:sz w:val="22"/>
          <w:szCs w:val="22"/>
        </w:rPr>
        <w:t>Burntland</w:t>
      </w:r>
      <w:proofErr w:type="spellEnd"/>
      <w:r w:rsidRPr="00004227">
        <w:rPr>
          <w:rFonts w:ascii="Arial" w:hAnsi="Arial"/>
          <w:i/>
          <w:sz w:val="22"/>
          <w:szCs w:val="22"/>
        </w:rPr>
        <w:t xml:space="preserve"> Project currently under option to the Company, as announced in a news release on September 17, 2020</w:t>
      </w:r>
      <w:r w:rsidRPr="00004227">
        <w:rPr>
          <w:rFonts w:ascii="Arial" w:hAnsi="Arial"/>
          <w:i/>
          <w:lang w:val="en-US"/>
        </w:rPr>
        <w:t>.</w:t>
      </w:r>
      <w:r w:rsidRPr="00004227">
        <w:rPr>
          <w:rFonts w:ascii="Arial" w:hAnsi="Arial"/>
          <w:i/>
          <w:lang w:val="en-US"/>
        </w:rPr>
        <w:t xml:space="preserve"> </w:t>
      </w:r>
      <w:r w:rsidRPr="00004227">
        <w:rPr>
          <w:rFonts w:ascii="Arial" w:hAnsi="Arial"/>
          <w:i/>
          <w:sz w:val="22"/>
          <w:szCs w:val="22"/>
        </w:rPr>
        <w:t>Under the terms of the Agreement, the Vendors will assign, transfer and sell each of its rights, titles, and interests in and to the Property in exchange for CAT issuing a total of 7,000,000 common shares (the “</w:t>
      </w:r>
      <w:r w:rsidRPr="00004227">
        <w:rPr>
          <w:rFonts w:ascii="Arial" w:hAnsi="Arial"/>
          <w:b/>
          <w:bCs/>
          <w:i/>
          <w:sz w:val="22"/>
          <w:szCs w:val="22"/>
        </w:rPr>
        <w:t>Shares</w:t>
      </w:r>
      <w:r w:rsidRPr="00004227">
        <w:rPr>
          <w:rFonts w:ascii="Arial" w:hAnsi="Arial"/>
          <w:i/>
          <w:sz w:val="22"/>
          <w:szCs w:val="22"/>
        </w:rPr>
        <w:t>”) to the Vendors. In addition, the Vendors shall retain a 2% Net Smelter Return (the “</w:t>
      </w:r>
      <w:r w:rsidRPr="00004227">
        <w:rPr>
          <w:rFonts w:ascii="Arial" w:hAnsi="Arial"/>
          <w:b/>
          <w:bCs/>
          <w:i/>
          <w:sz w:val="22"/>
          <w:szCs w:val="22"/>
        </w:rPr>
        <w:t>NSR</w:t>
      </w:r>
      <w:r w:rsidRPr="00004227">
        <w:rPr>
          <w:rFonts w:ascii="Arial" w:hAnsi="Arial"/>
          <w:i/>
          <w:sz w:val="22"/>
          <w:szCs w:val="22"/>
        </w:rPr>
        <w:t>”) royalty, with CAT having the right to repurchase half of the NSR at any time in consideration of an amount of $1,000,000 being payable to the Vendors.</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09C7120" w14:textId="77777777" w:rsidR="004A6653" w:rsidRDefault="004A6653" w:rsidP="004A6653">
      <w:pPr>
        <w:pStyle w:val="Body"/>
        <w:ind w:left="720"/>
        <w:jc w:val="both"/>
        <w:rPr>
          <w:i/>
        </w:rPr>
      </w:pPr>
    </w:p>
    <w:p w14:paraId="45202E9B" w14:textId="2693D97B" w:rsidR="00231A4C" w:rsidRPr="007C7324" w:rsidRDefault="007C7324" w:rsidP="007C7324">
      <w:pPr>
        <w:pStyle w:val="Body"/>
        <w:ind w:left="720"/>
        <w:jc w:val="both"/>
        <w:rPr>
          <w:rFonts w:cs="Arial"/>
          <w:i/>
          <w:iCs/>
          <w:sz w:val="24"/>
          <w:szCs w:val="24"/>
        </w:rPr>
      </w:pPr>
      <w:r w:rsidRPr="007C7324">
        <w:rPr>
          <w:i/>
          <w:sz w:val="24"/>
          <w:szCs w:val="24"/>
        </w:rPr>
        <w:t>Not applicable in the current month</w:t>
      </w:r>
    </w:p>
    <w:p w14:paraId="0590C090" w14:textId="732CCFC8" w:rsidR="002A232C" w:rsidRDefault="00640E94" w:rsidP="002A232C">
      <w:pPr>
        <w:pStyle w:val="List"/>
        <w:numPr>
          <w:ilvl w:val="0"/>
          <w:numId w:val="28"/>
        </w:numPr>
        <w:spacing w:before="120"/>
        <w:jc w:val="both"/>
        <w:rPr>
          <w:rFonts w:ascii="Arial" w:hAnsi="Arial" w:cs="Arial"/>
          <w:szCs w:val="24"/>
        </w:rPr>
      </w:pPr>
      <w:r w:rsidRPr="007C7324">
        <w:rPr>
          <w:rFonts w:ascii="Arial" w:hAnsi="Arial" w:cs="Arial"/>
          <w:szCs w:val="24"/>
        </w:rPr>
        <w:t>Describe any new business relationships entered</w:t>
      </w:r>
      <w:r w:rsidRPr="004A6653">
        <w:rPr>
          <w:rFonts w:ascii="Arial" w:hAnsi="Arial" w:cs="Arial"/>
          <w:szCs w:val="24"/>
        </w:rPr>
        <w:t xml:space="preserve">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475560B" w14:textId="77777777" w:rsidR="00004227" w:rsidRDefault="00004227" w:rsidP="002A232C">
      <w:pPr>
        <w:pStyle w:val="Body"/>
        <w:ind w:left="720"/>
        <w:jc w:val="both"/>
        <w:rPr>
          <w:rFonts w:cs="Arial"/>
          <w:i/>
          <w:sz w:val="24"/>
          <w:szCs w:val="24"/>
        </w:rPr>
      </w:pPr>
    </w:p>
    <w:p w14:paraId="1E9E644C" w14:textId="2D233DF8" w:rsidR="00166B55" w:rsidRPr="002A232C" w:rsidRDefault="00004227" w:rsidP="002A232C">
      <w:pPr>
        <w:pStyle w:val="Body"/>
        <w:ind w:left="720"/>
        <w:jc w:val="both"/>
        <w:rPr>
          <w:rFonts w:cs="Arial"/>
          <w:i/>
          <w:sz w:val="24"/>
          <w:szCs w:val="24"/>
        </w:rPr>
      </w:pPr>
      <w:r>
        <w:rPr>
          <w:rFonts w:cs="Arial"/>
          <w:i/>
          <w:sz w:val="24"/>
          <w:szCs w:val="24"/>
        </w:rPr>
        <w:t xml:space="preserve">Not applicable in the current </w:t>
      </w:r>
      <w:r w:rsidR="007C7324" w:rsidRPr="002A232C">
        <w:rPr>
          <w:rFonts w:cs="Arial"/>
          <w:i/>
          <w:sz w:val="24"/>
          <w:szCs w:val="24"/>
        </w:rPr>
        <w:t>month</w:t>
      </w:r>
    </w:p>
    <w:p w14:paraId="4294A695" w14:textId="4F42BA70" w:rsidR="00640E94" w:rsidRPr="004A6653" w:rsidRDefault="00640E94">
      <w:pPr>
        <w:pStyle w:val="List"/>
        <w:numPr>
          <w:ilvl w:val="0"/>
          <w:numId w:val="28"/>
        </w:numPr>
        <w:spacing w:before="120"/>
        <w:jc w:val="both"/>
        <w:rPr>
          <w:rFonts w:ascii="Arial" w:hAnsi="Arial" w:cs="Arial"/>
          <w:szCs w:val="24"/>
        </w:rPr>
      </w:pPr>
      <w:r w:rsidRPr="002A232C">
        <w:rPr>
          <w:rFonts w:ascii="Arial" w:hAnsi="Arial" w:cs="Arial"/>
          <w:szCs w:val="24"/>
        </w:rPr>
        <w:t>Describe the expiry or termination of any contracts</w:t>
      </w:r>
      <w:r w:rsidRPr="004A6653">
        <w:rPr>
          <w:rFonts w:ascii="Arial" w:hAnsi="Arial" w:cs="Arial"/>
          <w:szCs w:val="24"/>
        </w:rPr>
        <w:t xml:space="preserve"> or agreements between the Issuer, the Issuer’s affiliates or third parties or cancellation of any financing arrangements that have been previously announced.</w:t>
      </w:r>
    </w:p>
    <w:p w14:paraId="4DF746F5" w14:textId="5A6382B8" w:rsidR="005A2756" w:rsidRPr="004A6653" w:rsidRDefault="005A2756" w:rsidP="003F5389">
      <w:pPr>
        <w:pStyle w:val="List"/>
        <w:spacing w:before="120"/>
        <w:ind w:left="720" w:firstLine="0"/>
        <w:jc w:val="both"/>
        <w:rPr>
          <w:rFonts w:ascii="Arial" w:hAnsi="Arial" w:cs="Arial"/>
          <w:i/>
          <w:szCs w:val="24"/>
        </w:rPr>
      </w:pPr>
      <w:r w:rsidRPr="004A6653">
        <w:rPr>
          <w:rFonts w:ascii="Arial" w:hAnsi="Arial" w:cs="Arial"/>
          <w:i/>
          <w:szCs w:val="24"/>
        </w:rPr>
        <w:t>Not applicable in the current month</w:t>
      </w:r>
    </w:p>
    <w:p w14:paraId="3888FA10" w14:textId="14DC1A19" w:rsidR="00231A4C" w:rsidRDefault="007540F1" w:rsidP="00231A4C">
      <w:pPr>
        <w:pStyle w:val="List"/>
        <w:numPr>
          <w:ilvl w:val="0"/>
          <w:numId w:val="28"/>
        </w:numPr>
        <w:spacing w:before="120"/>
        <w:jc w:val="both"/>
        <w:rPr>
          <w:rFonts w:ascii="Arial" w:hAnsi="Arial"/>
        </w:rPr>
      </w:pPr>
      <w:r w:rsidRPr="004A6653">
        <w:rPr>
          <w:rFonts w:ascii="Arial" w:hAnsi="Arial" w:cs="Arial"/>
          <w:szCs w:val="24"/>
        </w:rPr>
        <w:t>Describe any acquisitions by the Issuer or dispositions of the Issuer’s assets that occurred during the preceding</w:t>
      </w:r>
      <w:r>
        <w:rPr>
          <w:rFonts w:ascii="Arial" w:hAnsi="Arial"/>
        </w:rPr>
        <w:t xml:space="preserve">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AFE02D" w14:textId="41633621" w:rsidR="00166B55" w:rsidRPr="00004227" w:rsidRDefault="00004227" w:rsidP="0016043A">
      <w:pPr>
        <w:pStyle w:val="List"/>
        <w:spacing w:before="120"/>
        <w:ind w:left="720" w:firstLine="0"/>
        <w:jc w:val="both"/>
        <w:rPr>
          <w:rFonts w:ascii="Arial" w:hAnsi="Arial"/>
          <w:i/>
          <w:szCs w:val="24"/>
          <w:lang w:val="en-CA"/>
        </w:rPr>
      </w:pPr>
      <w:r w:rsidRPr="00004227">
        <w:rPr>
          <w:rFonts w:ascii="Arial" w:hAnsi="Arial"/>
          <w:i/>
          <w:szCs w:val="24"/>
          <w:lang w:val="en-US"/>
        </w:rPr>
        <w:t xml:space="preserve">The Company entered into a </w:t>
      </w:r>
      <w:r w:rsidRPr="00004227">
        <w:rPr>
          <w:rFonts w:ascii="Arial" w:hAnsi="Arial"/>
          <w:i/>
          <w:szCs w:val="24"/>
        </w:rPr>
        <w:t>Property Acquisition Agreement (the “</w:t>
      </w:r>
      <w:r w:rsidRPr="00004227">
        <w:rPr>
          <w:rFonts w:ascii="Arial" w:hAnsi="Arial"/>
          <w:b/>
          <w:bCs/>
          <w:i/>
          <w:szCs w:val="24"/>
        </w:rPr>
        <w:t>Agreement</w:t>
      </w:r>
      <w:r w:rsidRPr="00004227">
        <w:rPr>
          <w:rFonts w:ascii="Arial" w:hAnsi="Arial"/>
          <w:i/>
          <w:szCs w:val="24"/>
        </w:rPr>
        <w:t>”) dated November 30, 2021 with 9248-7792 Quebec Inc. (“</w:t>
      </w:r>
      <w:r w:rsidRPr="00004227">
        <w:rPr>
          <w:rFonts w:ascii="Arial" w:hAnsi="Arial"/>
          <w:b/>
          <w:bCs/>
          <w:i/>
          <w:szCs w:val="24"/>
        </w:rPr>
        <w:t>9248</w:t>
      </w:r>
      <w:r w:rsidRPr="00004227">
        <w:rPr>
          <w:rFonts w:ascii="Arial" w:hAnsi="Arial"/>
          <w:i/>
          <w:szCs w:val="24"/>
        </w:rPr>
        <w:t xml:space="preserve">”) and Prospect </w:t>
      </w:r>
      <w:proofErr w:type="gramStart"/>
      <w:r w:rsidRPr="00004227">
        <w:rPr>
          <w:rFonts w:ascii="Arial" w:hAnsi="Arial"/>
          <w:i/>
          <w:szCs w:val="24"/>
        </w:rPr>
        <w:t>Or</w:t>
      </w:r>
      <w:proofErr w:type="gramEnd"/>
      <w:r w:rsidRPr="00004227">
        <w:rPr>
          <w:rFonts w:ascii="Arial" w:hAnsi="Arial"/>
          <w:i/>
          <w:szCs w:val="24"/>
        </w:rPr>
        <w:t xml:space="preserve"> Corp. (“</w:t>
      </w:r>
      <w:r w:rsidRPr="00004227">
        <w:rPr>
          <w:rFonts w:ascii="Arial" w:hAnsi="Arial"/>
          <w:b/>
          <w:bCs/>
          <w:i/>
          <w:szCs w:val="24"/>
        </w:rPr>
        <w:t>POC</w:t>
      </w:r>
      <w:r w:rsidRPr="00004227">
        <w:rPr>
          <w:rFonts w:ascii="Arial" w:hAnsi="Arial"/>
          <w:i/>
          <w:szCs w:val="24"/>
        </w:rPr>
        <w:t xml:space="preserve">”, and collectively with </w:t>
      </w:r>
      <w:r w:rsidRPr="00004227">
        <w:rPr>
          <w:rFonts w:ascii="Arial" w:hAnsi="Arial"/>
          <w:b/>
          <w:bCs/>
          <w:i/>
          <w:szCs w:val="24"/>
        </w:rPr>
        <w:t>9248</w:t>
      </w:r>
      <w:r w:rsidRPr="00004227">
        <w:rPr>
          <w:rFonts w:ascii="Arial" w:hAnsi="Arial"/>
          <w:i/>
          <w:szCs w:val="24"/>
        </w:rPr>
        <w:t>, the “</w:t>
      </w:r>
      <w:r w:rsidRPr="00004227">
        <w:rPr>
          <w:rFonts w:ascii="Arial" w:hAnsi="Arial"/>
          <w:b/>
          <w:bCs/>
          <w:i/>
          <w:szCs w:val="24"/>
        </w:rPr>
        <w:t>Vendors</w:t>
      </w:r>
      <w:r w:rsidRPr="00004227">
        <w:rPr>
          <w:rFonts w:ascii="Arial" w:hAnsi="Arial"/>
          <w:i/>
          <w:szCs w:val="24"/>
        </w:rPr>
        <w:t>”) to acquire two additional claims comprised of 520 hectares of land (the “</w:t>
      </w:r>
      <w:r w:rsidRPr="00004227">
        <w:rPr>
          <w:rFonts w:ascii="Arial" w:hAnsi="Arial"/>
          <w:b/>
          <w:bCs/>
          <w:i/>
          <w:szCs w:val="24"/>
        </w:rPr>
        <w:t>Property</w:t>
      </w:r>
      <w:r w:rsidRPr="00004227">
        <w:rPr>
          <w:rFonts w:ascii="Arial" w:hAnsi="Arial"/>
          <w:i/>
          <w:szCs w:val="24"/>
        </w:rPr>
        <w:t xml:space="preserve">”) that are adjacent and contiguous to the </w:t>
      </w:r>
      <w:proofErr w:type="spellStart"/>
      <w:r w:rsidRPr="00004227">
        <w:rPr>
          <w:rFonts w:ascii="Arial" w:hAnsi="Arial"/>
          <w:i/>
          <w:szCs w:val="24"/>
        </w:rPr>
        <w:t>Burntland</w:t>
      </w:r>
      <w:proofErr w:type="spellEnd"/>
      <w:r w:rsidRPr="00004227">
        <w:rPr>
          <w:rFonts w:ascii="Arial" w:hAnsi="Arial"/>
          <w:i/>
          <w:szCs w:val="24"/>
        </w:rPr>
        <w:t xml:space="preserve"> Project currently under option to the Company, as announced in a news release on September 17, 2020</w:t>
      </w:r>
      <w:r w:rsidRPr="00004227">
        <w:rPr>
          <w:rFonts w:ascii="Arial" w:hAnsi="Arial"/>
          <w:i/>
          <w:szCs w:val="24"/>
          <w:lang w:val="en-US"/>
        </w:rPr>
        <w:t xml:space="preserve">. </w:t>
      </w:r>
      <w:r w:rsidRPr="00004227">
        <w:rPr>
          <w:rFonts w:ascii="Arial" w:hAnsi="Arial"/>
          <w:i/>
          <w:szCs w:val="24"/>
        </w:rPr>
        <w:t xml:space="preserve">Under the terms of the Agreement, the Vendors will assign, transfer and sell each of its rights, titles, and </w:t>
      </w:r>
      <w:r w:rsidRPr="00004227">
        <w:rPr>
          <w:rFonts w:ascii="Arial" w:hAnsi="Arial"/>
          <w:i/>
          <w:szCs w:val="24"/>
        </w:rPr>
        <w:lastRenderedPageBreak/>
        <w:t>interests in and to the Property in exchange for CAT issuing a total of 7,000,000 common shares (the “</w:t>
      </w:r>
      <w:r w:rsidRPr="00004227">
        <w:rPr>
          <w:rFonts w:ascii="Arial" w:hAnsi="Arial"/>
          <w:b/>
          <w:bCs/>
          <w:i/>
          <w:szCs w:val="24"/>
        </w:rPr>
        <w:t>Shares</w:t>
      </w:r>
      <w:r w:rsidRPr="00004227">
        <w:rPr>
          <w:rFonts w:ascii="Arial" w:hAnsi="Arial"/>
          <w:i/>
          <w:szCs w:val="24"/>
        </w:rPr>
        <w:t>”) to the Vendors. In addition, the Vendors shall retain a 2% Net Smelter Return (the “</w:t>
      </w:r>
      <w:r w:rsidRPr="00004227">
        <w:rPr>
          <w:rFonts w:ascii="Arial" w:hAnsi="Arial"/>
          <w:b/>
          <w:bCs/>
          <w:i/>
          <w:szCs w:val="24"/>
        </w:rPr>
        <w:t>NSR</w:t>
      </w:r>
      <w:r w:rsidRPr="00004227">
        <w:rPr>
          <w:rFonts w:ascii="Arial" w:hAnsi="Arial"/>
          <w:i/>
          <w:szCs w:val="24"/>
        </w:rPr>
        <w:t>”) royalty, with CAT having the right to repurchase half of the NSR at any time in consideration of an amount of $1,000,000 being payable to the Vendors.</w:t>
      </w:r>
      <w:r w:rsidR="002F407C" w:rsidRPr="00004227">
        <w:rPr>
          <w:rFonts w:ascii="Arial" w:hAnsi="Arial" w:cs="Arial"/>
          <w:i/>
          <w:iCs/>
          <w:szCs w:val="24"/>
          <w:highlight w:val="yellow"/>
        </w:rPr>
        <w:t xml:space="preserve"> </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0D24D3BB"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522581">
        <w:rPr>
          <w:rFonts w:ascii="Arial" w:hAnsi="Arial"/>
        </w:rPr>
        <w:t>hiring’s</w:t>
      </w:r>
      <w:r>
        <w:rPr>
          <w:rFonts w:ascii="Arial" w:hAnsi="Arial"/>
        </w:rPr>
        <w:t>,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301F465" w14:textId="45B286ED" w:rsidR="00713C5A" w:rsidRDefault="00713C5A" w:rsidP="00713C5A">
      <w:pPr>
        <w:pStyle w:val="List"/>
        <w:spacing w:before="120"/>
        <w:ind w:left="720" w:firstLine="0"/>
        <w:jc w:val="both"/>
        <w:rPr>
          <w:rFonts w:ascii="Arial" w:hAnsi="Arial"/>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320D1297" w:rsidR="00713C5A" w:rsidRDefault="00C95987"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6" w:name="_Hlk525052553"/>
      <w:r w:rsidRPr="00A04BF7">
        <w:rPr>
          <w:rFonts w:ascii="Arial" w:hAnsi="Arial"/>
          <w:i/>
        </w:rPr>
        <w:t>Not applicable in the current month</w:t>
      </w:r>
    </w:p>
    <w:bookmarkEnd w:id="6"/>
    <w:p w14:paraId="55751D10"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rsidTr="00654954">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4DE8B45E" w14:textId="77777777" w:rsidTr="00654954">
        <w:tc>
          <w:tcPr>
            <w:tcW w:w="2394" w:type="dxa"/>
          </w:tcPr>
          <w:p w14:paraId="55C022AF" w14:textId="6AD5D6AE" w:rsidR="00640E94" w:rsidRPr="00314DA2" w:rsidRDefault="006C5894">
            <w:pPr>
              <w:pStyle w:val="List"/>
              <w:tabs>
                <w:tab w:val="left" w:pos="360"/>
              </w:tabs>
              <w:spacing w:before="0" w:line="280" w:lineRule="exact"/>
              <w:ind w:left="0" w:firstLine="0"/>
              <w:jc w:val="both"/>
              <w:rPr>
                <w:rFonts w:ascii="Arial" w:hAnsi="Arial"/>
                <w:i/>
                <w:iCs/>
              </w:rPr>
            </w:pPr>
            <w:r>
              <w:rPr>
                <w:rFonts w:ascii="Arial" w:hAnsi="Arial"/>
                <w:i/>
                <w:iCs/>
              </w:rPr>
              <w:t>Common shares</w:t>
            </w:r>
          </w:p>
        </w:tc>
        <w:tc>
          <w:tcPr>
            <w:tcW w:w="2394" w:type="dxa"/>
          </w:tcPr>
          <w:p w14:paraId="46FF756E" w14:textId="37880DB0" w:rsidR="00640E94" w:rsidRPr="00314DA2" w:rsidRDefault="006C5894">
            <w:pPr>
              <w:pStyle w:val="List"/>
              <w:tabs>
                <w:tab w:val="left" w:pos="360"/>
              </w:tabs>
              <w:spacing w:before="0" w:line="280" w:lineRule="exact"/>
              <w:ind w:left="0" w:firstLine="0"/>
              <w:jc w:val="both"/>
              <w:rPr>
                <w:rFonts w:ascii="Arial" w:hAnsi="Arial"/>
                <w:i/>
                <w:iCs/>
              </w:rPr>
            </w:pPr>
            <w:r>
              <w:rPr>
                <w:rFonts w:ascii="Arial" w:hAnsi="Arial"/>
                <w:i/>
                <w:iCs/>
              </w:rPr>
              <w:t>7,000,000</w:t>
            </w:r>
          </w:p>
        </w:tc>
        <w:tc>
          <w:tcPr>
            <w:tcW w:w="2394" w:type="dxa"/>
          </w:tcPr>
          <w:p w14:paraId="5148DF57" w14:textId="31CEB057" w:rsidR="00640E94" w:rsidRPr="00314DA2" w:rsidRDefault="00C474B4">
            <w:pPr>
              <w:pStyle w:val="List"/>
              <w:tabs>
                <w:tab w:val="left" w:pos="360"/>
              </w:tabs>
              <w:spacing w:before="0" w:line="280" w:lineRule="exact"/>
              <w:ind w:left="0" w:firstLine="0"/>
              <w:jc w:val="both"/>
              <w:rPr>
                <w:rFonts w:ascii="Arial" w:hAnsi="Arial"/>
                <w:i/>
                <w:iCs/>
              </w:rPr>
            </w:pPr>
            <w:r>
              <w:rPr>
                <w:rFonts w:ascii="Arial" w:hAnsi="Arial"/>
                <w:i/>
                <w:iCs/>
              </w:rPr>
              <w:t>Asset acquisition</w:t>
            </w:r>
          </w:p>
        </w:tc>
        <w:tc>
          <w:tcPr>
            <w:tcW w:w="2394" w:type="dxa"/>
          </w:tcPr>
          <w:p w14:paraId="73ACF966" w14:textId="0F175ACE" w:rsidR="00640E94" w:rsidRPr="00314DA2" w:rsidRDefault="00C474B4">
            <w:pPr>
              <w:pStyle w:val="List"/>
              <w:tabs>
                <w:tab w:val="left" w:pos="360"/>
              </w:tabs>
              <w:spacing w:before="0" w:line="280" w:lineRule="exact"/>
              <w:ind w:left="0" w:firstLine="0"/>
              <w:jc w:val="both"/>
              <w:rPr>
                <w:rFonts w:ascii="Arial" w:hAnsi="Arial"/>
                <w:i/>
                <w:iCs/>
              </w:rPr>
            </w:pPr>
            <w:r>
              <w:rPr>
                <w:rFonts w:ascii="Arial" w:hAnsi="Arial"/>
                <w:i/>
                <w:iCs/>
              </w:rPr>
              <w:t>N/A</w:t>
            </w:r>
          </w:p>
        </w:tc>
      </w:tr>
    </w:tbl>
    <w:p w14:paraId="63AD455C" w14:textId="796EA231" w:rsidR="009C3BE5" w:rsidRPr="009C3BE5" w:rsidRDefault="00640E94" w:rsidP="009C3BE5">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1C4E5F77" w14:textId="65AEA341" w:rsidR="009C3BE5" w:rsidRPr="003F5389" w:rsidRDefault="009C3BE5" w:rsidP="009C3BE5">
      <w:pPr>
        <w:pStyle w:val="List"/>
        <w:tabs>
          <w:tab w:val="left" w:pos="360"/>
        </w:tabs>
        <w:spacing w:before="120"/>
        <w:jc w:val="both"/>
        <w:rPr>
          <w:rFonts w:ascii="Arial" w:hAnsi="Arial"/>
          <w:sz w:val="22"/>
          <w:szCs w:val="22"/>
        </w:rPr>
      </w:pPr>
      <w:r w:rsidRPr="009C3BE5">
        <w:rPr>
          <w:rFonts w:ascii="Arial" w:hAnsi="Arial"/>
          <w:i/>
          <w:lang w:val="en-US"/>
        </w:rPr>
        <w:t xml:space="preserve"> </w:t>
      </w:r>
      <w:r>
        <w:rPr>
          <w:rFonts w:ascii="Arial" w:hAnsi="Arial"/>
          <w:i/>
          <w:lang w:val="en-US"/>
        </w:rPr>
        <w:tab/>
      </w:r>
      <w:r>
        <w:rPr>
          <w:rFonts w:ascii="Arial" w:hAnsi="Arial"/>
          <w:i/>
          <w:lang w:val="en-US"/>
        </w:rPr>
        <w:tab/>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64E1D661" w:rsidR="00713C5A" w:rsidRPr="00A04BF7" w:rsidRDefault="00F663A7"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B1DE213" w14:textId="4A1C0E41" w:rsidR="008A06FC" w:rsidRDefault="00FD408B" w:rsidP="008A06FC">
      <w:pPr>
        <w:pStyle w:val="List"/>
        <w:spacing w:before="120"/>
        <w:ind w:left="720" w:firstLine="0"/>
        <w:jc w:val="both"/>
        <w:rPr>
          <w:rFonts w:ascii="Arial" w:hAnsi="Arial" w:cs="Arial"/>
          <w:i/>
        </w:rPr>
      </w:pPr>
      <w:r>
        <w:rPr>
          <w:rFonts w:ascii="Arial" w:hAnsi="Arial" w:cs="Arial"/>
          <w:i/>
        </w:rPr>
        <w:t>Not applicable in the current month</w:t>
      </w:r>
    </w:p>
    <w:p w14:paraId="396E6A7F" w14:textId="77777777" w:rsidR="00F663A7" w:rsidRPr="00F663A7" w:rsidRDefault="00F663A7" w:rsidP="00713C5A">
      <w:pPr>
        <w:pStyle w:val="List"/>
        <w:spacing w:before="120"/>
        <w:ind w:left="720" w:firstLine="0"/>
        <w:jc w:val="both"/>
        <w:rPr>
          <w:rFonts w:ascii="Arial" w:hAnsi="Arial" w:cs="Arial"/>
          <w:i/>
        </w:rPr>
      </w:pP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lastRenderedPageBreak/>
        <w:t>Not applicable in the current month</w:t>
      </w:r>
      <w:r w:rsidR="00640E94">
        <w:rPr>
          <w:rFonts w:ascii="Arial" w:hAnsi="Arial"/>
          <w:b/>
        </w:rPr>
        <w:br w:type="page"/>
      </w:r>
      <w:r w:rsidR="00640E94">
        <w:rPr>
          <w:rFonts w:ascii="Arial" w:hAnsi="Arial"/>
          <w:b/>
        </w:rPr>
        <w:lastRenderedPageBreak/>
        <w:t xml:space="preserve">Certificate </w:t>
      </w:r>
      <w:proofErr w:type="gramStart"/>
      <w:r w:rsidR="00640E94">
        <w:rPr>
          <w:rFonts w:ascii="Arial" w:hAnsi="Arial"/>
          <w:b/>
        </w:rPr>
        <w:t>Of</w:t>
      </w:r>
      <w:proofErr w:type="gramEnd"/>
      <w:r w:rsidR="00640E94">
        <w:rPr>
          <w:rFonts w:ascii="Arial" w:hAnsi="Arial"/>
          <w:b/>
        </w:rPr>
        <w:t xml:space="preserve">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3B6DBD9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474B4">
        <w:rPr>
          <w:rFonts w:ascii="Arial" w:hAnsi="Arial"/>
        </w:rPr>
        <w:t>January</w:t>
      </w:r>
      <w:r w:rsidR="003F5389">
        <w:rPr>
          <w:rFonts w:ascii="Arial" w:hAnsi="Arial"/>
        </w:rPr>
        <w:t xml:space="preserve"> </w:t>
      </w:r>
      <w:r w:rsidR="0073741A">
        <w:rPr>
          <w:rFonts w:ascii="Arial" w:hAnsi="Arial"/>
        </w:rPr>
        <w:t>1</w:t>
      </w:r>
      <w:r w:rsidR="00431800">
        <w:rPr>
          <w:rFonts w:ascii="Arial" w:hAnsi="Arial"/>
        </w:rPr>
        <w:t>, 20</w:t>
      </w:r>
      <w:r w:rsidR="00F60044">
        <w:rPr>
          <w:rFonts w:ascii="Arial" w:hAnsi="Arial"/>
        </w:rPr>
        <w:t>2</w:t>
      </w:r>
      <w:r w:rsidR="00A5186E">
        <w:rPr>
          <w:rFonts w:ascii="Arial" w:hAnsi="Arial"/>
        </w:rPr>
        <w:t>1</w:t>
      </w:r>
    </w:p>
    <w:p w14:paraId="52434873" w14:textId="297D521C" w:rsidR="00431800" w:rsidRPr="00431800" w:rsidRDefault="00640E94">
      <w:pPr>
        <w:pStyle w:val="List"/>
        <w:tabs>
          <w:tab w:val="left" w:pos="9180"/>
        </w:tabs>
        <w:ind w:left="5760" w:hanging="5760"/>
        <w:rPr>
          <w:rFonts w:ascii="Arial" w:hAnsi="Arial"/>
          <w:u w:val="single"/>
        </w:rPr>
      </w:pPr>
      <w:r>
        <w:rPr>
          <w:rFonts w:ascii="Arial" w:hAnsi="Arial"/>
        </w:rPr>
        <w:tab/>
      </w:r>
      <w:r w:rsidR="00DE54FA">
        <w:rPr>
          <w:rFonts w:ascii="Arial" w:hAnsi="Arial"/>
          <w:u w:val="single"/>
        </w:rPr>
        <w:t>Robert Rosner</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ED5FFD1"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w:t>
      </w:r>
      <w:r w:rsidR="00DE54FA">
        <w:rPr>
          <w:rFonts w:ascii="Arial" w:hAnsi="Arial"/>
          <w:i/>
          <w:u w:val="single"/>
        </w:rPr>
        <w:t>Robert Rosner</w:t>
      </w:r>
      <w:r w:rsidR="00431800" w:rsidRPr="00431800">
        <w:rPr>
          <w:rFonts w:ascii="Arial" w:hAnsi="Arial"/>
          <w:i/>
          <w:u w:val="single"/>
        </w:rPr>
        <w:t>”</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590BAB8B" w:rsidR="00640E94" w:rsidRDefault="00DE54FA">
      <w:pPr>
        <w:pStyle w:val="BodyText"/>
        <w:tabs>
          <w:tab w:val="left" w:pos="9180"/>
        </w:tabs>
        <w:spacing w:before="0"/>
        <w:ind w:left="5760"/>
        <w:rPr>
          <w:rFonts w:ascii="Arial" w:hAnsi="Arial"/>
        </w:rPr>
      </w:pPr>
      <w:r>
        <w:rPr>
          <w:rFonts w:ascii="Arial" w:hAnsi="Arial"/>
          <w:u w:val="single"/>
        </w:rPr>
        <w:t>President/CEO</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2FB6640D" w:rsidR="00640E94" w:rsidRDefault="00431800">
            <w:pPr>
              <w:pStyle w:val="BodyText"/>
              <w:rPr>
                <w:rFonts w:ascii="Arial" w:hAnsi="Arial"/>
              </w:rPr>
            </w:pPr>
            <w:r>
              <w:rPr>
                <w:rFonts w:ascii="Arial" w:hAnsi="Arial"/>
              </w:rPr>
              <w:t>C</w:t>
            </w:r>
            <w:r w:rsidR="009910D4">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6D01BECC"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53993B53" w:rsidR="00431800" w:rsidRDefault="00C474B4">
            <w:pPr>
              <w:pStyle w:val="BodyText"/>
              <w:spacing w:before="0"/>
              <w:rPr>
                <w:rFonts w:ascii="Arial" w:hAnsi="Arial"/>
              </w:rPr>
            </w:pPr>
            <w:r>
              <w:rPr>
                <w:rFonts w:ascii="Arial" w:hAnsi="Arial"/>
              </w:rPr>
              <w:t>December</w:t>
            </w:r>
            <w:r w:rsidR="00431800">
              <w:rPr>
                <w:rFonts w:ascii="Arial" w:hAnsi="Arial"/>
              </w:rPr>
              <w:t xml:space="preserve"> 20</w:t>
            </w:r>
            <w:r w:rsidR="00F60044">
              <w:rPr>
                <w:rFonts w:ascii="Arial" w:hAnsi="Arial"/>
              </w:rPr>
              <w:t>2</w:t>
            </w:r>
            <w:r w:rsidR="00B369F3">
              <w:rPr>
                <w:rFonts w:ascii="Arial" w:hAnsi="Arial"/>
              </w:rPr>
              <w:t>1</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15027E23" w:rsidR="00431800" w:rsidRDefault="009910D4">
            <w:pPr>
              <w:pStyle w:val="BodyText"/>
              <w:spacing w:before="0"/>
              <w:rPr>
                <w:rFonts w:ascii="Arial" w:hAnsi="Arial"/>
              </w:rPr>
            </w:pPr>
            <w:r w:rsidRPr="00A63DF8">
              <w:rPr>
                <w:rFonts w:ascii="Arial" w:hAnsi="Arial"/>
              </w:rPr>
              <w:t>2</w:t>
            </w:r>
            <w:r w:rsidR="00FD408B">
              <w:rPr>
                <w:rFonts w:ascii="Arial" w:hAnsi="Arial"/>
              </w:rPr>
              <w:t>2</w:t>
            </w:r>
            <w:r w:rsidR="00431800" w:rsidRPr="00A63DF8">
              <w:rPr>
                <w:rFonts w:ascii="Arial" w:hAnsi="Arial"/>
              </w:rPr>
              <w:t>/</w:t>
            </w:r>
            <w:r w:rsidR="00FD408B">
              <w:rPr>
                <w:rFonts w:ascii="Arial" w:hAnsi="Arial"/>
              </w:rPr>
              <w:t>3</w:t>
            </w:r>
            <w:r w:rsidR="000A400A">
              <w:rPr>
                <w:rFonts w:ascii="Arial" w:hAnsi="Arial"/>
              </w:rPr>
              <w:t>/</w:t>
            </w:r>
            <w:r w:rsidR="0073741A">
              <w:rPr>
                <w:rFonts w:ascii="Arial" w:hAnsi="Arial"/>
              </w:rPr>
              <w:t>2</w:t>
            </w:r>
            <w:r w:rsidR="00FD408B">
              <w:rPr>
                <w:rFonts w:ascii="Arial" w:hAnsi="Arial"/>
              </w:rPr>
              <w:t>8</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565EFB34" w:rsidR="00431800" w:rsidRDefault="009910D4">
            <w:pPr>
              <w:pStyle w:val="BodyText"/>
              <w:spacing w:before="0"/>
              <w:rPr>
                <w:rFonts w:ascii="Arial" w:hAnsi="Arial"/>
              </w:rPr>
            </w:pPr>
            <w:r>
              <w:rPr>
                <w:rFonts w:ascii="Arial" w:hAnsi="Arial"/>
              </w:rPr>
              <w:t>101</w:t>
            </w:r>
            <w:r w:rsidR="00B369F3">
              <w:rPr>
                <w:rFonts w:ascii="Arial" w:hAnsi="Arial"/>
              </w:rPr>
              <w:t>0</w:t>
            </w:r>
            <w:r>
              <w:rPr>
                <w:rFonts w:ascii="Arial" w:hAnsi="Arial"/>
              </w:rPr>
              <w:t>-789 W.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0F671980" w:rsidR="00431800" w:rsidRDefault="00431800">
            <w:pPr>
              <w:pStyle w:val="BodyText"/>
              <w:spacing w:before="0"/>
              <w:rPr>
                <w:rFonts w:ascii="Arial" w:hAnsi="Arial"/>
              </w:rPr>
            </w:pPr>
            <w:r>
              <w:rPr>
                <w:rFonts w:ascii="Arial" w:hAnsi="Arial"/>
              </w:rPr>
              <w:t>VANCOUVER, BC V</w:t>
            </w:r>
            <w:r w:rsidR="00DC02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202C8EC3" w:rsidR="00431800" w:rsidRDefault="00DE54FA">
            <w:pPr>
              <w:pStyle w:val="BodyText"/>
              <w:spacing w:before="0"/>
              <w:rPr>
                <w:rFonts w:ascii="Arial" w:hAnsi="Arial"/>
              </w:rPr>
            </w:pPr>
            <w:r>
              <w:rPr>
                <w:rFonts w:ascii="Arial" w:hAnsi="Arial"/>
              </w:rPr>
              <w:t>ROBERT ROSNER</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7172B603" w:rsidR="00431800" w:rsidRDefault="00DE54FA">
            <w:pPr>
              <w:pStyle w:val="BodyText"/>
              <w:spacing w:before="0"/>
              <w:rPr>
                <w:rFonts w:ascii="Arial" w:hAnsi="Arial"/>
              </w:rPr>
            </w:pPr>
            <w:r>
              <w:rPr>
                <w:rFonts w:ascii="Arial" w:hAnsi="Arial"/>
              </w:rPr>
              <w:t>PRESIDENT/CEO</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2AB9F495" w:rsidR="00431800" w:rsidRDefault="00DE54FA">
            <w:pPr>
              <w:pStyle w:val="BodyText"/>
              <w:spacing w:before="0"/>
              <w:rPr>
                <w:rFonts w:ascii="Arial" w:hAnsi="Arial"/>
              </w:rPr>
            </w:pPr>
            <w:r>
              <w:rPr>
                <w:rFonts w:ascii="Arial" w:hAnsi="Arial"/>
              </w:rPr>
              <w:t>robert</w:t>
            </w:r>
            <w:r w:rsidR="00431800">
              <w:rPr>
                <w:rFonts w:ascii="Arial" w:hAnsi="Arial"/>
              </w:rPr>
              <w:t>@c</w:t>
            </w:r>
            <w:r w:rsidR="00DC02A0">
              <w:rPr>
                <w:rFonts w:ascii="Arial" w:hAnsi="Arial"/>
              </w:rPr>
              <w:t>atstrategic</w:t>
            </w:r>
            <w:r w:rsidR="00431800">
              <w:rPr>
                <w:rFonts w:ascii="Arial" w:hAnsi="Arial"/>
              </w:rPr>
              <w:t>.com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7FACF043" w:rsidR="00431800" w:rsidRDefault="006E3687">
            <w:pPr>
              <w:pStyle w:val="BodyText"/>
              <w:spacing w:before="0"/>
              <w:rPr>
                <w:rFonts w:ascii="Arial" w:hAnsi="Arial"/>
              </w:rPr>
            </w:pPr>
            <w:r>
              <w:rPr>
                <w:rFonts w:ascii="Arial" w:hAnsi="Arial"/>
              </w:rPr>
              <w:t>www.</w:t>
            </w:r>
            <w:r w:rsidR="00DC02A0">
              <w:rPr>
                <w:rFonts w:ascii="Arial" w:hAnsi="Arial"/>
              </w:rPr>
              <w:t>catstrategic</w:t>
            </w:r>
            <w:r w:rsidR="00431800">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5EF9" w14:textId="77777777" w:rsidR="000F6CBF" w:rsidRDefault="000F6CBF">
      <w:r>
        <w:separator/>
      </w:r>
    </w:p>
  </w:endnote>
  <w:endnote w:type="continuationSeparator" w:id="0">
    <w:p w14:paraId="7EE70A61" w14:textId="77777777" w:rsidR="000F6CBF" w:rsidRDefault="000F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E716" w14:textId="77777777" w:rsidR="00640E94" w:rsidRDefault="00640E94">
    <w:pPr>
      <w:pStyle w:val="Footer"/>
      <w:tabs>
        <w:tab w:val="clear" w:pos="4320"/>
        <w:tab w:val="clear" w:pos="8640"/>
        <w:tab w:val="center" w:pos="4680"/>
        <w:tab w:val="right" w:pos="9360"/>
      </w:tabs>
      <w:rPr>
        <w:b/>
      </w:rPr>
    </w:pPr>
  </w:p>
  <w:p w14:paraId="7B1727D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881E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260055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FC4" w14:textId="77777777" w:rsidR="00640E94" w:rsidRDefault="00640E94">
    <w:pPr>
      <w:pStyle w:val="Footer"/>
      <w:tabs>
        <w:tab w:val="clear" w:pos="4320"/>
        <w:tab w:val="clear" w:pos="8640"/>
        <w:tab w:val="center" w:pos="4680"/>
        <w:tab w:val="right" w:pos="9360"/>
      </w:tabs>
      <w:rPr>
        <w:b/>
      </w:rPr>
    </w:pPr>
  </w:p>
  <w:p w14:paraId="1DC782AE"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FBB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9ED03D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EA8C" w14:textId="77777777" w:rsidR="000F6CBF" w:rsidRDefault="000F6CBF">
      <w:r>
        <w:separator/>
      </w:r>
    </w:p>
  </w:footnote>
  <w:footnote w:type="continuationSeparator" w:id="0">
    <w:p w14:paraId="1824FB04" w14:textId="77777777" w:rsidR="000F6CBF" w:rsidRDefault="000F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E9A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B6E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A5FC2"/>
    <w:multiLevelType w:val="hybridMultilevel"/>
    <w:tmpl w:val="A6FE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4774877"/>
    <w:multiLevelType w:val="hybridMultilevel"/>
    <w:tmpl w:val="2AE02C9E"/>
    <w:lvl w:ilvl="0" w:tplc="10090011">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3"/>
  </w:num>
  <w:num w:numId="6">
    <w:abstractNumId w:val="24"/>
  </w:num>
  <w:num w:numId="7">
    <w:abstractNumId w:val="8"/>
  </w:num>
  <w:num w:numId="8">
    <w:abstractNumId w:val="27"/>
  </w:num>
  <w:num w:numId="9">
    <w:abstractNumId w:val="21"/>
  </w:num>
  <w:num w:numId="10">
    <w:abstractNumId w:val="11"/>
  </w:num>
  <w:num w:numId="11">
    <w:abstractNumId w:val="14"/>
  </w:num>
  <w:num w:numId="12">
    <w:abstractNumId w:val="15"/>
  </w:num>
  <w:num w:numId="13">
    <w:abstractNumId w:val="29"/>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8"/>
  </w:num>
  <w:num w:numId="27">
    <w:abstractNumId w:val="30"/>
  </w:num>
  <w:num w:numId="28">
    <w:abstractNumId w:val="5"/>
  </w:num>
  <w:num w:numId="29">
    <w:abstractNumId w:val="19"/>
  </w:num>
  <w:num w:numId="30">
    <w:abstractNumId w:val="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227"/>
    <w:rsid w:val="000044CD"/>
    <w:rsid w:val="00051DA4"/>
    <w:rsid w:val="00061F3C"/>
    <w:rsid w:val="000641E3"/>
    <w:rsid w:val="00090A3B"/>
    <w:rsid w:val="00093E15"/>
    <w:rsid w:val="000A1AB1"/>
    <w:rsid w:val="000A400A"/>
    <w:rsid w:val="000C1385"/>
    <w:rsid w:val="000C7003"/>
    <w:rsid w:val="000F6CBF"/>
    <w:rsid w:val="001054C3"/>
    <w:rsid w:val="00126C84"/>
    <w:rsid w:val="00140211"/>
    <w:rsid w:val="0016043A"/>
    <w:rsid w:val="00166B55"/>
    <w:rsid w:val="0017656D"/>
    <w:rsid w:val="001C6CA2"/>
    <w:rsid w:val="00200CFA"/>
    <w:rsid w:val="00213DFA"/>
    <w:rsid w:val="00221D8A"/>
    <w:rsid w:val="00231A4C"/>
    <w:rsid w:val="00235658"/>
    <w:rsid w:val="00235F41"/>
    <w:rsid w:val="002404C0"/>
    <w:rsid w:val="00242F88"/>
    <w:rsid w:val="0024612F"/>
    <w:rsid w:val="00265F27"/>
    <w:rsid w:val="002A232C"/>
    <w:rsid w:val="002C281E"/>
    <w:rsid w:val="002C3F1A"/>
    <w:rsid w:val="002D47AA"/>
    <w:rsid w:val="002E49C2"/>
    <w:rsid w:val="002F00EB"/>
    <w:rsid w:val="002F407C"/>
    <w:rsid w:val="0030556E"/>
    <w:rsid w:val="00314DA2"/>
    <w:rsid w:val="00337442"/>
    <w:rsid w:val="00345663"/>
    <w:rsid w:val="003668BF"/>
    <w:rsid w:val="003669A9"/>
    <w:rsid w:val="00371A64"/>
    <w:rsid w:val="00375320"/>
    <w:rsid w:val="00387FA8"/>
    <w:rsid w:val="003A48A2"/>
    <w:rsid w:val="003D0A38"/>
    <w:rsid w:val="003D1C4B"/>
    <w:rsid w:val="003D5376"/>
    <w:rsid w:val="003E1335"/>
    <w:rsid w:val="003F3113"/>
    <w:rsid w:val="003F5389"/>
    <w:rsid w:val="003F6B29"/>
    <w:rsid w:val="00402A57"/>
    <w:rsid w:val="00431800"/>
    <w:rsid w:val="00456FC1"/>
    <w:rsid w:val="004677D0"/>
    <w:rsid w:val="004928FF"/>
    <w:rsid w:val="0049650E"/>
    <w:rsid w:val="004A6653"/>
    <w:rsid w:val="004D5298"/>
    <w:rsid w:val="004D6D1B"/>
    <w:rsid w:val="004F7DA3"/>
    <w:rsid w:val="00507C38"/>
    <w:rsid w:val="00522581"/>
    <w:rsid w:val="00526339"/>
    <w:rsid w:val="005329E3"/>
    <w:rsid w:val="00540773"/>
    <w:rsid w:val="005453C8"/>
    <w:rsid w:val="00592CDD"/>
    <w:rsid w:val="00595FFB"/>
    <w:rsid w:val="005A2756"/>
    <w:rsid w:val="005B21DA"/>
    <w:rsid w:val="005B65A3"/>
    <w:rsid w:val="005C132D"/>
    <w:rsid w:val="005F6D8F"/>
    <w:rsid w:val="005F72E0"/>
    <w:rsid w:val="00620E7F"/>
    <w:rsid w:val="00633ED3"/>
    <w:rsid w:val="00635E9A"/>
    <w:rsid w:val="00640E94"/>
    <w:rsid w:val="00654954"/>
    <w:rsid w:val="00664F19"/>
    <w:rsid w:val="00665C24"/>
    <w:rsid w:val="006853C4"/>
    <w:rsid w:val="006C4E9E"/>
    <w:rsid w:val="006C5894"/>
    <w:rsid w:val="006D1A06"/>
    <w:rsid w:val="006E3687"/>
    <w:rsid w:val="0070137E"/>
    <w:rsid w:val="00713C5A"/>
    <w:rsid w:val="0073741A"/>
    <w:rsid w:val="007540F1"/>
    <w:rsid w:val="00790DB1"/>
    <w:rsid w:val="007C7324"/>
    <w:rsid w:val="007D768A"/>
    <w:rsid w:val="00800DF5"/>
    <w:rsid w:val="008118FC"/>
    <w:rsid w:val="008163D4"/>
    <w:rsid w:val="0086035F"/>
    <w:rsid w:val="00863A24"/>
    <w:rsid w:val="008A06FC"/>
    <w:rsid w:val="008B7E92"/>
    <w:rsid w:val="008C7812"/>
    <w:rsid w:val="008E5C06"/>
    <w:rsid w:val="009205A9"/>
    <w:rsid w:val="00922A46"/>
    <w:rsid w:val="0095640F"/>
    <w:rsid w:val="00973BB0"/>
    <w:rsid w:val="009910D4"/>
    <w:rsid w:val="009C3BE5"/>
    <w:rsid w:val="009C48E7"/>
    <w:rsid w:val="009F1C6B"/>
    <w:rsid w:val="009F69E3"/>
    <w:rsid w:val="00A04BF7"/>
    <w:rsid w:val="00A345BD"/>
    <w:rsid w:val="00A4618E"/>
    <w:rsid w:val="00A47914"/>
    <w:rsid w:val="00A5186E"/>
    <w:rsid w:val="00A63DF8"/>
    <w:rsid w:val="00AA1EAC"/>
    <w:rsid w:val="00AC2834"/>
    <w:rsid w:val="00AD60C0"/>
    <w:rsid w:val="00AF5931"/>
    <w:rsid w:val="00B25AA8"/>
    <w:rsid w:val="00B369F3"/>
    <w:rsid w:val="00B65447"/>
    <w:rsid w:val="00B805F6"/>
    <w:rsid w:val="00BA7E2F"/>
    <w:rsid w:val="00BB08CE"/>
    <w:rsid w:val="00BB7E6B"/>
    <w:rsid w:val="00BE2312"/>
    <w:rsid w:val="00BE2EA1"/>
    <w:rsid w:val="00BE7C0F"/>
    <w:rsid w:val="00BF147D"/>
    <w:rsid w:val="00C0059A"/>
    <w:rsid w:val="00C123F0"/>
    <w:rsid w:val="00C27A18"/>
    <w:rsid w:val="00C42FD5"/>
    <w:rsid w:val="00C474B4"/>
    <w:rsid w:val="00C62BF4"/>
    <w:rsid w:val="00C6383E"/>
    <w:rsid w:val="00C63AB8"/>
    <w:rsid w:val="00C8654E"/>
    <w:rsid w:val="00C95987"/>
    <w:rsid w:val="00CC4790"/>
    <w:rsid w:val="00D03F13"/>
    <w:rsid w:val="00D11AB2"/>
    <w:rsid w:val="00D31271"/>
    <w:rsid w:val="00D663D6"/>
    <w:rsid w:val="00D66D2F"/>
    <w:rsid w:val="00D6767D"/>
    <w:rsid w:val="00D81B0B"/>
    <w:rsid w:val="00DC02A0"/>
    <w:rsid w:val="00DE54FA"/>
    <w:rsid w:val="00E2026D"/>
    <w:rsid w:val="00E3073B"/>
    <w:rsid w:val="00E36141"/>
    <w:rsid w:val="00E5175E"/>
    <w:rsid w:val="00E716B1"/>
    <w:rsid w:val="00E71719"/>
    <w:rsid w:val="00E83E58"/>
    <w:rsid w:val="00EC1E61"/>
    <w:rsid w:val="00ED0974"/>
    <w:rsid w:val="00EE23FB"/>
    <w:rsid w:val="00EE403B"/>
    <w:rsid w:val="00EF6FCF"/>
    <w:rsid w:val="00F25C46"/>
    <w:rsid w:val="00F32098"/>
    <w:rsid w:val="00F440BE"/>
    <w:rsid w:val="00F5133B"/>
    <w:rsid w:val="00F56E6C"/>
    <w:rsid w:val="00F60044"/>
    <w:rsid w:val="00F64E61"/>
    <w:rsid w:val="00F663A7"/>
    <w:rsid w:val="00F75007"/>
    <w:rsid w:val="00F82019"/>
    <w:rsid w:val="00F83E42"/>
    <w:rsid w:val="00F95661"/>
    <w:rsid w:val="00FA41DF"/>
    <w:rsid w:val="00FB5E21"/>
    <w:rsid w:val="00FD408B"/>
    <w:rsid w:val="00FD59CB"/>
    <w:rsid w:val="00FE194E"/>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Body">
    <w:name w:val="Body"/>
    <w:rsid w:val="004A6653"/>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paragraph" w:styleId="ListParagraph">
    <w:name w:val="List Paragraph"/>
    <w:basedOn w:val="Normal"/>
    <w:uiPriority w:val="34"/>
    <w:qFormat/>
    <w:rsid w:val="00E5175E"/>
    <w:pPr>
      <w:pBdr>
        <w:top w:val="nil"/>
        <w:left w:val="nil"/>
        <w:bottom w:val="nil"/>
        <w:right w:val="nil"/>
        <w:between w:val="nil"/>
        <w:bar w:val="nil"/>
      </w:pBdr>
      <w:ind w:left="720"/>
    </w:pPr>
    <w:rPr>
      <w:rFonts w:eastAsia="Arial Unicode MS"/>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5B9A-174B-4BFE-BDC6-F5B9C36B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Robert Rosner</cp:lastModifiedBy>
  <cp:revision>3</cp:revision>
  <cp:lastPrinted>2004-05-10T18:28:00Z</cp:lastPrinted>
  <dcterms:created xsi:type="dcterms:W3CDTF">2022-03-27T18:52:00Z</dcterms:created>
  <dcterms:modified xsi:type="dcterms:W3CDTF">2022-03-27T18:57:00Z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