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2A43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2A29531"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proofErr w:type="spellStart"/>
      <w:r w:rsidR="00711C55">
        <w:rPr>
          <w:rFonts w:ascii="Arial" w:hAnsi="Arial"/>
          <w:color w:val="000000"/>
          <w:u w:val="single"/>
        </w:rPr>
        <w:t>Cognetivity</w:t>
      </w:r>
      <w:proofErr w:type="spellEnd"/>
      <w:r w:rsidR="00711C55">
        <w:rPr>
          <w:rFonts w:ascii="Arial" w:hAnsi="Arial"/>
          <w:color w:val="000000"/>
          <w:u w:val="single"/>
        </w:rPr>
        <w:t xml:space="preserve"> Neurosciences Ltd.</w:t>
      </w:r>
      <w:r>
        <w:rPr>
          <w:rFonts w:ascii="Arial" w:hAnsi="Arial"/>
          <w:color w:val="000000"/>
          <w:u w:val="single"/>
        </w:rPr>
        <w:tab/>
      </w:r>
      <w:r>
        <w:rPr>
          <w:rFonts w:ascii="Arial" w:hAnsi="Arial"/>
          <w:color w:val="000000"/>
          <w:u w:val="single"/>
        </w:rPr>
        <w:tab/>
      </w:r>
      <w:r>
        <w:rPr>
          <w:rFonts w:ascii="Arial" w:hAnsi="Arial"/>
          <w:color w:val="000000"/>
        </w:rPr>
        <w:t>(the “Issuer”).</w:t>
      </w:r>
    </w:p>
    <w:p w14:paraId="72425004"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711C55">
        <w:rPr>
          <w:rFonts w:ascii="Arial" w:hAnsi="Arial"/>
          <w:color w:val="000000"/>
          <w:u w:val="single"/>
        </w:rPr>
        <w:t xml:space="preserve">     CGN</w:t>
      </w:r>
      <w:r>
        <w:rPr>
          <w:rFonts w:ascii="Arial" w:hAnsi="Arial"/>
          <w:color w:val="000000"/>
          <w:u w:val="single"/>
        </w:rPr>
        <w:tab/>
      </w:r>
    </w:p>
    <w:p w14:paraId="750493C6" w14:textId="6ADD95D6"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87AA8">
        <w:rPr>
          <w:rFonts w:ascii="Arial" w:hAnsi="Arial"/>
          <w:color w:val="000000"/>
          <w:u w:val="single"/>
        </w:rPr>
        <w:t>69,993,524</w:t>
      </w:r>
      <w:r>
        <w:rPr>
          <w:rFonts w:ascii="Arial" w:hAnsi="Arial"/>
          <w:color w:val="000000"/>
          <w:u w:val="single"/>
        </w:rPr>
        <w:tab/>
      </w:r>
    </w:p>
    <w:p w14:paraId="4BA6098A" w14:textId="6FD43C58" w:rsidR="00640E94" w:rsidRPr="007B18F2" w:rsidRDefault="00640E94">
      <w:pPr>
        <w:pStyle w:val="BodyText"/>
        <w:tabs>
          <w:tab w:val="left" w:pos="7920"/>
          <w:tab w:val="left" w:pos="9180"/>
        </w:tabs>
        <w:rPr>
          <w:rFonts w:ascii="Arial" w:hAnsi="Arial"/>
          <w:color w:val="000000"/>
          <w:u w:val="single"/>
        </w:rPr>
      </w:pPr>
      <w:r>
        <w:rPr>
          <w:rFonts w:ascii="Arial" w:hAnsi="Arial"/>
          <w:color w:val="000000"/>
        </w:rPr>
        <w:t>Date:</w:t>
      </w:r>
      <w:r w:rsidR="00C72388">
        <w:rPr>
          <w:rFonts w:ascii="Arial" w:hAnsi="Arial"/>
          <w:color w:val="000000"/>
        </w:rPr>
        <w:t xml:space="preserve"> </w:t>
      </w:r>
      <w:r w:rsidR="00387AA8">
        <w:rPr>
          <w:rFonts w:ascii="Arial" w:hAnsi="Arial"/>
          <w:color w:val="000000"/>
          <w:u w:val="single"/>
        </w:rPr>
        <w:t>December 31</w:t>
      </w:r>
      <w:r w:rsidR="00DB16AC">
        <w:rPr>
          <w:rFonts w:ascii="Arial" w:hAnsi="Arial"/>
          <w:color w:val="000000"/>
          <w:u w:val="single"/>
        </w:rPr>
        <w:t>, 2020</w:t>
      </w:r>
      <w:r>
        <w:rPr>
          <w:rFonts w:ascii="Arial" w:hAnsi="Arial"/>
          <w:color w:val="000000"/>
          <w:u w:val="single"/>
        </w:rPr>
        <w:tab/>
      </w:r>
    </w:p>
    <w:p w14:paraId="3BC8E1A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4859A7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4827B34"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CBD3C6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2C406D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546B5B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4B58731" w14:textId="77777777" w:rsidR="00640E94" w:rsidRDefault="00640E94">
      <w:pPr>
        <w:pStyle w:val="List"/>
        <w:keepLines/>
        <w:spacing w:before="120"/>
        <w:ind w:left="0" w:firstLine="0"/>
        <w:rPr>
          <w:rFonts w:ascii="Arial" w:hAnsi="Arial"/>
          <w:b/>
        </w:rPr>
      </w:pPr>
      <w:r>
        <w:rPr>
          <w:rFonts w:ascii="Arial" w:hAnsi="Arial"/>
          <w:b/>
        </w:rPr>
        <w:t>Report on Business</w:t>
      </w:r>
    </w:p>
    <w:p w14:paraId="0310439D" w14:textId="77777777" w:rsidR="00813D41" w:rsidRDefault="00640E94" w:rsidP="00813D41">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1FE853A" w14:textId="77777777" w:rsidR="00813D41" w:rsidRPr="00813D41" w:rsidRDefault="00813D41" w:rsidP="00813D41">
      <w:pPr>
        <w:pStyle w:val="List"/>
        <w:spacing w:before="120"/>
        <w:ind w:left="720" w:firstLine="0"/>
        <w:jc w:val="both"/>
        <w:rPr>
          <w:rFonts w:ascii="Arial" w:hAnsi="Arial"/>
        </w:rPr>
      </w:pPr>
    </w:p>
    <w:p w14:paraId="5861EB07" w14:textId="64BC71EB" w:rsidR="00AA21FE" w:rsidRDefault="00813D41" w:rsidP="00AA21FE">
      <w:pPr>
        <w:pStyle w:val="Default"/>
        <w:ind w:left="720"/>
        <w:rPr>
          <w:rFonts w:ascii="Arial" w:hAnsi="Arial" w:cs="Arial"/>
          <w:color w:val="376092"/>
        </w:rPr>
      </w:pPr>
      <w:proofErr w:type="spellStart"/>
      <w:r w:rsidRPr="00813D41">
        <w:rPr>
          <w:rFonts w:ascii="Arial" w:hAnsi="Arial" w:cs="Arial"/>
          <w:color w:val="376092"/>
        </w:rPr>
        <w:t>Cognetivity</w:t>
      </w:r>
      <w:proofErr w:type="spellEnd"/>
      <w:r w:rsidRPr="00813D41">
        <w:rPr>
          <w:rFonts w:ascii="Arial" w:hAnsi="Arial" w:cs="Arial"/>
          <w:color w:val="376092"/>
        </w:rPr>
        <w:t xml:space="preserve"> Neurosciences Ltd.</w:t>
      </w:r>
      <w:r w:rsidR="008D4987">
        <w:rPr>
          <w:rFonts w:ascii="Arial" w:hAnsi="Arial" w:cs="Arial"/>
          <w:color w:val="376092"/>
        </w:rPr>
        <w:t>(the “Company” or “</w:t>
      </w:r>
      <w:proofErr w:type="spellStart"/>
      <w:r w:rsidR="008D4987">
        <w:rPr>
          <w:rFonts w:ascii="Arial" w:hAnsi="Arial" w:cs="Arial"/>
          <w:color w:val="376092"/>
        </w:rPr>
        <w:t>Cognetivity</w:t>
      </w:r>
      <w:proofErr w:type="spellEnd"/>
      <w:r w:rsidR="008D4987">
        <w:rPr>
          <w:rFonts w:ascii="Arial" w:hAnsi="Arial" w:cs="Arial"/>
          <w:color w:val="376092"/>
        </w:rPr>
        <w:t>”)</w:t>
      </w:r>
      <w:r w:rsidRPr="00813D41">
        <w:rPr>
          <w:rFonts w:ascii="Arial" w:hAnsi="Arial" w:cs="Arial"/>
          <w:color w:val="376092"/>
        </w:rPr>
        <w:t xml:space="preserve"> is </w:t>
      </w:r>
      <w:r w:rsidR="00185A56">
        <w:rPr>
          <w:rFonts w:ascii="Arial" w:hAnsi="Arial" w:cs="Arial"/>
          <w:color w:val="376092"/>
        </w:rPr>
        <w:t xml:space="preserve">developing </w:t>
      </w:r>
      <w:r w:rsidRPr="00813D41">
        <w:rPr>
          <w:rFonts w:ascii="Arial" w:hAnsi="Arial" w:cs="Arial"/>
          <w:color w:val="376092"/>
        </w:rPr>
        <w:t>a platform for the early stage detection of Alzheimer’s, dementia, and other conditions involving cognitive impairment. The Company</w:t>
      </w:r>
      <w:r w:rsidR="00185A56">
        <w:rPr>
          <w:rFonts w:ascii="Arial" w:hAnsi="Arial" w:cs="Arial"/>
          <w:color w:val="376092"/>
        </w:rPr>
        <w:t xml:space="preserve"> is developing an</w:t>
      </w:r>
      <w:r w:rsidRPr="00813D41">
        <w:rPr>
          <w:rFonts w:ascii="Arial" w:hAnsi="Arial" w:cs="Arial"/>
          <w:color w:val="376092"/>
        </w:rPr>
        <w:t xml:space="preserve"> effective screening tool, to be used by clinical practitioners to allow patients </w:t>
      </w:r>
      <w:r w:rsidRPr="00813D41">
        <w:rPr>
          <w:rFonts w:ascii="Arial" w:hAnsi="Arial" w:cs="Arial"/>
          <w:color w:val="376092"/>
        </w:rPr>
        <w:lastRenderedPageBreak/>
        <w:t>suffering from cognitive impairment to be referred into the appropriate treatment pathway earlier than is possible using current screening tools, in order to allow more effective treatment.</w:t>
      </w:r>
      <w:r w:rsidR="00C6227E">
        <w:rPr>
          <w:rFonts w:ascii="Arial" w:hAnsi="Arial" w:cs="Arial"/>
          <w:color w:val="376092"/>
        </w:rPr>
        <w:t xml:space="preserve"> </w:t>
      </w:r>
      <w:r w:rsidR="00AA21FE">
        <w:rPr>
          <w:rFonts w:ascii="Arial" w:hAnsi="Arial" w:cs="Arial"/>
          <w:color w:val="376092"/>
        </w:rPr>
        <w:t>The Company confirmed that its integrated Cognitive Assessment (ICA) software has been approved as a CE-marked medical device.</w:t>
      </w:r>
    </w:p>
    <w:p w14:paraId="68FB336D" w14:textId="77777777" w:rsidR="00AA21FE" w:rsidRDefault="00AA21FE" w:rsidP="00AA21FE">
      <w:pPr>
        <w:pStyle w:val="Default"/>
        <w:rPr>
          <w:rFonts w:ascii="Arial" w:hAnsi="Arial" w:cs="Arial"/>
          <w:color w:val="376092"/>
        </w:rPr>
      </w:pPr>
    </w:p>
    <w:p w14:paraId="5B5C8233" w14:textId="77777777" w:rsidR="00EE59D3" w:rsidRPr="00956C5A" w:rsidRDefault="00640E94" w:rsidP="00EE59D3">
      <w:pPr>
        <w:pStyle w:val="List"/>
        <w:numPr>
          <w:ilvl w:val="0"/>
          <w:numId w:val="28"/>
        </w:numPr>
        <w:spacing w:before="120"/>
        <w:jc w:val="both"/>
        <w:rPr>
          <w:rFonts w:ascii="Arial" w:hAnsi="Arial"/>
          <w:color w:val="000000" w:themeColor="text1"/>
        </w:rPr>
      </w:pPr>
      <w:r w:rsidRPr="00956C5A">
        <w:rPr>
          <w:rFonts w:ascii="Arial" w:hAnsi="Arial"/>
          <w:color w:val="000000" w:themeColor="text1"/>
        </w:rPr>
        <w:t>Provide a general overview and discussion of the activities of management.</w:t>
      </w:r>
    </w:p>
    <w:p w14:paraId="30FEE360" w14:textId="6213A840" w:rsidR="009D1CAF" w:rsidRDefault="0020416D" w:rsidP="00483F7D">
      <w:pPr>
        <w:pStyle w:val="List"/>
        <w:spacing w:before="120"/>
        <w:ind w:left="720" w:firstLine="0"/>
        <w:jc w:val="both"/>
        <w:rPr>
          <w:rFonts w:ascii="Arial" w:hAnsi="Arial" w:cs="Arial"/>
          <w:color w:val="376092"/>
          <w:szCs w:val="24"/>
          <w:lang w:val="en-US"/>
        </w:rPr>
      </w:pPr>
      <w:r>
        <w:rPr>
          <w:rFonts w:ascii="Arial" w:hAnsi="Arial" w:cs="Arial"/>
          <w:color w:val="376092"/>
          <w:szCs w:val="24"/>
        </w:rPr>
        <w:t>M</w:t>
      </w:r>
      <w:proofErr w:type="spellStart"/>
      <w:r w:rsidR="00612DC7">
        <w:rPr>
          <w:rFonts w:ascii="Arial" w:hAnsi="Arial" w:cs="Arial"/>
          <w:color w:val="376092"/>
          <w:szCs w:val="24"/>
          <w:lang w:val="en-US"/>
        </w:rPr>
        <w:t>anagement</w:t>
      </w:r>
      <w:proofErr w:type="spellEnd"/>
      <w:r w:rsidR="00612DC7">
        <w:rPr>
          <w:rFonts w:ascii="Arial" w:hAnsi="Arial" w:cs="Arial"/>
          <w:color w:val="376092"/>
          <w:szCs w:val="24"/>
          <w:lang w:val="en-US"/>
        </w:rPr>
        <w:t xml:space="preserve"> was focusing on</w:t>
      </w:r>
      <w:r w:rsidR="007804AE" w:rsidRPr="00956C5A">
        <w:rPr>
          <w:rFonts w:ascii="Arial" w:hAnsi="Arial" w:cs="Arial"/>
          <w:color w:val="376092"/>
          <w:szCs w:val="24"/>
          <w:lang w:val="en-US"/>
        </w:rPr>
        <w:t xml:space="preserve"> the full implementation of substantial quality systems, regulatory processes</w:t>
      </w:r>
      <w:r w:rsidR="008266E2">
        <w:rPr>
          <w:rFonts w:ascii="Arial" w:hAnsi="Arial" w:cs="Arial"/>
          <w:color w:val="376092"/>
          <w:szCs w:val="24"/>
          <w:lang w:val="en-US"/>
        </w:rPr>
        <w:t>,</w:t>
      </w:r>
      <w:r w:rsidR="007804AE" w:rsidRPr="00956C5A">
        <w:rPr>
          <w:rFonts w:ascii="Arial" w:hAnsi="Arial" w:cs="Arial"/>
          <w:color w:val="376092"/>
          <w:szCs w:val="24"/>
          <w:lang w:val="en-US"/>
        </w:rPr>
        <w:t xml:space="preserve"> and the final design and approval of a major clinical study</w:t>
      </w:r>
      <w:r w:rsidR="00612DC7">
        <w:rPr>
          <w:rFonts w:ascii="Arial" w:hAnsi="Arial" w:cs="Arial"/>
          <w:color w:val="376092"/>
          <w:szCs w:val="24"/>
          <w:lang w:val="en-US"/>
        </w:rPr>
        <w:t>.</w:t>
      </w:r>
      <w:r w:rsidR="001F0A1B">
        <w:rPr>
          <w:rFonts w:ascii="Arial" w:hAnsi="Arial" w:cs="Arial"/>
          <w:color w:val="376092"/>
          <w:szCs w:val="24"/>
          <w:lang w:val="en-US"/>
        </w:rPr>
        <w:t xml:space="preserve"> </w:t>
      </w:r>
    </w:p>
    <w:p w14:paraId="51894A87" w14:textId="259F59C3" w:rsidR="006B2F11" w:rsidRDefault="006B2F11" w:rsidP="00483F7D">
      <w:pPr>
        <w:pStyle w:val="List"/>
        <w:spacing w:before="120"/>
        <w:ind w:left="720" w:firstLine="0"/>
        <w:jc w:val="both"/>
        <w:rPr>
          <w:rFonts w:ascii="Arial" w:hAnsi="Arial" w:cs="Arial"/>
          <w:color w:val="376092"/>
          <w:szCs w:val="24"/>
          <w:lang w:val="en-US"/>
        </w:rPr>
      </w:pPr>
      <w:r>
        <w:rPr>
          <w:rFonts w:ascii="Arial" w:hAnsi="Arial" w:cs="Arial"/>
          <w:color w:val="376092"/>
          <w:szCs w:val="24"/>
          <w:lang w:val="en-US"/>
        </w:rPr>
        <w:t>Management was preparing the Q3 financial statement</w:t>
      </w:r>
      <w:r w:rsidR="00D63308">
        <w:rPr>
          <w:rFonts w:ascii="Arial" w:hAnsi="Arial" w:cs="Arial"/>
          <w:color w:val="376092"/>
          <w:szCs w:val="24"/>
          <w:lang w:val="en-US"/>
        </w:rPr>
        <w:t xml:space="preserve">.  The Company also completed a non-brokered private placement on December 22, 2020, and raised gross proceeds of </w:t>
      </w:r>
      <w:r w:rsidR="00D63308" w:rsidRPr="00D63308">
        <w:rPr>
          <w:rFonts w:ascii="Arial" w:hAnsi="Arial" w:cs="Arial"/>
          <w:color w:val="376092"/>
          <w:szCs w:val="24"/>
          <w:lang w:val="en-US"/>
        </w:rPr>
        <w:t>$2,695,250.10</w:t>
      </w:r>
      <w:r w:rsidR="00D63308">
        <w:rPr>
          <w:rFonts w:ascii="Arial" w:hAnsi="Arial" w:cs="Arial"/>
          <w:color w:val="376092"/>
          <w:szCs w:val="24"/>
          <w:lang w:val="en-US"/>
        </w:rPr>
        <w:t>.</w:t>
      </w:r>
    </w:p>
    <w:p w14:paraId="58D644E1" w14:textId="77777777" w:rsidR="00640E94" w:rsidRPr="00956C5A" w:rsidRDefault="00640E94">
      <w:pPr>
        <w:pStyle w:val="List"/>
        <w:numPr>
          <w:ilvl w:val="0"/>
          <w:numId w:val="28"/>
        </w:numPr>
        <w:spacing w:before="120"/>
        <w:jc w:val="both"/>
        <w:rPr>
          <w:rFonts w:ascii="Arial" w:hAnsi="Arial"/>
          <w:color w:val="000000" w:themeColor="text1"/>
        </w:rPr>
      </w:pPr>
      <w:r w:rsidRPr="00956C5A">
        <w:rPr>
          <w:rFonts w:ascii="Arial" w:hAnsi="Arial"/>
          <w:color w:val="000000" w:themeColor="text1"/>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F1D4F3F" w14:textId="5D7CB8F2" w:rsidR="00813D41" w:rsidRDefault="007804AE" w:rsidP="00B92613">
      <w:pPr>
        <w:pStyle w:val="List"/>
        <w:spacing w:before="120"/>
        <w:ind w:left="720" w:firstLine="0"/>
        <w:jc w:val="both"/>
        <w:rPr>
          <w:rFonts w:ascii="Arial" w:hAnsi="Arial" w:cs="Arial"/>
          <w:color w:val="376092"/>
          <w:szCs w:val="24"/>
          <w:lang w:val="en-US"/>
        </w:rPr>
      </w:pPr>
      <w:r w:rsidRPr="00956C5A">
        <w:rPr>
          <w:rFonts w:ascii="Arial" w:hAnsi="Arial" w:cs="Arial"/>
          <w:color w:val="376092"/>
          <w:szCs w:val="24"/>
          <w:lang w:val="en-US"/>
        </w:rPr>
        <w:t>No new products or services have been offered, nor any new assets acquired in the last month</w:t>
      </w:r>
      <w:r w:rsidR="00E722F5">
        <w:rPr>
          <w:rFonts w:ascii="Arial" w:hAnsi="Arial" w:cs="Arial"/>
          <w:color w:val="376092"/>
          <w:szCs w:val="24"/>
          <w:lang w:val="en-US"/>
        </w:rPr>
        <w:t>.</w:t>
      </w:r>
    </w:p>
    <w:p w14:paraId="387C3BE3" w14:textId="77777777" w:rsidR="00B92613" w:rsidRPr="00B92613" w:rsidRDefault="00B92613" w:rsidP="00B92613">
      <w:pPr>
        <w:pStyle w:val="List"/>
        <w:spacing w:before="120"/>
        <w:ind w:left="720" w:firstLine="0"/>
        <w:jc w:val="both"/>
        <w:rPr>
          <w:rFonts w:ascii="Arial" w:hAnsi="Arial" w:cs="Arial"/>
          <w:color w:val="376092"/>
          <w:szCs w:val="24"/>
          <w:lang w:val="en-US"/>
        </w:rPr>
      </w:pPr>
    </w:p>
    <w:p w14:paraId="554763D1" w14:textId="77777777" w:rsidR="00B92613" w:rsidRDefault="00640E94" w:rsidP="00B92613">
      <w:pPr>
        <w:pStyle w:val="List"/>
        <w:numPr>
          <w:ilvl w:val="0"/>
          <w:numId w:val="28"/>
        </w:numPr>
        <w:spacing w:before="120"/>
        <w:jc w:val="both"/>
        <w:rPr>
          <w:rFonts w:ascii="Arial" w:hAnsi="Arial"/>
        </w:rPr>
      </w:pPr>
      <w:r w:rsidRPr="00A83C20">
        <w:rPr>
          <w:rFonts w:ascii="Arial" w:hAnsi="Arial"/>
        </w:rPr>
        <w:t>Describe and provide details of any products or services that were discontinued. For resource companies, provide details of any drilling, exploration or production programs that have been amended or abandoned.</w:t>
      </w:r>
    </w:p>
    <w:p w14:paraId="2E0A7F22" w14:textId="2ECD1B6C" w:rsidR="00A83C20" w:rsidRDefault="00A83C20" w:rsidP="00B92613">
      <w:pPr>
        <w:pStyle w:val="List"/>
        <w:tabs>
          <w:tab w:val="left" w:pos="720"/>
        </w:tabs>
        <w:spacing w:before="120"/>
        <w:ind w:left="720" w:firstLine="0"/>
        <w:jc w:val="both"/>
        <w:rPr>
          <w:rFonts w:ascii="Arial" w:hAnsi="Arial" w:cs="Arial"/>
          <w:color w:val="376092"/>
          <w:szCs w:val="24"/>
        </w:rPr>
      </w:pPr>
      <w:r w:rsidRPr="00B92613">
        <w:rPr>
          <w:rFonts w:ascii="Arial" w:hAnsi="Arial" w:cs="Arial"/>
          <w:color w:val="376092"/>
          <w:szCs w:val="24"/>
        </w:rPr>
        <w:t>No products or services were discontinued during the month.</w:t>
      </w:r>
    </w:p>
    <w:p w14:paraId="0DA1D78D" w14:textId="77777777" w:rsidR="00B92613" w:rsidRPr="00B92613" w:rsidRDefault="00B92613" w:rsidP="00B92613">
      <w:pPr>
        <w:pStyle w:val="List"/>
        <w:tabs>
          <w:tab w:val="left" w:pos="720"/>
        </w:tabs>
        <w:spacing w:before="120"/>
        <w:ind w:left="720" w:firstLine="0"/>
        <w:jc w:val="both"/>
        <w:rPr>
          <w:rFonts w:ascii="Arial" w:hAnsi="Arial"/>
        </w:rPr>
      </w:pPr>
    </w:p>
    <w:p w14:paraId="11C52F21" w14:textId="77777777" w:rsidR="00640E94" w:rsidRPr="00132E8B" w:rsidRDefault="00640E94">
      <w:pPr>
        <w:pStyle w:val="List"/>
        <w:numPr>
          <w:ilvl w:val="0"/>
          <w:numId w:val="28"/>
        </w:numPr>
        <w:spacing w:before="120"/>
        <w:jc w:val="both"/>
        <w:rPr>
          <w:rFonts w:ascii="Arial" w:hAnsi="Arial"/>
        </w:rPr>
      </w:pPr>
      <w:r w:rsidRPr="00132E8B">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D2DF04D" w14:textId="0283350D" w:rsidR="00B92613" w:rsidRDefault="00EE59D3" w:rsidP="008A0E73">
      <w:pPr>
        <w:pStyle w:val="List"/>
        <w:spacing w:before="120"/>
        <w:ind w:left="720" w:firstLine="0"/>
        <w:jc w:val="both"/>
        <w:rPr>
          <w:rFonts w:ascii="Arial" w:hAnsi="Arial"/>
          <w:color w:val="1F497D" w:themeColor="text2"/>
        </w:rPr>
      </w:pPr>
      <w:r w:rsidRPr="00132E8B">
        <w:rPr>
          <w:rFonts w:ascii="Arial" w:hAnsi="Arial"/>
          <w:color w:val="1F497D" w:themeColor="text2"/>
        </w:rPr>
        <w:t>Not applicable</w:t>
      </w:r>
    </w:p>
    <w:p w14:paraId="7E96D510" w14:textId="77777777" w:rsidR="008A0E73" w:rsidRPr="00B92613" w:rsidRDefault="008A0E73" w:rsidP="008A0E73">
      <w:pPr>
        <w:pStyle w:val="List"/>
        <w:spacing w:before="120"/>
        <w:ind w:left="720" w:firstLine="0"/>
        <w:jc w:val="both"/>
        <w:rPr>
          <w:rFonts w:ascii="Arial" w:hAnsi="Arial"/>
          <w:color w:val="1F497D" w:themeColor="text2"/>
        </w:rPr>
      </w:pPr>
    </w:p>
    <w:p w14:paraId="256C326D"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2D73745" w14:textId="77777777" w:rsidR="00813D41" w:rsidRPr="00813D41" w:rsidRDefault="00813D41" w:rsidP="00813D41">
      <w:pPr>
        <w:pStyle w:val="List"/>
        <w:spacing w:before="120"/>
        <w:ind w:left="720" w:firstLine="0"/>
        <w:jc w:val="both"/>
        <w:rPr>
          <w:rFonts w:ascii="Arial" w:hAnsi="Arial"/>
          <w:color w:val="1F497D" w:themeColor="text2"/>
        </w:rPr>
      </w:pPr>
      <w:r w:rsidRPr="00813D41">
        <w:rPr>
          <w:rFonts w:ascii="Arial" w:hAnsi="Arial"/>
          <w:color w:val="1F497D" w:themeColor="text2"/>
        </w:rPr>
        <w:t xml:space="preserve">Not applicable </w:t>
      </w:r>
    </w:p>
    <w:p w14:paraId="4B14D7AB" w14:textId="77777777" w:rsidR="00813D41" w:rsidRDefault="00813D41" w:rsidP="00813D41">
      <w:pPr>
        <w:pStyle w:val="List"/>
        <w:spacing w:before="120"/>
        <w:ind w:left="0" w:firstLine="0"/>
        <w:jc w:val="both"/>
        <w:rPr>
          <w:rFonts w:ascii="Arial" w:hAnsi="Arial"/>
        </w:rPr>
      </w:pPr>
    </w:p>
    <w:p w14:paraId="79A29E53" w14:textId="77777777"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w:t>
      </w:r>
      <w:r>
        <w:rPr>
          <w:rFonts w:ascii="Arial" w:hAnsi="Arial"/>
        </w:rPr>
        <w:lastRenderedPageBreak/>
        <w:t>the consideration was determined and whether the acquisition was from or the disposition was to a Related Person of the Issuer and provide detail</w:t>
      </w:r>
      <w:r w:rsidR="00813D41">
        <w:rPr>
          <w:rFonts w:ascii="Arial" w:hAnsi="Arial"/>
        </w:rPr>
        <w:t>s of the relationship.</w:t>
      </w:r>
    </w:p>
    <w:p w14:paraId="2860D46F" w14:textId="2FBA9F99" w:rsidR="00185A56" w:rsidRDefault="006C6402" w:rsidP="00D632EE">
      <w:pPr>
        <w:pStyle w:val="List"/>
        <w:spacing w:before="120"/>
        <w:ind w:left="720" w:firstLine="0"/>
        <w:jc w:val="both"/>
        <w:rPr>
          <w:rFonts w:ascii="Arial" w:hAnsi="Arial"/>
          <w:color w:val="1F497D" w:themeColor="text2"/>
        </w:rPr>
      </w:pPr>
      <w:r w:rsidRPr="006C6402">
        <w:rPr>
          <w:rFonts w:ascii="Arial" w:hAnsi="Arial"/>
          <w:color w:val="1F497D" w:themeColor="text2"/>
        </w:rPr>
        <w:t>Not applicable</w:t>
      </w:r>
    </w:p>
    <w:p w14:paraId="25898447" w14:textId="77777777" w:rsidR="00D632EE" w:rsidRPr="006C6402" w:rsidRDefault="00D632EE" w:rsidP="00D632EE">
      <w:pPr>
        <w:pStyle w:val="List"/>
        <w:spacing w:before="120"/>
        <w:ind w:left="720" w:firstLine="0"/>
        <w:jc w:val="both"/>
        <w:rPr>
          <w:rFonts w:ascii="Arial" w:hAnsi="Arial"/>
          <w:color w:val="1F497D" w:themeColor="text2"/>
        </w:rPr>
      </w:pPr>
    </w:p>
    <w:p w14:paraId="25C25DB3"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EF9EA25" w14:textId="6EB391F8" w:rsidR="00A8466D" w:rsidRDefault="006C6402" w:rsidP="00235F79">
      <w:pPr>
        <w:pStyle w:val="List"/>
        <w:spacing w:before="120"/>
        <w:ind w:left="720" w:firstLine="0"/>
        <w:jc w:val="both"/>
        <w:rPr>
          <w:rFonts w:ascii="Arial" w:hAnsi="Arial"/>
          <w:color w:val="1F497D" w:themeColor="text2"/>
        </w:rPr>
      </w:pPr>
      <w:r w:rsidRPr="006C6402">
        <w:rPr>
          <w:rFonts w:ascii="Arial" w:hAnsi="Arial"/>
          <w:color w:val="1F497D" w:themeColor="text2"/>
        </w:rPr>
        <w:t>Not applicable</w:t>
      </w:r>
    </w:p>
    <w:p w14:paraId="79F3CE3A" w14:textId="77777777" w:rsidR="00235F79" w:rsidRPr="00235F79" w:rsidRDefault="00235F79" w:rsidP="00235F79">
      <w:pPr>
        <w:pStyle w:val="List"/>
        <w:spacing w:before="120"/>
        <w:ind w:left="720" w:firstLine="0"/>
        <w:jc w:val="both"/>
        <w:rPr>
          <w:rFonts w:ascii="Arial" w:hAnsi="Arial"/>
          <w:color w:val="1F497D" w:themeColor="text2"/>
        </w:rPr>
      </w:pPr>
    </w:p>
    <w:p w14:paraId="492F661F" w14:textId="6CE6D408" w:rsidR="008A0E73" w:rsidRPr="008A0E73" w:rsidRDefault="00640E94" w:rsidP="008A0E73">
      <w:pPr>
        <w:pStyle w:val="List"/>
        <w:numPr>
          <w:ilvl w:val="0"/>
          <w:numId w:val="28"/>
        </w:numPr>
        <w:spacing w:before="120"/>
        <w:jc w:val="both"/>
        <w:rPr>
          <w:rFonts w:ascii="Arial" w:hAnsi="Arial"/>
        </w:rPr>
      </w:pPr>
      <w:r w:rsidRPr="00956C5A">
        <w:rPr>
          <w:rFonts w:ascii="Arial" w:hAnsi="Arial"/>
        </w:rPr>
        <w:t>Describe any new developments or effects on intangible products such as brand names, circulation lists, copyrights, franchises, licenses, patents, software, subscription lists and trade-marks.</w:t>
      </w:r>
    </w:p>
    <w:p w14:paraId="3D34FC53" w14:textId="77777777" w:rsidR="006B60FB" w:rsidRDefault="007804AE" w:rsidP="00616EF8">
      <w:pPr>
        <w:pStyle w:val="List"/>
        <w:spacing w:before="0"/>
        <w:ind w:left="720" w:firstLine="0"/>
        <w:jc w:val="both"/>
        <w:rPr>
          <w:rFonts w:ascii="Arial" w:hAnsi="Arial"/>
          <w:color w:val="1F497D" w:themeColor="text2"/>
        </w:rPr>
      </w:pPr>
      <w:proofErr w:type="spellStart"/>
      <w:r w:rsidRPr="00956C5A">
        <w:rPr>
          <w:rFonts w:ascii="Arial" w:hAnsi="Arial"/>
          <w:color w:val="1F497D" w:themeColor="text2"/>
        </w:rPr>
        <w:t>Cognetivity</w:t>
      </w:r>
      <w:proofErr w:type="spellEnd"/>
      <w:r w:rsidRPr="00956C5A">
        <w:rPr>
          <w:rFonts w:ascii="Arial" w:hAnsi="Arial"/>
          <w:color w:val="1F497D" w:themeColor="text2"/>
        </w:rPr>
        <w:t xml:space="preserve"> has further developed its software and technical infrastructure in preparation for a major validation study and subsequent commercial release.</w:t>
      </w:r>
      <w:r w:rsidR="00D70AD4">
        <w:rPr>
          <w:rFonts w:ascii="Arial" w:hAnsi="Arial"/>
          <w:color w:val="1F497D" w:themeColor="text2"/>
        </w:rPr>
        <w:t xml:space="preserve"> </w:t>
      </w:r>
    </w:p>
    <w:p w14:paraId="62B37BE7" w14:textId="77777777" w:rsidR="006B60FB" w:rsidRDefault="006B60FB" w:rsidP="00616EF8">
      <w:pPr>
        <w:pStyle w:val="List"/>
        <w:spacing w:before="0"/>
        <w:ind w:left="720" w:firstLine="0"/>
        <w:jc w:val="both"/>
        <w:rPr>
          <w:rFonts w:ascii="Arial" w:hAnsi="Arial"/>
          <w:color w:val="1F497D" w:themeColor="text2"/>
        </w:rPr>
      </w:pPr>
    </w:p>
    <w:p w14:paraId="74F8933B" w14:textId="5759D6D9" w:rsidR="008D4987" w:rsidRDefault="00D70AD4" w:rsidP="00616EF8">
      <w:pPr>
        <w:pStyle w:val="List"/>
        <w:spacing w:before="0"/>
        <w:ind w:left="720" w:firstLine="0"/>
        <w:jc w:val="both"/>
        <w:rPr>
          <w:rFonts w:ascii="Arial" w:hAnsi="Arial"/>
          <w:color w:val="1F497D" w:themeColor="text2"/>
        </w:rPr>
      </w:pPr>
      <w:r>
        <w:rPr>
          <w:rFonts w:ascii="Arial" w:hAnsi="Arial"/>
          <w:color w:val="1F497D" w:themeColor="text2"/>
        </w:rPr>
        <w:t>In addition, the Company’s Integrated Cognitive Assessment (ICA) software has been approved as a</w:t>
      </w:r>
      <w:r w:rsidR="006B60FB">
        <w:rPr>
          <w:rFonts w:ascii="Arial" w:hAnsi="Arial"/>
          <w:color w:val="1F497D" w:themeColor="text2"/>
        </w:rPr>
        <w:t xml:space="preserve"> CE-</w:t>
      </w:r>
      <w:r>
        <w:rPr>
          <w:rFonts w:ascii="Arial" w:hAnsi="Arial"/>
          <w:color w:val="1F497D" w:themeColor="text2"/>
        </w:rPr>
        <w:t xml:space="preserve">marked medical devise.  </w:t>
      </w:r>
    </w:p>
    <w:p w14:paraId="51EF60B4" w14:textId="77777777" w:rsidR="00DE5EC1" w:rsidRDefault="00DE5EC1" w:rsidP="00616EF8">
      <w:pPr>
        <w:pStyle w:val="List"/>
        <w:spacing w:before="0"/>
        <w:ind w:left="720" w:firstLine="0"/>
        <w:jc w:val="both"/>
        <w:rPr>
          <w:rFonts w:ascii="Arial" w:hAnsi="Arial"/>
          <w:color w:val="1F497D" w:themeColor="text2"/>
        </w:rPr>
      </w:pPr>
    </w:p>
    <w:p w14:paraId="675DCAC1" w14:textId="7EB42981" w:rsidR="00DE5EC1" w:rsidRDefault="00DE5EC1" w:rsidP="00616EF8">
      <w:pPr>
        <w:pStyle w:val="List"/>
        <w:spacing w:before="0"/>
        <w:ind w:left="720" w:firstLine="0"/>
        <w:jc w:val="both"/>
        <w:rPr>
          <w:rFonts w:ascii="Arial" w:hAnsi="Arial"/>
          <w:color w:val="1F497D" w:themeColor="text2"/>
        </w:rPr>
      </w:pPr>
      <w:r>
        <w:rPr>
          <w:rFonts w:ascii="Arial" w:hAnsi="Arial"/>
          <w:color w:val="1F497D" w:themeColor="text2"/>
        </w:rPr>
        <w:t>The Company has also developed a novel smartphone app focused on the personalised tracking and management of cognitive performance.</w:t>
      </w:r>
    </w:p>
    <w:p w14:paraId="193B8015" w14:textId="77777777" w:rsidR="00235F79" w:rsidRDefault="00235F79" w:rsidP="00B66A2A">
      <w:pPr>
        <w:pStyle w:val="List"/>
        <w:spacing w:before="0"/>
        <w:ind w:left="0" w:firstLine="0"/>
        <w:jc w:val="both"/>
        <w:rPr>
          <w:rFonts w:ascii="Arial" w:hAnsi="Arial"/>
          <w:color w:val="1F497D" w:themeColor="text2"/>
        </w:rPr>
      </w:pPr>
    </w:p>
    <w:p w14:paraId="57573AEC"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6746EE39" w14:textId="77777777" w:rsidR="006C6402" w:rsidRPr="00EE59D3" w:rsidRDefault="006C6402" w:rsidP="006C6402">
      <w:pPr>
        <w:pStyle w:val="ListParagraph"/>
        <w:rPr>
          <w:rFonts w:ascii="Arial" w:hAnsi="Arial"/>
          <w:color w:val="1F497D" w:themeColor="text2"/>
          <w:sz w:val="24"/>
          <w:szCs w:val="24"/>
        </w:rPr>
      </w:pPr>
      <w:r w:rsidRPr="00EE59D3">
        <w:rPr>
          <w:rFonts w:ascii="Arial" w:hAnsi="Arial"/>
          <w:color w:val="1F497D" w:themeColor="text2"/>
          <w:sz w:val="24"/>
          <w:szCs w:val="24"/>
        </w:rPr>
        <w:t>Not applicable</w:t>
      </w:r>
    </w:p>
    <w:p w14:paraId="272DE3D7" w14:textId="77777777" w:rsidR="006C6402" w:rsidRDefault="006C6402" w:rsidP="006C6402">
      <w:pPr>
        <w:pStyle w:val="List"/>
        <w:spacing w:before="120"/>
        <w:ind w:left="720" w:firstLine="0"/>
        <w:jc w:val="both"/>
        <w:rPr>
          <w:rFonts w:ascii="Arial" w:hAnsi="Arial"/>
        </w:rPr>
      </w:pPr>
    </w:p>
    <w:p w14:paraId="268A6E7F" w14:textId="77777777" w:rsidR="00A8466D" w:rsidRPr="007D66AB" w:rsidRDefault="00640E94" w:rsidP="00647CAF">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27BDCB3D" w14:textId="77777777" w:rsidR="006C6402" w:rsidRPr="006C6402" w:rsidRDefault="006C6402" w:rsidP="00647CAF">
      <w:pPr>
        <w:pStyle w:val="List"/>
        <w:spacing w:before="0"/>
        <w:ind w:left="720" w:firstLine="0"/>
        <w:jc w:val="both"/>
        <w:rPr>
          <w:rFonts w:ascii="Arial" w:hAnsi="Arial"/>
          <w:color w:val="1F497D" w:themeColor="text2"/>
        </w:rPr>
      </w:pPr>
      <w:r w:rsidRPr="006C6402">
        <w:rPr>
          <w:rFonts w:ascii="Arial" w:hAnsi="Arial"/>
          <w:color w:val="1F497D" w:themeColor="text2"/>
        </w:rPr>
        <w:t>Not applicable</w:t>
      </w:r>
    </w:p>
    <w:p w14:paraId="372AB97A" w14:textId="77777777" w:rsidR="006C6402" w:rsidRDefault="006C6402" w:rsidP="006C6402">
      <w:pPr>
        <w:pStyle w:val="List"/>
        <w:spacing w:before="120"/>
        <w:ind w:left="720" w:firstLine="0"/>
        <w:jc w:val="both"/>
        <w:rPr>
          <w:rFonts w:ascii="Arial" w:hAnsi="Arial"/>
        </w:rPr>
      </w:pPr>
    </w:p>
    <w:p w14:paraId="7D1A60BF"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4C1D12C" w14:textId="4DE0D6B0" w:rsidR="006C6402" w:rsidRDefault="006C6402" w:rsidP="00AD3789">
      <w:pPr>
        <w:pStyle w:val="ListParagraph"/>
        <w:rPr>
          <w:rFonts w:ascii="Arial" w:hAnsi="Arial"/>
          <w:color w:val="1F497D" w:themeColor="text2"/>
          <w:sz w:val="24"/>
          <w:szCs w:val="24"/>
        </w:rPr>
      </w:pPr>
      <w:r w:rsidRPr="006C6402">
        <w:rPr>
          <w:rFonts w:ascii="Arial" w:hAnsi="Arial"/>
          <w:color w:val="1F497D" w:themeColor="text2"/>
          <w:sz w:val="24"/>
          <w:szCs w:val="24"/>
        </w:rPr>
        <w:t>Not applicable</w:t>
      </w:r>
    </w:p>
    <w:p w14:paraId="4598F0F5" w14:textId="77777777" w:rsidR="00AD3789" w:rsidRPr="00AD3789" w:rsidRDefault="00AD3789" w:rsidP="00AD3789">
      <w:pPr>
        <w:pStyle w:val="ListParagraph"/>
        <w:rPr>
          <w:rFonts w:ascii="Arial" w:hAnsi="Arial"/>
          <w:color w:val="1F497D" w:themeColor="text2"/>
          <w:sz w:val="24"/>
          <w:szCs w:val="24"/>
        </w:rPr>
      </w:pPr>
    </w:p>
    <w:p w14:paraId="70F70980" w14:textId="77777777" w:rsidR="00B92613" w:rsidRDefault="00640E94" w:rsidP="00B9261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5F4F786" w14:textId="27BBF474" w:rsidR="00DE5EC1" w:rsidRPr="005D1291" w:rsidRDefault="006C6402" w:rsidP="005D1291">
      <w:pPr>
        <w:pStyle w:val="List"/>
        <w:spacing w:before="120"/>
        <w:ind w:left="720" w:firstLine="0"/>
        <w:jc w:val="both"/>
        <w:rPr>
          <w:rFonts w:ascii="Arial" w:hAnsi="Arial"/>
          <w:color w:val="1F497D" w:themeColor="text2"/>
        </w:rPr>
      </w:pPr>
      <w:r w:rsidRPr="00B92613">
        <w:rPr>
          <w:rFonts w:ascii="Arial" w:hAnsi="Arial"/>
          <w:color w:val="1F497D" w:themeColor="text2"/>
        </w:rPr>
        <w:t>Not applicable</w:t>
      </w:r>
    </w:p>
    <w:p w14:paraId="6BACA6B7" w14:textId="206DC812" w:rsidR="008D4987" w:rsidRDefault="00640E94" w:rsidP="00D632EE">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EA124CB" w14:textId="77777777" w:rsidR="00D632EE" w:rsidRPr="00D632EE" w:rsidRDefault="00D632EE" w:rsidP="00D632EE">
      <w:pPr>
        <w:pStyle w:val="List"/>
        <w:spacing w:before="120"/>
        <w:ind w:left="72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4819"/>
        <w:gridCol w:w="2097"/>
      </w:tblGrid>
      <w:tr w:rsidR="00640E94" w14:paraId="3D6A9F77" w14:textId="77777777" w:rsidTr="006B2F11">
        <w:tc>
          <w:tcPr>
            <w:tcW w:w="1242" w:type="dxa"/>
          </w:tcPr>
          <w:p w14:paraId="6DBED57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1418" w:type="dxa"/>
          </w:tcPr>
          <w:p w14:paraId="4D0FAF1D"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4819" w:type="dxa"/>
          </w:tcPr>
          <w:p w14:paraId="6DBDBBA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097" w:type="dxa"/>
          </w:tcPr>
          <w:p w14:paraId="22D4165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1F0A1B" w14:paraId="70203414" w14:textId="77777777" w:rsidTr="006B2F11">
        <w:tc>
          <w:tcPr>
            <w:tcW w:w="1242" w:type="dxa"/>
          </w:tcPr>
          <w:p w14:paraId="3E745C1E" w14:textId="4A81E396" w:rsidR="001F0A1B" w:rsidRDefault="00387AA8" w:rsidP="00900902">
            <w:pPr>
              <w:pStyle w:val="List"/>
              <w:tabs>
                <w:tab w:val="left" w:pos="360"/>
              </w:tabs>
              <w:spacing w:before="0" w:line="280" w:lineRule="exact"/>
              <w:ind w:left="0" w:firstLine="0"/>
              <w:jc w:val="both"/>
              <w:rPr>
                <w:rFonts w:ascii="Arial" w:hAnsi="Arial"/>
              </w:rPr>
            </w:pPr>
            <w:r>
              <w:rPr>
                <w:rFonts w:ascii="Arial" w:hAnsi="Arial"/>
              </w:rPr>
              <w:lastRenderedPageBreak/>
              <w:t xml:space="preserve"> Shares</w:t>
            </w:r>
          </w:p>
        </w:tc>
        <w:tc>
          <w:tcPr>
            <w:tcW w:w="1418" w:type="dxa"/>
          </w:tcPr>
          <w:p w14:paraId="10FEB41B" w14:textId="555DA73F" w:rsidR="001F0A1B" w:rsidRDefault="00387AA8" w:rsidP="00AD59F5">
            <w:pPr>
              <w:pStyle w:val="List"/>
              <w:tabs>
                <w:tab w:val="left" w:pos="360"/>
              </w:tabs>
              <w:spacing w:before="0" w:line="280" w:lineRule="exact"/>
              <w:ind w:left="0" w:firstLine="0"/>
              <w:jc w:val="center"/>
              <w:rPr>
                <w:rFonts w:ascii="Arial" w:hAnsi="Arial"/>
              </w:rPr>
            </w:pPr>
            <w:r>
              <w:rPr>
                <w:rFonts w:ascii="Arial" w:hAnsi="Arial"/>
              </w:rPr>
              <w:t>8,984,167</w:t>
            </w:r>
          </w:p>
        </w:tc>
        <w:tc>
          <w:tcPr>
            <w:tcW w:w="4819" w:type="dxa"/>
          </w:tcPr>
          <w:p w14:paraId="1E0FBA8B" w14:textId="22699977" w:rsidR="001F0A1B" w:rsidRDefault="00387AA8" w:rsidP="00512C03">
            <w:pPr>
              <w:pStyle w:val="List"/>
              <w:tabs>
                <w:tab w:val="left" w:pos="360"/>
              </w:tabs>
              <w:spacing w:before="0" w:line="280" w:lineRule="exact"/>
              <w:ind w:left="0" w:firstLine="0"/>
              <w:rPr>
                <w:rFonts w:ascii="Arial" w:hAnsi="Arial"/>
              </w:rPr>
            </w:pPr>
            <w:r>
              <w:rPr>
                <w:rFonts w:ascii="Arial" w:hAnsi="Arial"/>
              </w:rPr>
              <w:t xml:space="preserve">On December 22, 2020, </w:t>
            </w:r>
            <w:r w:rsidR="000E0DE0">
              <w:rPr>
                <w:rFonts w:ascii="Arial" w:hAnsi="Arial"/>
              </w:rPr>
              <w:t xml:space="preserve">the Company has completed a non-brokered private placement of </w:t>
            </w:r>
            <w:r>
              <w:rPr>
                <w:rFonts w:ascii="Arial" w:hAnsi="Arial"/>
              </w:rPr>
              <w:t xml:space="preserve">8,984,167 </w:t>
            </w:r>
            <w:r w:rsidR="000E0DE0">
              <w:rPr>
                <w:rFonts w:ascii="Arial" w:hAnsi="Arial"/>
              </w:rPr>
              <w:t>at a price of</w:t>
            </w:r>
            <w:r>
              <w:rPr>
                <w:rFonts w:ascii="Arial" w:hAnsi="Arial"/>
              </w:rPr>
              <w:t xml:space="preserve"> $0.30</w:t>
            </w:r>
            <w:r w:rsidR="000E0DE0">
              <w:rPr>
                <w:rFonts w:ascii="Arial" w:hAnsi="Arial"/>
              </w:rPr>
              <w:t xml:space="preserve"> per </w:t>
            </w:r>
            <w:r>
              <w:rPr>
                <w:rFonts w:ascii="Arial" w:hAnsi="Arial"/>
              </w:rPr>
              <w:t>unit</w:t>
            </w:r>
            <w:r w:rsidR="000E0DE0">
              <w:rPr>
                <w:rFonts w:ascii="Arial" w:hAnsi="Arial"/>
              </w:rPr>
              <w:t>.</w:t>
            </w:r>
            <w:r>
              <w:rPr>
                <w:rFonts w:ascii="Arial" w:hAnsi="Arial"/>
              </w:rPr>
              <w:t xml:space="preserve"> </w:t>
            </w:r>
            <w:r w:rsidR="000E0DE0">
              <w:rPr>
                <w:rFonts w:ascii="Arial" w:hAnsi="Arial"/>
              </w:rPr>
              <w:t>E</w:t>
            </w:r>
            <w:r>
              <w:rPr>
                <w:rFonts w:ascii="Arial" w:hAnsi="Arial"/>
              </w:rPr>
              <w:t>ach unit consis</w:t>
            </w:r>
            <w:r w:rsidR="000E0DE0">
              <w:rPr>
                <w:rFonts w:ascii="Arial" w:hAnsi="Arial"/>
              </w:rPr>
              <w:t>ts</w:t>
            </w:r>
            <w:r>
              <w:rPr>
                <w:rFonts w:ascii="Arial" w:hAnsi="Arial"/>
              </w:rPr>
              <w:t xml:space="preserve"> of one common share and one-half common share purchase warrant.</w:t>
            </w:r>
          </w:p>
        </w:tc>
        <w:tc>
          <w:tcPr>
            <w:tcW w:w="2097" w:type="dxa"/>
          </w:tcPr>
          <w:p w14:paraId="5C742E47" w14:textId="4BE8F484" w:rsidR="001F0A1B" w:rsidRDefault="000E0DE0" w:rsidP="00512C03">
            <w:pPr>
              <w:pStyle w:val="List"/>
              <w:tabs>
                <w:tab w:val="left" w:pos="360"/>
              </w:tabs>
              <w:spacing w:before="0" w:line="280" w:lineRule="exact"/>
              <w:ind w:left="0" w:firstLine="0"/>
              <w:rPr>
                <w:rFonts w:ascii="Arial" w:hAnsi="Arial"/>
              </w:rPr>
            </w:pPr>
            <w:r>
              <w:rPr>
                <w:rFonts w:ascii="Arial" w:hAnsi="Arial"/>
              </w:rPr>
              <w:t>The gross proceeds of the private placement are $2,695,250.10. The net proceeds of the private placement will be used for product development, clinical validation, quality and regulatory, business development and working capital.</w:t>
            </w:r>
          </w:p>
        </w:tc>
      </w:tr>
      <w:tr w:rsidR="00387AA8" w14:paraId="2912F28F" w14:textId="77777777" w:rsidTr="006B2F11">
        <w:tc>
          <w:tcPr>
            <w:tcW w:w="1242" w:type="dxa"/>
          </w:tcPr>
          <w:p w14:paraId="5428C6C5" w14:textId="774564AA" w:rsidR="00387AA8" w:rsidRDefault="00387AA8" w:rsidP="00900902">
            <w:pPr>
              <w:pStyle w:val="List"/>
              <w:tabs>
                <w:tab w:val="left" w:pos="360"/>
              </w:tabs>
              <w:spacing w:before="0" w:line="280" w:lineRule="exact"/>
              <w:ind w:left="0" w:firstLine="0"/>
              <w:jc w:val="both"/>
              <w:rPr>
                <w:rFonts w:ascii="Arial" w:hAnsi="Arial"/>
              </w:rPr>
            </w:pPr>
            <w:r>
              <w:rPr>
                <w:rFonts w:ascii="Arial" w:hAnsi="Arial"/>
              </w:rPr>
              <w:t>Warrants</w:t>
            </w:r>
          </w:p>
        </w:tc>
        <w:tc>
          <w:tcPr>
            <w:tcW w:w="1418" w:type="dxa"/>
          </w:tcPr>
          <w:p w14:paraId="3B5E6682" w14:textId="4CFA819B" w:rsidR="00387AA8" w:rsidRDefault="00387AA8" w:rsidP="00AD59F5">
            <w:pPr>
              <w:pStyle w:val="List"/>
              <w:tabs>
                <w:tab w:val="left" w:pos="360"/>
              </w:tabs>
              <w:spacing w:before="0" w:line="280" w:lineRule="exact"/>
              <w:ind w:left="0" w:firstLine="0"/>
              <w:jc w:val="center"/>
              <w:rPr>
                <w:rFonts w:ascii="Arial" w:hAnsi="Arial"/>
              </w:rPr>
            </w:pPr>
            <w:r>
              <w:rPr>
                <w:rFonts w:ascii="Arial" w:hAnsi="Arial"/>
              </w:rPr>
              <w:t>4,492,084</w:t>
            </w:r>
          </w:p>
        </w:tc>
        <w:tc>
          <w:tcPr>
            <w:tcW w:w="4819" w:type="dxa"/>
          </w:tcPr>
          <w:p w14:paraId="2F8F5521" w14:textId="5ED8D873" w:rsidR="00387AA8" w:rsidRDefault="000E0DE0" w:rsidP="00512C03">
            <w:pPr>
              <w:pStyle w:val="List"/>
              <w:tabs>
                <w:tab w:val="left" w:pos="360"/>
              </w:tabs>
              <w:spacing w:before="0" w:line="280" w:lineRule="exact"/>
              <w:ind w:left="0" w:firstLine="0"/>
              <w:rPr>
                <w:rFonts w:ascii="Arial" w:hAnsi="Arial"/>
              </w:rPr>
            </w:pPr>
            <w:r>
              <w:rPr>
                <w:rFonts w:ascii="Arial" w:hAnsi="Arial"/>
              </w:rPr>
              <w:t xml:space="preserve">On December 22, 2020, the Company has completed a non-brokered private placement of 8,984,167 at a price of $0.30 per unit. Each unit consists of one common share and one-half common share purchase warrant.  </w:t>
            </w:r>
            <w:r w:rsidR="00387AA8" w:rsidRPr="00387AA8">
              <w:rPr>
                <w:rFonts w:ascii="Arial" w:hAnsi="Arial"/>
              </w:rPr>
              <w:t xml:space="preserve">Each whole Warrant will entitle the holder to purchase one additional </w:t>
            </w:r>
            <w:r>
              <w:rPr>
                <w:rFonts w:ascii="Arial" w:hAnsi="Arial"/>
              </w:rPr>
              <w:t>S</w:t>
            </w:r>
            <w:r w:rsidR="00387AA8" w:rsidRPr="00387AA8">
              <w:rPr>
                <w:rFonts w:ascii="Arial" w:hAnsi="Arial"/>
              </w:rPr>
              <w:t xml:space="preserve">hare at a price of $0.40 </w:t>
            </w:r>
            <w:r>
              <w:rPr>
                <w:rFonts w:ascii="Arial" w:hAnsi="Arial"/>
              </w:rPr>
              <w:t>for a period of 24 months from closing of the private placement</w:t>
            </w:r>
            <w:r w:rsidR="00387AA8">
              <w:rPr>
                <w:rFonts w:ascii="Arial" w:hAnsi="Arial"/>
              </w:rPr>
              <w:t>.</w:t>
            </w:r>
          </w:p>
        </w:tc>
        <w:tc>
          <w:tcPr>
            <w:tcW w:w="2097" w:type="dxa"/>
          </w:tcPr>
          <w:p w14:paraId="28C1ACE7" w14:textId="0C8845B2" w:rsidR="00387AA8" w:rsidRDefault="000E0DE0" w:rsidP="00512C03">
            <w:pPr>
              <w:pStyle w:val="List"/>
              <w:tabs>
                <w:tab w:val="left" w:pos="360"/>
              </w:tabs>
              <w:spacing w:before="0" w:line="280" w:lineRule="exact"/>
              <w:ind w:left="0" w:firstLine="0"/>
              <w:rPr>
                <w:rFonts w:ascii="Arial" w:hAnsi="Arial"/>
              </w:rPr>
            </w:pPr>
            <w:r>
              <w:rPr>
                <w:rFonts w:ascii="Arial" w:hAnsi="Arial"/>
              </w:rPr>
              <w:t>N/A</w:t>
            </w:r>
          </w:p>
        </w:tc>
      </w:tr>
      <w:tr w:rsidR="00387AA8" w14:paraId="20B3A65A" w14:textId="77777777" w:rsidTr="006B2F11">
        <w:tc>
          <w:tcPr>
            <w:tcW w:w="1242" w:type="dxa"/>
          </w:tcPr>
          <w:p w14:paraId="2DB807D3" w14:textId="7E69DDCC" w:rsidR="00387AA8" w:rsidRDefault="00387AA8" w:rsidP="00900902">
            <w:pPr>
              <w:pStyle w:val="List"/>
              <w:tabs>
                <w:tab w:val="left" w:pos="360"/>
              </w:tabs>
              <w:spacing w:before="0" w:line="280" w:lineRule="exact"/>
              <w:ind w:left="0" w:firstLine="0"/>
              <w:jc w:val="both"/>
              <w:rPr>
                <w:rFonts w:ascii="Arial" w:hAnsi="Arial"/>
              </w:rPr>
            </w:pPr>
            <w:r>
              <w:rPr>
                <w:rFonts w:ascii="Arial" w:hAnsi="Arial"/>
              </w:rPr>
              <w:t>Finder’s Warrants</w:t>
            </w:r>
          </w:p>
        </w:tc>
        <w:tc>
          <w:tcPr>
            <w:tcW w:w="1418" w:type="dxa"/>
          </w:tcPr>
          <w:p w14:paraId="0810FB1A" w14:textId="48F640A2" w:rsidR="00387AA8" w:rsidRDefault="00387AA8" w:rsidP="00AD59F5">
            <w:pPr>
              <w:pStyle w:val="List"/>
              <w:tabs>
                <w:tab w:val="left" w:pos="360"/>
              </w:tabs>
              <w:spacing w:before="0" w:line="280" w:lineRule="exact"/>
              <w:ind w:left="0" w:firstLine="0"/>
              <w:jc w:val="center"/>
              <w:rPr>
                <w:rFonts w:ascii="Arial" w:hAnsi="Arial"/>
              </w:rPr>
            </w:pPr>
            <w:r>
              <w:rPr>
                <w:rFonts w:ascii="Arial" w:hAnsi="Arial"/>
              </w:rPr>
              <w:t>522,725</w:t>
            </w:r>
          </w:p>
        </w:tc>
        <w:tc>
          <w:tcPr>
            <w:tcW w:w="4819" w:type="dxa"/>
          </w:tcPr>
          <w:p w14:paraId="0E7DD8EF" w14:textId="52DF1B56" w:rsidR="00387AA8" w:rsidRDefault="000E0DE0" w:rsidP="00512C03">
            <w:pPr>
              <w:pStyle w:val="List"/>
              <w:tabs>
                <w:tab w:val="left" w:pos="360"/>
              </w:tabs>
              <w:spacing w:before="0" w:line="280" w:lineRule="exact"/>
              <w:ind w:left="0" w:firstLine="0"/>
              <w:rPr>
                <w:rFonts w:ascii="Arial" w:hAnsi="Arial"/>
              </w:rPr>
            </w:pPr>
            <w:r>
              <w:rPr>
                <w:rFonts w:ascii="Arial" w:hAnsi="Arial"/>
              </w:rPr>
              <w:t xml:space="preserve">In connection with the private placement on December 22, 2020, the Company has issued 522,725 </w:t>
            </w:r>
            <w:r w:rsidRPr="000E0DE0">
              <w:rPr>
                <w:rFonts w:ascii="Arial" w:hAnsi="Arial"/>
              </w:rPr>
              <w:t>non-transferrable warrants to the finders of the private placement. Each Finder’s Warrant has the same terms as the Warrants under the private placement.</w:t>
            </w:r>
          </w:p>
        </w:tc>
        <w:tc>
          <w:tcPr>
            <w:tcW w:w="2097" w:type="dxa"/>
          </w:tcPr>
          <w:p w14:paraId="0CF7FD0D" w14:textId="261DEBEF" w:rsidR="00387AA8" w:rsidRDefault="000E0DE0" w:rsidP="00512C03">
            <w:pPr>
              <w:pStyle w:val="List"/>
              <w:tabs>
                <w:tab w:val="left" w:pos="360"/>
              </w:tabs>
              <w:spacing w:before="0" w:line="280" w:lineRule="exact"/>
              <w:ind w:left="0" w:firstLine="0"/>
              <w:rPr>
                <w:rFonts w:ascii="Arial" w:hAnsi="Arial"/>
              </w:rPr>
            </w:pPr>
            <w:r>
              <w:rPr>
                <w:rFonts w:ascii="Arial" w:hAnsi="Arial"/>
              </w:rPr>
              <w:t>N/A</w:t>
            </w:r>
          </w:p>
        </w:tc>
      </w:tr>
    </w:tbl>
    <w:p w14:paraId="38050FF7" w14:textId="3F418F78" w:rsidR="00640E94" w:rsidRDefault="00640E94" w:rsidP="00DC4503">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0937DDB8" w14:textId="77777777" w:rsidR="00DC4503" w:rsidRDefault="00DC4503" w:rsidP="00DC4503">
      <w:pPr>
        <w:pStyle w:val="List"/>
        <w:tabs>
          <w:tab w:val="left" w:pos="360"/>
        </w:tabs>
        <w:spacing w:before="120"/>
        <w:ind w:left="720" w:firstLine="0"/>
        <w:jc w:val="both"/>
        <w:rPr>
          <w:rFonts w:ascii="Arial" w:hAnsi="Arial"/>
          <w:i/>
        </w:rPr>
      </w:pPr>
    </w:p>
    <w:p w14:paraId="35425524"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CC91AD2" w14:textId="77777777" w:rsidR="00AB1550" w:rsidRPr="00AB1550" w:rsidRDefault="00AB1550" w:rsidP="00AB1550">
      <w:pPr>
        <w:pStyle w:val="List"/>
        <w:keepNext/>
        <w:keepLines/>
        <w:spacing w:before="120"/>
        <w:ind w:left="720" w:firstLine="0"/>
        <w:jc w:val="both"/>
        <w:rPr>
          <w:rFonts w:ascii="Arial" w:hAnsi="Arial"/>
          <w:color w:val="1F497D" w:themeColor="text2"/>
        </w:rPr>
      </w:pPr>
      <w:r>
        <w:rPr>
          <w:rFonts w:ascii="Arial" w:hAnsi="Arial"/>
          <w:color w:val="1F497D" w:themeColor="text2"/>
        </w:rPr>
        <w:t>Not applicable</w:t>
      </w:r>
    </w:p>
    <w:p w14:paraId="5A16D4D6" w14:textId="77777777" w:rsidR="00AB1550" w:rsidRDefault="00AB1550" w:rsidP="00AB1550">
      <w:pPr>
        <w:pStyle w:val="List"/>
        <w:keepNext/>
        <w:keepLines/>
        <w:spacing w:before="120"/>
        <w:ind w:left="720" w:firstLine="0"/>
        <w:jc w:val="both"/>
        <w:rPr>
          <w:rFonts w:ascii="Arial" w:hAnsi="Arial"/>
        </w:rPr>
      </w:pPr>
    </w:p>
    <w:p w14:paraId="38EFFAD2"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9762566" w14:textId="77777777" w:rsidR="00AB1550" w:rsidRPr="00AB1550" w:rsidRDefault="00AB1550" w:rsidP="00AB1550">
      <w:pPr>
        <w:pStyle w:val="List"/>
        <w:keepNext/>
        <w:keepLines/>
        <w:spacing w:before="120"/>
        <w:ind w:left="720" w:firstLine="0"/>
        <w:jc w:val="both"/>
        <w:rPr>
          <w:rFonts w:ascii="Arial" w:hAnsi="Arial"/>
          <w:color w:val="1F497D" w:themeColor="text2"/>
        </w:rPr>
      </w:pPr>
      <w:r w:rsidRPr="00AB1550">
        <w:rPr>
          <w:rFonts w:ascii="Arial" w:hAnsi="Arial"/>
          <w:color w:val="1F497D" w:themeColor="text2"/>
        </w:rPr>
        <w:t>Not applicable</w:t>
      </w:r>
    </w:p>
    <w:p w14:paraId="7485B575" w14:textId="77777777" w:rsidR="00AB1550" w:rsidRDefault="00AB1550" w:rsidP="00AB1550">
      <w:pPr>
        <w:pStyle w:val="List"/>
        <w:keepNext/>
        <w:keepLines/>
        <w:spacing w:before="120"/>
        <w:ind w:left="720" w:firstLine="0"/>
        <w:jc w:val="both"/>
        <w:rPr>
          <w:rFonts w:ascii="Arial" w:hAnsi="Arial"/>
        </w:rPr>
      </w:pPr>
    </w:p>
    <w:p w14:paraId="488F4FED" w14:textId="77777777" w:rsidR="00640E94" w:rsidRPr="00956C5A" w:rsidRDefault="00640E94">
      <w:pPr>
        <w:pStyle w:val="List"/>
        <w:numPr>
          <w:ilvl w:val="0"/>
          <w:numId w:val="28"/>
        </w:numPr>
        <w:spacing w:before="120"/>
        <w:jc w:val="both"/>
        <w:rPr>
          <w:rFonts w:ascii="Arial" w:hAnsi="Arial"/>
        </w:rPr>
      </w:pPr>
      <w:r w:rsidRPr="00956C5A">
        <w:rPr>
          <w:rFonts w:ascii="Arial" w:hAnsi="Arial"/>
        </w:rPr>
        <w:t>Discuss any trends which are likely to impact the Issuer including trends in the Issuer’s market(s) or political/regulatory trends.</w:t>
      </w:r>
    </w:p>
    <w:p w14:paraId="1CC1706F" w14:textId="4BF02625" w:rsidR="007804AE" w:rsidRDefault="007804AE" w:rsidP="007804AE">
      <w:pPr>
        <w:pStyle w:val="List"/>
        <w:spacing w:before="120"/>
        <w:ind w:left="720" w:firstLine="0"/>
        <w:jc w:val="both"/>
        <w:rPr>
          <w:rFonts w:ascii="Arial" w:hAnsi="Arial"/>
          <w:color w:val="1F497D" w:themeColor="text2"/>
        </w:rPr>
      </w:pPr>
      <w:r w:rsidRPr="00956C5A">
        <w:rPr>
          <w:rFonts w:ascii="Arial" w:hAnsi="Arial"/>
          <w:color w:val="1F497D" w:themeColor="text2"/>
        </w:rPr>
        <w:lastRenderedPageBreak/>
        <w:t>There has been a noticeable increasing awareness of the importance of early diagnosis in dementia, one of the Company’s main target market, with the release of a major study highlighting the economic importance of this</w:t>
      </w:r>
      <w:r w:rsidR="00AD124B" w:rsidRPr="00956C5A">
        <w:rPr>
          <w:rFonts w:ascii="Arial" w:hAnsi="Arial"/>
          <w:color w:val="1F497D" w:themeColor="text2"/>
        </w:rPr>
        <w:t xml:space="preserve"> (by the Alzheimer’s Association)</w:t>
      </w:r>
      <w:r w:rsidRPr="00956C5A">
        <w:rPr>
          <w:rFonts w:ascii="Arial" w:hAnsi="Arial"/>
          <w:color w:val="1F497D" w:themeColor="text2"/>
        </w:rPr>
        <w:t xml:space="preserve"> and an ongoing demonstrated need in healthcare systems (for example the UK’s NHS)</w:t>
      </w:r>
      <w:r w:rsidR="00AD124B" w:rsidRPr="00956C5A">
        <w:rPr>
          <w:rFonts w:ascii="Arial" w:hAnsi="Arial"/>
          <w:color w:val="1F497D" w:themeColor="text2"/>
        </w:rPr>
        <w:t xml:space="preserve"> leading to increasing calls for a technology solution that solves this issue</w:t>
      </w:r>
      <w:r w:rsidRPr="00956C5A">
        <w:rPr>
          <w:rFonts w:ascii="Arial" w:hAnsi="Arial"/>
          <w:color w:val="1F497D" w:themeColor="text2"/>
        </w:rPr>
        <w:t xml:space="preserve">. The Company’s management believes that the </w:t>
      </w:r>
      <w:r w:rsidR="00AD124B" w:rsidRPr="00956C5A">
        <w:rPr>
          <w:rFonts w:ascii="Arial" w:hAnsi="Arial"/>
          <w:color w:val="1F497D" w:themeColor="text2"/>
        </w:rPr>
        <w:t>environment for the Company’s platform continues to be favourable for wide adoption of its services.</w:t>
      </w:r>
    </w:p>
    <w:p w14:paraId="000710FA" w14:textId="1DD06F92" w:rsidR="007C1A9B" w:rsidRPr="00956C5A" w:rsidRDefault="007C1A9B" w:rsidP="007804AE">
      <w:pPr>
        <w:pStyle w:val="List"/>
        <w:spacing w:before="120"/>
        <w:ind w:left="720" w:firstLine="0"/>
        <w:jc w:val="both"/>
        <w:rPr>
          <w:rFonts w:ascii="Arial" w:hAnsi="Arial"/>
          <w:color w:val="1F497D" w:themeColor="text2"/>
        </w:rPr>
      </w:pPr>
      <w:r>
        <w:rPr>
          <w:rFonts w:ascii="Arial" w:hAnsi="Arial"/>
          <w:color w:val="1F497D" w:themeColor="text2"/>
        </w:rPr>
        <w:t>T</w:t>
      </w:r>
      <w:r w:rsidRPr="007C1A9B">
        <w:rPr>
          <w:rFonts w:ascii="Arial" w:hAnsi="Arial"/>
          <w:color w:val="1F497D" w:themeColor="text2"/>
        </w:rPr>
        <w:t>here was a global outbreak of COVID-19 (coronavirus), which has had a significant impact on businesses through the restrictions put in place by the Canadian, provincial and municipal governments regarding travel, business operations and isolation/quarantine orders. At this time, it is unknown the extent of the impact the COVID-19 outbreak may have on the Company as this will depend on future developments that are highly uncertain and that cannot be predicted with confidence. These uncertainties arise from the inability to predict the ultimate geographic spread of the disease, and the duration of the outbreak, including the duration of travel restrictions, business closures or disruptions, and quarantine/isolation measures that are currently, or may be put, in place by Canada and other countries to fight the virus.</w:t>
      </w:r>
    </w:p>
    <w:p w14:paraId="3CFA0BD8"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FA521A7" w14:textId="77777777" w:rsidR="00640E94" w:rsidRDefault="00640E94">
      <w:pPr>
        <w:pStyle w:val="BodyText"/>
        <w:keepNext/>
        <w:rPr>
          <w:rFonts w:ascii="Arial" w:hAnsi="Arial"/>
        </w:rPr>
      </w:pPr>
      <w:r>
        <w:rPr>
          <w:rFonts w:ascii="Arial" w:hAnsi="Arial"/>
        </w:rPr>
        <w:t>The undersigned hereby certifies that:</w:t>
      </w:r>
    </w:p>
    <w:p w14:paraId="5D08E8BF"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9D5C280"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8937D8B"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441D8E"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92EA52F" w14:textId="76AE0CCA" w:rsidR="00640E94" w:rsidRDefault="00640E94">
      <w:pPr>
        <w:pStyle w:val="BodyText"/>
        <w:tabs>
          <w:tab w:val="left" w:pos="4680"/>
          <w:tab w:val="left" w:pos="7200"/>
        </w:tabs>
        <w:spacing w:before="480"/>
        <w:jc w:val="both"/>
        <w:rPr>
          <w:rFonts w:ascii="Arial" w:hAnsi="Arial"/>
        </w:rPr>
      </w:pPr>
      <w:r>
        <w:rPr>
          <w:rFonts w:ascii="Arial" w:hAnsi="Arial"/>
        </w:rPr>
        <w:t>Dated</w:t>
      </w:r>
      <w:r w:rsidR="00043422">
        <w:rPr>
          <w:rFonts w:ascii="Arial" w:hAnsi="Arial"/>
          <w:u w:val="single"/>
        </w:rPr>
        <w:t xml:space="preserve"> </w:t>
      </w:r>
      <w:r w:rsidR="000E0DE0">
        <w:rPr>
          <w:rFonts w:ascii="Arial" w:hAnsi="Arial"/>
          <w:u w:val="single"/>
        </w:rPr>
        <w:t>January 4</w:t>
      </w:r>
      <w:r w:rsidR="009349DB">
        <w:rPr>
          <w:rFonts w:ascii="Arial" w:hAnsi="Arial"/>
          <w:u w:val="single"/>
        </w:rPr>
        <w:t>, 202</w:t>
      </w:r>
      <w:r w:rsidR="000E0DE0">
        <w:rPr>
          <w:rFonts w:ascii="Arial" w:hAnsi="Arial"/>
          <w:u w:val="single"/>
        </w:rPr>
        <w:t>1</w:t>
      </w:r>
    </w:p>
    <w:p w14:paraId="6D6C96F8" w14:textId="571C785A" w:rsidR="00956C5A" w:rsidRDefault="00640E94" w:rsidP="008D72E7">
      <w:pPr>
        <w:pStyle w:val="List"/>
        <w:tabs>
          <w:tab w:val="left" w:pos="9180"/>
        </w:tabs>
        <w:ind w:left="5760" w:hanging="5760"/>
        <w:rPr>
          <w:rFonts w:ascii="Arial" w:hAnsi="Arial"/>
        </w:rPr>
      </w:pPr>
      <w:r>
        <w:rPr>
          <w:rFonts w:ascii="Arial" w:hAnsi="Arial"/>
        </w:rPr>
        <w:tab/>
      </w:r>
      <w:r w:rsidR="00DC50B5">
        <w:rPr>
          <w:rFonts w:ascii="Arial" w:hAnsi="Arial"/>
          <w:u w:val="single"/>
        </w:rPr>
        <w:t>Denise Lok</w:t>
      </w:r>
      <w:r w:rsidR="00DC50B5">
        <w:rPr>
          <w:rFonts w:ascii="Arial" w:hAnsi="Arial"/>
          <w:u w:val="single"/>
        </w:rPr>
        <w:tab/>
      </w:r>
      <w:r>
        <w:rPr>
          <w:rFonts w:ascii="Arial" w:hAnsi="Arial"/>
          <w:u w:val="single"/>
        </w:rPr>
        <w:br/>
      </w:r>
      <w:r>
        <w:rPr>
          <w:rFonts w:ascii="Arial" w:hAnsi="Arial"/>
        </w:rPr>
        <w:t>Name of Director or Senior Officer</w:t>
      </w:r>
    </w:p>
    <w:p w14:paraId="7A41F054" w14:textId="2109AB31" w:rsidR="008D72E7" w:rsidRPr="00E51729" w:rsidRDefault="008D72E7" w:rsidP="008D72E7">
      <w:pPr>
        <w:pStyle w:val="List"/>
        <w:tabs>
          <w:tab w:val="left" w:pos="9180"/>
        </w:tabs>
        <w:ind w:left="5760" w:hanging="5760"/>
        <w:rPr>
          <w:rFonts w:ascii="Arial" w:hAnsi="Arial" w:cs="Arial"/>
          <w:szCs w:val="24"/>
          <w:lang w:val="en-CA"/>
        </w:rPr>
      </w:pPr>
      <w:r w:rsidRPr="00222F4F">
        <w:rPr>
          <w:i/>
          <w:iCs/>
          <w:szCs w:val="24"/>
        </w:rPr>
        <w:t xml:space="preserve">                                                                                               </w:t>
      </w:r>
      <w:r w:rsidR="009D1CAF">
        <w:rPr>
          <w:i/>
          <w:iCs/>
          <w:szCs w:val="24"/>
        </w:rPr>
        <w:t>“Denise Lok”</w:t>
      </w:r>
    </w:p>
    <w:p w14:paraId="405CE11C" w14:textId="03838EA9" w:rsidR="00640E94" w:rsidRDefault="00640E94" w:rsidP="008D72E7">
      <w:pPr>
        <w:pStyle w:val="List"/>
        <w:tabs>
          <w:tab w:val="left" w:pos="9180"/>
          <w:tab w:val="left" w:pos="9360"/>
        </w:tabs>
        <w:spacing w:before="0"/>
        <w:ind w:left="5760" w:hanging="5760"/>
        <w:rPr>
          <w:rFonts w:ascii="Arial" w:hAnsi="Arial"/>
        </w:rPr>
      </w:pPr>
      <w:r w:rsidRPr="008D72E7">
        <w:rPr>
          <w:rFonts w:ascii="Arial" w:hAnsi="Arial"/>
          <w:i/>
        </w:rPr>
        <w:tab/>
      </w:r>
      <w:r w:rsidRPr="008D72E7">
        <w:rPr>
          <w:rFonts w:ascii="Arial" w:hAnsi="Arial"/>
          <w:i/>
          <w:u w:val="single"/>
        </w:rPr>
        <w:tab/>
      </w:r>
      <w:r w:rsidRPr="008D72E7">
        <w:rPr>
          <w:rFonts w:ascii="Arial" w:hAnsi="Arial"/>
          <w:i/>
        </w:rPr>
        <w:br/>
      </w:r>
      <w:r>
        <w:rPr>
          <w:rFonts w:ascii="Arial" w:hAnsi="Arial"/>
        </w:rPr>
        <w:t>Signature</w:t>
      </w:r>
    </w:p>
    <w:p w14:paraId="7DABC15E" w14:textId="77777777" w:rsidR="008D72E7" w:rsidRDefault="008D72E7" w:rsidP="008D72E7">
      <w:pPr>
        <w:pStyle w:val="List"/>
        <w:tabs>
          <w:tab w:val="left" w:pos="9180"/>
          <w:tab w:val="left" w:pos="9360"/>
        </w:tabs>
        <w:spacing w:before="0"/>
        <w:ind w:left="5760" w:hanging="5760"/>
        <w:rPr>
          <w:rFonts w:ascii="Arial" w:hAnsi="Arial"/>
        </w:rPr>
      </w:pPr>
    </w:p>
    <w:p w14:paraId="4634C99C" w14:textId="77777777" w:rsidR="00640E94" w:rsidRDefault="00DC50B5">
      <w:pPr>
        <w:pStyle w:val="BodyText"/>
        <w:tabs>
          <w:tab w:val="left" w:pos="9180"/>
        </w:tabs>
        <w:spacing w:before="0"/>
        <w:ind w:left="5760"/>
        <w:rPr>
          <w:rFonts w:ascii="Arial" w:hAnsi="Arial"/>
        </w:rPr>
      </w:pPr>
      <w:r>
        <w:rPr>
          <w:rFonts w:ascii="Arial" w:hAnsi="Arial"/>
          <w:u w:val="single"/>
        </w:rPr>
        <w:t>CFO and Corporate Secretary</w:t>
      </w:r>
      <w:r w:rsidR="00640E94">
        <w:rPr>
          <w:rFonts w:ascii="Arial" w:hAnsi="Arial"/>
          <w:u w:val="single"/>
        </w:rPr>
        <w:tab/>
      </w:r>
      <w:r w:rsidR="00640E94">
        <w:rPr>
          <w:rFonts w:ascii="Arial" w:hAnsi="Arial"/>
        </w:rPr>
        <w:br/>
        <w:t>Official Capacity</w:t>
      </w:r>
      <w:bookmarkEnd w:id="4"/>
    </w:p>
    <w:p w14:paraId="722748B9"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468A0B0A" w14:textId="77777777">
        <w:tc>
          <w:tcPr>
            <w:tcW w:w="4878" w:type="dxa"/>
            <w:tcBorders>
              <w:top w:val="single" w:sz="18" w:space="0" w:color="auto"/>
              <w:bottom w:val="nil"/>
              <w:right w:val="single" w:sz="18" w:space="0" w:color="auto"/>
            </w:tcBorders>
          </w:tcPr>
          <w:p w14:paraId="681DE65A" w14:textId="77777777" w:rsidR="00640E94" w:rsidRDefault="00640E94">
            <w:pPr>
              <w:pStyle w:val="BodyText"/>
              <w:spacing w:before="0"/>
              <w:rPr>
                <w:rFonts w:ascii="Arial" w:hAnsi="Arial"/>
                <w:b/>
                <w:i/>
              </w:rPr>
            </w:pPr>
            <w:r>
              <w:rPr>
                <w:rFonts w:ascii="Arial" w:hAnsi="Arial"/>
                <w:b/>
                <w:i/>
              </w:rPr>
              <w:t>Issuer Details</w:t>
            </w:r>
          </w:p>
          <w:p w14:paraId="5E1B025B" w14:textId="77777777" w:rsidR="00640E94" w:rsidRDefault="00640E94">
            <w:pPr>
              <w:pStyle w:val="BodyText"/>
              <w:spacing w:before="0"/>
              <w:rPr>
                <w:rFonts w:ascii="Arial" w:hAnsi="Arial"/>
              </w:rPr>
            </w:pPr>
            <w:r>
              <w:rPr>
                <w:rFonts w:ascii="Arial" w:hAnsi="Arial"/>
              </w:rPr>
              <w:t>Name of Issuer</w:t>
            </w:r>
          </w:p>
          <w:p w14:paraId="4D3639F8" w14:textId="77777777" w:rsidR="00640E94" w:rsidRDefault="00A124A7">
            <w:pPr>
              <w:pStyle w:val="BodyText"/>
              <w:rPr>
                <w:rFonts w:ascii="Arial" w:hAnsi="Arial"/>
              </w:rPr>
            </w:pPr>
            <w:proofErr w:type="spellStart"/>
            <w:r>
              <w:rPr>
                <w:rFonts w:ascii="Arial" w:hAnsi="Arial"/>
              </w:rPr>
              <w:t>Cognetivity</w:t>
            </w:r>
            <w:proofErr w:type="spellEnd"/>
            <w:r>
              <w:rPr>
                <w:rFonts w:ascii="Arial" w:hAnsi="Arial"/>
              </w:rPr>
              <w:t xml:space="preserve"> Neurosciences Ltd.</w:t>
            </w:r>
          </w:p>
        </w:tc>
        <w:tc>
          <w:tcPr>
            <w:tcW w:w="1800" w:type="dxa"/>
            <w:tcBorders>
              <w:top w:val="single" w:sz="18" w:space="0" w:color="auto"/>
              <w:left w:val="single" w:sz="18" w:space="0" w:color="auto"/>
              <w:bottom w:val="nil"/>
              <w:right w:val="single" w:sz="18" w:space="0" w:color="auto"/>
            </w:tcBorders>
          </w:tcPr>
          <w:p w14:paraId="765C7292" w14:textId="77777777" w:rsidR="00222F4F" w:rsidRDefault="00640E94">
            <w:pPr>
              <w:pStyle w:val="BodyText"/>
              <w:spacing w:before="0"/>
              <w:rPr>
                <w:rFonts w:ascii="Arial" w:hAnsi="Arial"/>
              </w:rPr>
            </w:pPr>
            <w:r>
              <w:rPr>
                <w:rFonts w:ascii="Arial" w:hAnsi="Arial"/>
              </w:rPr>
              <w:t>For  Month End</w:t>
            </w:r>
          </w:p>
          <w:p w14:paraId="18CE6AFB" w14:textId="59722FD0" w:rsidR="00A124A7" w:rsidRDefault="000E0DE0">
            <w:pPr>
              <w:pStyle w:val="BodyText"/>
              <w:spacing w:before="0"/>
              <w:rPr>
                <w:rFonts w:ascii="Arial" w:hAnsi="Arial"/>
              </w:rPr>
            </w:pPr>
            <w:r>
              <w:rPr>
                <w:rFonts w:ascii="Arial" w:hAnsi="Arial"/>
              </w:rPr>
              <w:t>December</w:t>
            </w:r>
            <w:r w:rsidR="009349DB">
              <w:rPr>
                <w:rFonts w:ascii="Arial" w:hAnsi="Arial"/>
              </w:rPr>
              <w:t xml:space="preserve"> 3</w:t>
            </w:r>
            <w:r>
              <w:rPr>
                <w:rFonts w:ascii="Arial" w:hAnsi="Arial"/>
              </w:rPr>
              <w:t>1</w:t>
            </w:r>
            <w:r w:rsidR="009349DB">
              <w:rPr>
                <w:rFonts w:ascii="Arial" w:hAnsi="Arial"/>
              </w:rPr>
              <w:t>, 2020</w:t>
            </w:r>
          </w:p>
        </w:tc>
        <w:tc>
          <w:tcPr>
            <w:tcW w:w="2898" w:type="dxa"/>
            <w:tcBorders>
              <w:top w:val="single" w:sz="18" w:space="0" w:color="auto"/>
              <w:left w:val="single" w:sz="18" w:space="0" w:color="auto"/>
              <w:bottom w:val="nil"/>
            </w:tcBorders>
          </w:tcPr>
          <w:p w14:paraId="41EAD668" w14:textId="77777777" w:rsidR="00640E94" w:rsidRDefault="00640E94">
            <w:pPr>
              <w:pStyle w:val="BodyText"/>
              <w:spacing w:before="0"/>
              <w:rPr>
                <w:rFonts w:ascii="Arial" w:hAnsi="Arial"/>
              </w:rPr>
            </w:pPr>
            <w:r>
              <w:rPr>
                <w:rFonts w:ascii="Arial" w:hAnsi="Arial"/>
              </w:rPr>
              <w:t>Date of Report</w:t>
            </w:r>
          </w:p>
          <w:p w14:paraId="69302899" w14:textId="7B7113F1" w:rsidR="00640E94" w:rsidRDefault="00640E94">
            <w:pPr>
              <w:pStyle w:val="BodyText"/>
              <w:spacing w:before="0"/>
              <w:rPr>
                <w:rFonts w:ascii="Arial" w:hAnsi="Arial"/>
              </w:rPr>
            </w:pPr>
            <w:r>
              <w:rPr>
                <w:rFonts w:ascii="Arial" w:hAnsi="Arial"/>
              </w:rPr>
              <w:t>YY/MM/D</w:t>
            </w:r>
            <w:r w:rsidR="00222F4F">
              <w:rPr>
                <w:rFonts w:ascii="Arial" w:hAnsi="Arial"/>
              </w:rPr>
              <w:t>D</w:t>
            </w:r>
          </w:p>
          <w:p w14:paraId="77926718" w14:textId="6972C28B" w:rsidR="00A124A7" w:rsidRDefault="009349DB">
            <w:pPr>
              <w:pStyle w:val="BodyText"/>
              <w:spacing w:before="0"/>
              <w:rPr>
                <w:rFonts w:ascii="Arial" w:hAnsi="Arial"/>
              </w:rPr>
            </w:pPr>
            <w:r>
              <w:rPr>
                <w:rFonts w:ascii="Arial" w:hAnsi="Arial"/>
              </w:rPr>
              <w:t>202</w:t>
            </w:r>
            <w:r w:rsidR="000E0DE0">
              <w:rPr>
                <w:rFonts w:ascii="Arial" w:hAnsi="Arial"/>
              </w:rPr>
              <w:t>1</w:t>
            </w:r>
            <w:r>
              <w:rPr>
                <w:rFonts w:ascii="Arial" w:hAnsi="Arial"/>
              </w:rPr>
              <w:t>/</w:t>
            </w:r>
            <w:r w:rsidR="000E0DE0">
              <w:rPr>
                <w:rFonts w:ascii="Arial" w:hAnsi="Arial"/>
              </w:rPr>
              <w:t>01</w:t>
            </w:r>
            <w:r w:rsidR="00A124A7">
              <w:rPr>
                <w:rFonts w:ascii="Arial" w:hAnsi="Arial"/>
              </w:rPr>
              <w:t>/</w:t>
            </w:r>
            <w:r w:rsidR="00142EEE">
              <w:rPr>
                <w:rFonts w:ascii="Arial" w:hAnsi="Arial"/>
              </w:rPr>
              <w:t>0</w:t>
            </w:r>
            <w:r w:rsidR="000E0DE0">
              <w:rPr>
                <w:rFonts w:ascii="Arial" w:hAnsi="Arial"/>
              </w:rPr>
              <w:t>4</w:t>
            </w:r>
          </w:p>
        </w:tc>
      </w:tr>
      <w:tr w:rsidR="00640E94" w14:paraId="4E5E02D4" w14:textId="77777777">
        <w:trPr>
          <w:cantSplit/>
        </w:trPr>
        <w:tc>
          <w:tcPr>
            <w:tcW w:w="9576" w:type="dxa"/>
            <w:gridSpan w:val="3"/>
            <w:tcBorders>
              <w:top w:val="single" w:sz="18" w:space="0" w:color="auto"/>
              <w:bottom w:val="single" w:sz="18" w:space="0" w:color="auto"/>
            </w:tcBorders>
          </w:tcPr>
          <w:p w14:paraId="38D65A45" w14:textId="77777777" w:rsidR="00640E94" w:rsidRDefault="00640E94">
            <w:pPr>
              <w:pStyle w:val="BodyText"/>
              <w:spacing w:before="0"/>
              <w:rPr>
                <w:rFonts w:ascii="Arial" w:hAnsi="Arial"/>
              </w:rPr>
            </w:pPr>
            <w:r>
              <w:rPr>
                <w:rFonts w:ascii="Arial" w:hAnsi="Arial"/>
              </w:rPr>
              <w:t>Issuer Address</w:t>
            </w:r>
          </w:p>
          <w:p w14:paraId="1251E887" w14:textId="3DF96D8C" w:rsidR="00640E94" w:rsidRDefault="00A124A7">
            <w:pPr>
              <w:pStyle w:val="BodyText"/>
              <w:spacing w:before="0"/>
              <w:rPr>
                <w:rFonts w:ascii="Arial" w:hAnsi="Arial"/>
              </w:rPr>
            </w:pPr>
            <w:r>
              <w:rPr>
                <w:rFonts w:ascii="Arial" w:hAnsi="Arial"/>
              </w:rPr>
              <w:t xml:space="preserve">Suite </w:t>
            </w:r>
            <w:r w:rsidR="001F0A1B">
              <w:rPr>
                <w:rFonts w:ascii="Arial" w:hAnsi="Arial"/>
              </w:rPr>
              <w:t>2250, 1055 W. Hastings</w:t>
            </w:r>
            <w:r>
              <w:rPr>
                <w:rFonts w:ascii="Arial" w:hAnsi="Arial"/>
              </w:rPr>
              <w:t xml:space="preserve"> Street</w:t>
            </w:r>
          </w:p>
          <w:p w14:paraId="6B524640" w14:textId="77777777" w:rsidR="00640E94" w:rsidRDefault="00640E94">
            <w:pPr>
              <w:pStyle w:val="BodyText"/>
              <w:spacing w:before="0"/>
              <w:rPr>
                <w:rFonts w:ascii="Arial" w:hAnsi="Arial"/>
              </w:rPr>
            </w:pPr>
          </w:p>
        </w:tc>
      </w:tr>
      <w:tr w:rsidR="00640E94" w14:paraId="2866A775" w14:textId="77777777">
        <w:tc>
          <w:tcPr>
            <w:tcW w:w="4878" w:type="dxa"/>
            <w:tcBorders>
              <w:top w:val="single" w:sz="18" w:space="0" w:color="auto"/>
              <w:bottom w:val="single" w:sz="18" w:space="0" w:color="auto"/>
              <w:right w:val="single" w:sz="18" w:space="0" w:color="auto"/>
            </w:tcBorders>
          </w:tcPr>
          <w:p w14:paraId="079F6958" w14:textId="77777777" w:rsidR="00640E94" w:rsidRDefault="00640E94">
            <w:pPr>
              <w:pStyle w:val="BodyText"/>
              <w:spacing w:before="0"/>
              <w:rPr>
                <w:rFonts w:ascii="Arial" w:hAnsi="Arial"/>
              </w:rPr>
            </w:pPr>
            <w:r>
              <w:rPr>
                <w:rFonts w:ascii="Arial" w:hAnsi="Arial"/>
              </w:rPr>
              <w:t>City/Province/Postal Code</w:t>
            </w:r>
          </w:p>
          <w:p w14:paraId="0998FEC8" w14:textId="77777777" w:rsidR="00640E94" w:rsidRDefault="00640E94">
            <w:pPr>
              <w:pStyle w:val="BodyText"/>
              <w:spacing w:before="0"/>
              <w:rPr>
                <w:rFonts w:ascii="Arial" w:hAnsi="Arial"/>
              </w:rPr>
            </w:pPr>
          </w:p>
          <w:p w14:paraId="4D72FFC5" w14:textId="17EB6972" w:rsidR="00640E94" w:rsidRDefault="00A124A7">
            <w:pPr>
              <w:pStyle w:val="BodyText"/>
              <w:spacing w:before="0"/>
              <w:rPr>
                <w:rFonts w:ascii="Arial" w:hAnsi="Arial"/>
              </w:rPr>
            </w:pPr>
            <w:r>
              <w:rPr>
                <w:rFonts w:ascii="Arial" w:hAnsi="Arial"/>
              </w:rPr>
              <w:t xml:space="preserve">Vancouver/BC/V6E </w:t>
            </w:r>
            <w:r w:rsidR="001F0A1B">
              <w:rPr>
                <w:rFonts w:ascii="Arial" w:hAnsi="Arial"/>
              </w:rPr>
              <w:t>2E9</w:t>
            </w:r>
          </w:p>
        </w:tc>
        <w:tc>
          <w:tcPr>
            <w:tcW w:w="1800" w:type="dxa"/>
            <w:tcBorders>
              <w:top w:val="single" w:sz="18" w:space="0" w:color="auto"/>
              <w:left w:val="single" w:sz="18" w:space="0" w:color="auto"/>
              <w:bottom w:val="single" w:sz="18" w:space="0" w:color="auto"/>
              <w:right w:val="single" w:sz="18" w:space="0" w:color="auto"/>
            </w:tcBorders>
          </w:tcPr>
          <w:p w14:paraId="4FCAFC7C" w14:textId="77777777" w:rsidR="00640E94" w:rsidRDefault="00640E94">
            <w:pPr>
              <w:pStyle w:val="BodyText"/>
              <w:spacing w:before="0"/>
              <w:rPr>
                <w:rFonts w:ascii="Arial" w:hAnsi="Arial"/>
              </w:rPr>
            </w:pPr>
            <w:r>
              <w:rPr>
                <w:rFonts w:ascii="Arial" w:hAnsi="Arial"/>
              </w:rPr>
              <w:t>Issuer Fax No.</w:t>
            </w:r>
          </w:p>
          <w:p w14:paraId="39450BAC" w14:textId="77777777" w:rsidR="00640E94" w:rsidRDefault="00A124A7">
            <w:pPr>
              <w:pStyle w:val="BodyText"/>
              <w:spacing w:before="0"/>
              <w:rPr>
                <w:rFonts w:ascii="Arial" w:hAnsi="Arial"/>
              </w:rPr>
            </w:pPr>
            <w:r>
              <w:rPr>
                <w:rFonts w:ascii="Arial" w:hAnsi="Arial"/>
              </w:rPr>
              <w:t>(778</w:t>
            </w:r>
            <w:r w:rsidR="00640E94">
              <w:rPr>
                <w:rFonts w:ascii="Arial" w:hAnsi="Arial"/>
              </w:rPr>
              <w:t>)</w:t>
            </w:r>
            <w:r>
              <w:rPr>
                <w:rFonts w:ascii="Arial" w:hAnsi="Arial"/>
              </w:rPr>
              <w:t>329-9361</w:t>
            </w:r>
          </w:p>
        </w:tc>
        <w:tc>
          <w:tcPr>
            <w:tcW w:w="2898" w:type="dxa"/>
            <w:tcBorders>
              <w:top w:val="single" w:sz="18" w:space="0" w:color="auto"/>
              <w:left w:val="single" w:sz="18" w:space="0" w:color="auto"/>
              <w:bottom w:val="single" w:sz="18" w:space="0" w:color="auto"/>
            </w:tcBorders>
          </w:tcPr>
          <w:p w14:paraId="28DD8B2B" w14:textId="77777777" w:rsidR="00640E94" w:rsidRDefault="00640E94">
            <w:pPr>
              <w:pStyle w:val="BodyText"/>
              <w:spacing w:before="0"/>
              <w:rPr>
                <w:rFonts w:ascii="Arial" w:hAnsi="Arial"/>
              </w:rPr>
            </w:pPr>
            <w:r>
              <w:rPr>
                <w:rFonts w:ascii="Arial" w:hAnsi="Arial"/>
              </w:rPr>
              <w:t>Issuer Telephone No.</w:t>
            </w:r>
          </w:p>
          <w:p w14:paraId="5630C79D" w14:textId="77777777" w:rsidR="00640E94" w:rsidRDefault="00640E94">
            <w:pPr>
              <w:pStyle w:val="BodyText"/>
              <w:spacing w:before="0"/>
              <w:rPr>
                <w:rFonts w:ascii="Arial" w:hAnsi="Arial"/>
              </w:rPr>
            </w:pPr>
            <w:r>
              <w:rPr>
                <w:rFonts w:ascii="Arial" w:hAnsi="Arial"/>
              </w:rPr>
              <w:t>(</w:t>
            </w:r>
            <w:r w:rsidR="00A124A7">
              <w:rPr>
                <w:rFonts w:ascii="Arial" w:hAnsi="Arial"/>
              </w:rPr>
              <w:t>604</w:t>
            </w:r>
            <w:r>
              <w:rPr>
                <w:rFonts w:ascii="Arial" w:hAnsi="Arial"/>
              </w:rPr>
              <w:t>)</w:t>
            </w:r>
            <w:r w:rsidR="00A124A7">
              <w:rPr>
                <w:rFonts w:ascii="Arial" w:hAnsi="Arial"/>
              </w:rPr>
              <w:t>688-9588</w:t>
            </w:r>
          </w:p>
        </w:tc>
      </w:tr>
      <w:tr w:rsidR="00640E94" w14:paraId="3B18E64E" w14:textId="77777777">
        <w:tc>
          <w:tcPr>
            <w:tcW w:w="4878" w:type="dxa"/>
            <w:tcBorders>
              <w:top w:val="single" w:sz="18" w:space="0" w:color="auto"/>
              <w:bottom w:val="single" w:sz="18" w:space="0" w:color="auto"/>
              <w:right w:val="single" w:sz="18" w:space="0" w:color="auto"/>
            </w:tcBorders>
          </w:tcPr>
          <w:p w14:paraId="0532E9AE" w14:textId="77777777" w:rsidR="00640E94" w:rsidRDefault="00640E94">
            <w:pPr>
              <w:pStyle w:val="BodyText"/>
              <w:spacing w:before="0"/>
              <w:rPr>
                <w:rFonts w:ascii="Arial" w:hAnsi="Arial"/>
              </w:rPr>
            </w:pPr>
            <w:r>
              <w:rPr>
                <w:rFonts w:ascii="Arial" w:hAnsi="Arial"/>
              </w:rPr>
              <w:t>Contact Name</w:t>
            </w:r>
          </w:p>
          <w:p w14:paraId="0D3B7834" w14:textId="77777777" w:rsidR="00640E94" w:rsidRDefault="00A124A7">
            <w:pPr>
              <w:pStyle w:val="BodyText"/>
              <w:spacing w:before="0"/>
              <w:rPr>
                <w:rFonts w:ascii="Arial" w:hAnsi="Arial"/>
              </w:rPr>
            </w:pPr>
            <w:r>
              <w:rPr>
                <w:rFonts w:ascii="Arial" w:hAnsi="Arial"/>
              </w:rPr>
              <w:t>Denise Lok</w:t>
            </w:r>
          </w:p>
          <w:p w14:paraId="3D7F1B0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503C1DCD" w14:textId="77777777" w:rsidR="00640E94" w:rsidRDefault="00640E94">
            <w:pPr>
              <w:pStyle w:val="BodyText"/>
              <w:spacing w:before="0"/>
              <w:rPr>
                <w:rFonts w:ascii="Arial" w:hAnsi="Arial"/>
              </w:rPr>
            </w:pPr>
            <w:r>
              <w:rPr>
                <w:rFonts w:ascii="Arial" w:hAnsi="Arial"/>
              </w:rPr>
              <w:t>Contact Position</w:t>
            </w:r>
            <w:r w:rsidR="00A124A7">
              <w:rPr>
                <w:rFonts w:ascii="Arial" w:hAnsi="Arial"/>
              </w:rPr>
              <w:t>:</w:t>
            </w:r>
          </w:p>
          <w:p w14:paraId="2D5027E7" w14:textId="77777777" w:rsidR="00A124A7" w:rsidRPr="00A124A7" w:rsidRDefault="00A124A7">
            <w:pPr>
              <w:pStyle w:val="BodyText"/>
              <w:spacing w:before="0"/>
              <w:rPr>
                <w:rFonts w:ascii="Arial" w:hAnsi="Arial"/>
              </w:rPr>
            </w:pPr>
            <w:r w:rsidRPr="00A124A7">
              <w:rPr>
                <w:rFonts w:ascii="Arial" w:hAnsi="Arial"/>
              </w:rPr>
              <w:t>CFO and Corporate Secretary</w:t>
            </w:r>
          </w:p>
        </w:tc>
        <w:tc>
          <w:tcPr>
            <w:tcW w:w="2898" w:type="dxa"/>
            <w:tcBorders>
              <w:top w:val="single" w:sz="18" w:space="0" w:color="auto"/>
              <w:left w:val="single" w:sz="18" w:space="0" w:color="auto"/>
              <w:bottom w:val="single" w:sz="18" w:space="0" w:color="auto"/>
            </w:tcBorders>
          </w:tcPr>
          <w:p w14:paraId="77178801" w14:textId="77777777" w:rsidR="00640E94" w:rsidRDefault="00640E94">
            <w:pPr>
              <w:pStyle w:val="BodyText"/>
              <w:spacing w:before="0"/>
              <w:rPr>
                <w:rFonts w:ascii="Arial" w:hAnsi="Arial"/>
              </w:rPr>
            </w:pPr>
            <w:r>
              <w:rPr>
                <w:rFonts w:ascii="Arial" w:hAnsi="Arial"/>
              </w:rPr>
              <w:t>Contact Telephone No.</w:t>
            </w:r>
          </w:p>
          <w:p w14:paraId="5CC98C51" w14:textId="033C2F3B" w:rsidR="008129B1" w:rsidRDefault="00956C5A">
            <w:pPr>
              <w:pStyle w:val="BodyText"/>
              <w:spacing w:before="0"/>
              <w:rPr>
                <w:rFonts w:ascii="Arial" w:hAnsi="Arial"/>
              </w:rPr>
            </w:pPr>
            <w:r>
              <w:rPr>
                <w:rFonts w:ascii="Arial" w:hAnsi="Arial"/>
              </w:rPr>
              <w:t>(604)688-9588</w:t>
            </w:r>
          </w:p>
        </w:tc>
      </w:tr>
      <w:tr w:rsidR="00640E94" w14:paraId="78AA426B" w14:textId="77777777">
        <w:trPr>
          <w:cantSplit/>
        </w:trPr>
        <w:tc>
          <w:tcPr>
            <w:tcW w:w="4878" w:type="dxa"/>
            <w:tcBorders>
              <w:top w:val="single" w:sz="18" w:space="0" w:color="auto"/>
              <w:bottom w:val="single" w:sz="18" w:space="0" w:color="auto"/>
              <w:right w:val="single" w:sz="18" w:space="0" w:color="auto"/>
            </w:tcBorders>
          </w:tcPr>
          <w:p w14:paraId="454800DF" w14:textId="77777777" w:rsidR="00640E94" w:rsidRDefault="00640E94">
            <w:pPr>
              <w:pStyle w:val="BodyText"/>
              <w:spacing w:before="0"/>
              <w:rPr>
                <w:rFonts w:ascii="Arial" w:hAnsi="Arial"/>
              </w:rPr>
            </w:pPr>
            <w:r>
              <w:rPr>
                <w:rFonts w:ascii="Arial" w:hAnsi="Arial"/>
              </w:rPr>
              <w:lastRenderedPageBreak/>
              <w:t>Contact Email Address</w:t>
            </w:r>
          </w:p>
          <w:p w14:paraId="7656503D" w14:textId="77777777" w:rsidR="00640E94" w:rsidRDefault="008129B1">
            <w:pPr>
              <w:pStyle w:val="BodyText"/>
              <w:spacing w:before="0"/>
              <w:rPr>
                <w:rFonts w:ascii="Arial" w:hAnsi="Arial"/>
              </w:rPr>
            </w:pPr>
            <w:r w:rsidRPr="008129B1">
              <w:rPr>
                <w:rFonts w:ascii="Arial" w:hAnsi="Arial"/>
              </w:rPr>
              <w:t>denise.lok@barongroupintl.com</w:t>
            </w:r>
          </w:p>
        </w:tc>
        <w:tc>
          <w:tcPr>
            <w:tcW w:w="4698" w:type="dxa"/>
            <w:gridSpan w:val="2"/>
            <w:tcBorders>
              <w:top w:val="single" w:sz="18" w:space="0" w:color="auto"/>
              <w:left w:val="single" w:sz="18" w:space="0" w:color="auto"/>
              <w:bottom w:val="single" w:sz="18" w:space="0" w:color="auto"/>
            </w:tcBorders>
          </w:tcPr>
          <w:p w14:paraId="68511D35" w14:textId="77777777" w:rsidR="00640E94" w:rsidRDefault="00640E94">
            <w:pPr>
              <w:pStyle w:val="BodyText"/>
              <w:spacing w:before="0"/>
              <w:rPr>
                <w:rFonts w:ascii="Arial" w:hAnsi="Arial"/>
              </w:rPr>
            </w:pPr>
            <w:r>
              <w:rPr>
                <w:rFonts w:ascii="Arial" w:hAnsi="Arial"/>
              </w:rPr>
              <w:t>Web Site Address</w:t>
            </w:r>
          </w:p>
          <w:p w14:paraId="0ADA6D92" w14:textId="77777777" w:rsidR="00640E94" w:rsidRDefault="00640E94">
            <w:pPr>
              <w:pStyle w:val="BodyText"/>
              <w:spacing w:before="0"/>
              <w:rPr>
                <w:rFonts w:ascii="Arial" w:hAnsi="Arial"/>
              </w:rPr>
            </w:pPr>
          </w:p>
        </w:tc>
      </w:tr>
    </w:tbl>
    <w:p w14:paraId="36C2EE8B"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4EF89" w14:textId="77777777" w:rsidR="007A68B0" w:rsidRDefault="007A68B0">
      <w:r>
        <w:separator/>
      </w:r>
    </w:p>
  </w:endnote>
  <w:endnote w:type="continuationSeparator" w:id="0">
    <w:p w14:paraId="63DA008F" w14:textId="77777777" w:rsidR="007A68B0" w:rsidRDefault="007A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7A41" w14:textId="77777777" w:rsidR="00640E94" w:rsidRDefault="00640E94">
    <w:pPr>
      <w:pStyle w:val="Footer"/>
      <w:tabs>
        <w:tab w:val="clear" w:pos="4320"/>
        <w:tab w:val="clear" w:pos="8640"/>
        <w:tab w:val="center" w:pos="4680"/>
        <w:tab w:val="right" w:pos="9360"/>
      </w:tabs>
      <w:rPr>
        <w:b/>
      </w:rPr>
    </w:pPr>
  </w:p>
  <w:p w14:paraId="14E1C7D0" w14:textId="77777777" w:rsidR="00640E94" w:rsidRDefault="005453C8" w:rsidP="006D1A06">
    <w:pPr>
      <w:tabs>
        <w:tab w:val="center" w:pos="4680"/>
        <w:tab w:val="left" w:pos="8280"/>
      </w:tabs>
      <w:jc w:val="center"/>
      <w:rPr>
        <w:rStyle w:val="PageNumber"/>
        <w:rFonts w:ascii="Arial" w:hAnsi="Arial" w:cs="Arial"/>
        <w:b/>
      </w:rPr>
    </w:pPr>
    <w:r>
      <w:rPr>
        <w:b/>
        <w:noProof/>
        <w:lang w:val="en-CA" w:eastAsia="zh-CN"/>
      </w:rPr>
      <mc:AlternateContent>
        <mc:Choice Requires="wps">
          <w:drawing>
            <wp:anchor distT="0" distB="0" distL="114300" distR="114300" simplePos="0" relativeHeight="251658240" behindDoc="0" locked="0" layoutInCell="1" allowOverlap="1" wp14:anchorId="25BBCB66" wp14:editId="3076E17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2CD0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34BB32E1" w14:textId="10B589EF" w:rsidR="00640E94" w:rsidRPr="006D1A06" w:rsidRDefault="00122199"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C9BC40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12C03">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D5B9" w14:textId="77777777" w:rsidR="00640E94" w:rsidRDefault="00640E94">
    <w:pPr>
      <w:pStyle w:val="Footer"/>
      <w:tabs>
        <w:tab w:val="clear" w:pos="4320"/>
        <w:tab w:val="clear" w:pos="8640"/>
        <w:tab w:val="center" w:pos="4680"/>
        <w:tab w:val="right" w:pos="9360"/>
      </w:tabs>
      <w:rPr>
        <w:b/>
      </w:rPr>
    </w:pPr>
  </w:p>
  <w:p w14:paraId="3F6EEC67" w14:textId="77777777" w:rsidR="00640E94" w:rsidRDefault="005453C8" w:rsidP="00635E9A">
    <w:pPr>
      <w:tabs>
        <w:tab w:val="center" w:pos="4674"/>
        <w:tab w:val="left" w:pos="8460"/>
      </w:tabs>
      <w:jc w:val="center"/>
      <w:rPr>
        <w:rStyle w:val="PageNumber"/>
        <w:rFonts w:ascii="Arial" w:hAnsi="Arial" w:cs="Arial"/>
        <w:b/>
      </w:rPr>
    </w:pPr>
    <w:r>
      <w:rPr>
        <w:b/>
        <w:noProof/>
        <w:lang w:val="en-CA" w:eastAsia="zh-CN"/>
      </w:rPr>
      <mc:AlternateContent>
        <mc:Choice Requires="wps">
          <w:drawing>
            <wp:anchor distT="0" distB="0" distL="114300" distR="114300" simplePos="0" relativeHeight="251657216" behindDoc="0" locked="0" layoutInCell="1" allowOverlap="1" wp14:anchorId="5BB3A0A3" wp14:editId="15267F5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51C3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1D700F3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F04D57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A2EC4" w14:textId="77777777" w:rsidR="007A68B0" w:rsidRDefault="007A68B0">
      <w:r>
        <w:separator/>
      </w:r>
    </w:p>
  </w:footnote>
  <w:footnote w:type="continuationSeparator" w:id="0">
    <w:p w14:paraId="124A6CFC" w14:textId="77777777" w:rsidR="007A68B0" w:rsidRDefault="007A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60BCC"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0F8E5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5291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1294BD7"/>
    <w:multiLevelType w:val="hybridMultilevel"/>
    <w:tmpl w:val="4D54F2DA"/>
    <w:lvl w:ilvl="0" w:tplc="BDAAC2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2751"/>
    <w:rsid w:val="00015F40"/>
    <w:rsid w:val="00034D4C"/>
    <w:rsid w:val="00043422"/>
    <w:rsid w:val="000605A9"/>
    <w:rsid w:val="00081423"/>
    <w:rsid w:val="000A1AB1"/>
    <w:rsid w:val="000A7F79"/>
    <w:rsid w:val="000E0DE0"/>
    <w:rsid w:val="000F0708"/>
    <w:rsid w:val="00113A5E"/>
    <w:rsid w:val="00120B98"/>
    <w:rsid w:val="00122199"/>
    <w:rsid w:val="00132E8B"/>
    <w:rsid w:val="00142EEE"/>
    <w:rsid w:val="001677A9"/>
    <w:rsid w:val="00185A56"/>
    <w:rsid w:val="00185C5C"/>
    <w:rsid w:val="00186C7F"/>
    <w:rsid w:val="00186C86"/>
    <w:rsid w:val="001A611A"/>
    <w:rsid w:val="001A72CA"/>
    <w:rsid w:val="001F0A1B"/>
    <w:rsid w:val="0020416D"/>
    <w:rsid w:val="002054F2"/>
    <w:rsid w:val="0020793A"/>
    <w:rsid w:val="00222F4F"/>
    <w:rsid w:val="0022436B"/>
    <w:rsid w:val="00235F79"/>
    <w:rsid w:val="00242CC0"/>
    <w:rsid w:val="00253281"/>
    <w:rsid w:val="00267C3E"/>
    <w:rsid w:val="00280E78"/>
    <w:rsid w:val="002B402A"/>
    <w:rsid w:val="002C281E"/>
    <w:rsid w:val="002D10DA"/>
    <w:rsid w:val="002F00EB"/>
    <w:rsid w:val="002F0DBA"/>
    <w:rsid w:val="003156EF"/>
    <w:rsid w:val="00331EF2"/>
    <w:rsid w:val="00341029"/>
    <w:rsid w:val="003669A9"/>
    <w:rsid w:val="00371A64"/>
    <w:rsid w:val="00383827"/>
    <w:rsid w:val="00387AA8"/>
    <w:rsid w:val="00387FA8"/>
    <w:rsid w:val="003A6D6C"/>
    <w:rsid w:val="003B0626"/>
    <w:rsid w:val="003C4498"/>
    <w:rsid w:val="003E00D6"/>
    <w:rsid w:val="004023C5"/>
    <w:rsid w:val="00457078"/>
    <w:rsid w:val="00483736"/>
    <w:rsid w:val="00483F7D"/>
    <w:rsid w:val="004964E7"/>
    <w:rsid w:val="004E6B91"/>
    <w:rsid w:val="00512C03"/>
    <w:rsid w:val="005453C8"/>
    <w:rsid w:val="00574B8C"/>
    <w:rsid w:val="005A4730"/>
    <w:rsid w:val="005B7918"/>
    <w:rsid w:val="005D1291"/>
    <w:rsid w:val="005D217F"/>
    <w:rsid w:val="005D473C"/>
    <w:rsid w:val="005F6D8F"/>
    <w:rsid w:val="00611D3B"/>
    <w:rsid w:val="00612DC7"/>
    <w:rsid w:val="00616EF8"/>
    <w:rsid w:val="00620E7F"/>
    <w:rsid w:val="00626514"/>
    <w:rsid w:val="00633ED3"/>
    <w:rsid w:val="00635E9A"/>
    <w:rsid w:val="00640E94"/>
    <w:rsid w:val="00647CAF"/>
    <w:rsid w:val="00674A32"/>
    <w:rsid w:val="006B2F11"/>
    <w:rsid w:val="006B60FB"/>
    <w:rsid w:val="006C6402"/>
    <w:rsid w:val="006D1A06"/>
    <w:rsid w:val="006D41A7"/>
    <w:rsid w:val="006F482B"/>
    <w:rsid w:val="00711C55"/>
    <w:rsid w:val="00750159"/>
    <w:rsid w:val="00755E24"/>
    <w:rsid w:val="007664FC"/>
    <w:rsid w:val="007804AE"/>
    <w:rsid w:val="007A3572"/>
    <w:rsid w:val="007A68B0"/>
    <w:rsid w:val="007B18F2"/>
    <w:rsid w:val="007C1A9B"/>
    <w:rsid w:val="007C6AA0"/>
    <w:rsid w:val="007D5B64"/>
    <w:rsid w:val="007D66AB"/>
    <w:rsid w:val="008129B1"/>
    <w:rsid w:val="00813D41"/>
    <w:rsid w:val="008266E2"/>
    <w:rsid w:val="00831D53"/>
    <w:rsid w:val="00864B7F"/>
    <w:rsid w:val="0088771A"/>
    <w:rsid w:val="008A0E73"/>
    <w:rsid w:val="008A7B2E"/>
    <w:rsid w:val="008B7E92"/>
    <w:rsid w:val="008C0A2B"/>
    <w:rsid w:val="008D4650"/>
    <w:rsid w:val="008D4987"/>
    <w:rsid w:val="008D72E7"/>
    <w:rsid w:val="008E1483"/>
    <w:rsid w:val="008E484D"/>
    <w:rsid w:val="00900902"/>
    <w:rsid w:val="00914399"/>
    <w:rsid w:val="00922A46"/>
    <w:rsid w:val="009349DB"/>
    <w:rsid w:val="00950DFE"/>
    <w:rsid w:val="009540BF"/>
    <w:rsid w:val="00956C5A"/>
    <w:rsid w:val="009D1CAF"/>
    <w:rsid w:val="009F56F4"/>
    <w:rsid w:val="00A0312B"/>
    <w:rsid w:val="00A124A7"/>
    <w:rsid w:val="00A12A3B"/>
    <w:rsid w:val="00A47914"/>
    <w:rsid w:val="00A75939"/>
    <w:rsid w:val="00A83C20"/>
    <w:rsid w:val="00A8466D"/>
    <w:rsid w:val="00AA21FE"/>
    <w:rsid w:val="00AB1550"/>
    <w:rsid w:val="00AD124B"/>
    <w:rsid w:val="00AD3789"/>
    <w:rsid w:val="00AD59F5"/>
    <w:rsid w:val="00AF3E02"/>
    <w:rsid w:val="00AF6FFD"/>
    <w:rsid w:val="00B17E4A"/>
    <w:rsid w:val="00B45054"/>
    <w:rsid w:val="00B66A2A"/>
    <w:rsid w:val="00B7107C"/>
    <w:rsid w:val="00B7486B"/>
    <w:rsid w:val="00B768C2"/>
    <w:rsid w:val="00B92613"/>
    <w:rsid w:val="00BA19AF"/>
    <w:rsid w:val="00BB12E0"/>
    <w:rsid w:val="00BD6714"/>
    <w:rsid w:val="00C27A18"/>
    <w:rsid w:val="00C6227E"/>
    <w:rsid w:val="00C6383E"/>
    <w:rsid w:val="00C72388"/>
    <w:rsid w:val="00CB196D"/>
    <w:rsid w:val="00CB69C7"/>
    <w:rsid w:val="00CD64BA"/>
    <w:rsid w:val="00D058C7"/>
    <w:rsid w:val="00D632EE"/>
    <w:rsid w:val="00D63308"/>
    <w:rsid w:val="00D70AD4"/>
    <w:rsid w:val="00D75739"/>
    <w:rsid w:val="00D7690E"/>
    <w:rsid w:val="00DA2A57"/>
    <w:rsid w:val="00DA3817"/>
    <w:rsid w:val="00DB16AC"/>
    <w:rsid w:val="00DC4503"/>
    <w:rsid w:val="00DC50B5"/>
    <w:rsid w:val="00DD52FF"/>
    <w:rsid w:val="00DE5EC1"/>
    <w:rsid w:val="00E36141"/>
    <w:rsid w:val="00E46C26"/>
    <w:rsid w:val="00E51729"/>
    <w:rsid w:val="00E66E46"/>
    <w:rsid w:val="00E70D6A"/>
    <w:rsid w:val="00E722F5"/>
    <w:rsid w:val="00E83E58"/>
    <w:rsid w:val="00E85177"/>
    <w:rsid w:val="00EB06AA"/>
    <w:rsid w:val="00EB35CD"/>
    <w:rsid w:val="00EE59D3"/>
    <w:rsid w:val="00F06AD6"/>
    <w:rsid w:val="00F32936"/>
    <w:rsid w:val="00F5505F"/>
    <w:rsid w:val="00F63A05"/>
    <w:rsid w:val="00F86221"/>
    <w:rsid w:val="00F95237"/>
    <w:rsid w:val="00FD4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5A0D172"/>
  <w15:docId w15:val="{BDF1BB80-B014-43DB-9359-8D17C3B8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13D41"/>
    <w:pPr>
      <w:ind w:left="720"/>
      <w:contextualSpacing/>
    </w:pPr>
  </w:style>
  <w:style w:type="paragraph" w:customStyle="1" w:styleId="Default">
    <w:name w:val="Default"/>
    <w:rsid w:val="008D4987"/>
    <w:pPr>
      <w:autoSpaceDE w:val="0"/>
      <w:autoSpaceDN w:val="0"/>
      <w:adjustRightInd w:val="0"/>
    </w:pPr>
    <w:rPr>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83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2ABB2-9C6C-4A6A-BBA8-C4964651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1588</Words>
  <Characters>8951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Nicole Marzban</cp:lastModifiedBy>
  <cp:revision>3</cp:revision>
  <cp:lastPrinted>2020-08-04T18:55:00Z</cp:lastPrinted>
  <dcterms:created xsi:type="dcterms:W3CDTF">2021-01-04T23:32:00Z</dcterms:created>
  <dcterms:modified xsi:type="dcterms:W3CDTF">2021-01-05T02:10:00Z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