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E8483"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4E8E5F52"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506DC5">
        <w:rPr>
          <w:rFonts w:ascii="Arial" w:hAnsi="Arial"/>
          <w:color w:val="000000"/>
          <w:u w:val="single"/>
        </w:rPr>
        <w:t xml:space="preserve">Beleave Inc. </w:t>
      </w:r>
      <w:r>
        <w:rPr>
          <w:rFonts w:ascii="Arial" w:hAnsi="Arial"/>
          <w:color w:val="000000"/>
        </w:rPr>
        <w:t>(the “Issuer”).</w:t>
      </w:r>
    </w:p>
    <w:p w14:paraId="46EB9C70" w14:textId="77777777" w:rsidR="00640E94" w:rsidRDefault="00640E94">
      <w:pPr>
        <w:pStyle w:val="BodyText"/>
        <w:tabs>
          <w:tab w:val="left" w:pos="7920"/>
          <w:tab w:val="left" w:pos="9180"/>
        </w:tabs>
        <w:rPr>
          <w:rFonts w:ascii="Arial" w:hAnsi="Arial"/>
          <w:color w:val="000000"/>
        </w:rPr>
      </w:pPr>
      <w:r>
        <w:rPr>
          <w:rFonts w:ascii="Arial" w:hAnsi="Arial"/>
          <w:color w:val="000000"/>
        </w:rPr>
        <w:t>Trading Symbol:</w:t>
      </w:r>
      <w:r w:rsidR="00506DC5">
        <w:rPr>
          <w:rFonts w:ascii="Arial" w:hAnsi="Arial"/>
          <w:color w:val="000000"/>
        </w:rPr>
        <w:t xml:space="preserve"> BE</w:t>
      </w:r>
    </w:p>
    <w:p w14:paraId="57DD51BF" w14:textId="77DA53B2"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C30528">
        <w:rPr>
          <w:rFonts w:ascii="Arial" w:hAnsi="Arial"/>
          <w:color w:val="000000"/>
          <w:u w:val="single"/>
        </w:rPr>
        <w:t>59,</w:t>
      </w:r>
      <w:r w:rsidR="00EF70A3">
        <w:rPr>
          <w:rFonts w:ascii="Arial" w:hAnsi="Arial"/>
          <w:color w:val="000000"/>
          <w:u w:val="single"/>
        </w:rPr>
        <w:t>887,913</w:t>
      </w:r>
    </w:p>
    <w:p w14:paraId="6095FD27" w14:textId="0D0BB2D4" w:rsidR="00640E94" w:rsidRDefault="00640E94">
      <w:pPr>
        <w:pStyle w:val="BodyText"/>
        <w:tabs>
          <w:tab w:val="left" w:pos="7920"/>
          <w:tab w:val="left" w:pos="9180"/>
        </w:tabs>
        <w:rPr>
          <w:rFonts w:ascii="Arial" w:hAnsi="Arial"/>
          <w:color w:val="000000"/>
        </w:rPr>
      </w:pPr>
      <w:r>
        <w:rPr>
          <w:rFonts w:ascii="Arial" w:hAnsi="Arial"/>
          <w:color w:val="000000"/>
        </w:rPr>
        <w:t>Date:</w:t>
      </w:r>
      <w:r w:rsidR="00566504">
        <w:rPr>
          <w:rFonts w:ascii="Arial" w:hAnsi="Arial"/>
          <w:color w:val="000000"/>
        </w:rPr>
        <w:t xml:space="preserve"> </w:t>
      </w:r>
      <w:r w:rsidR="00EF70A3">
        <w:rPr>
          <w:rFonts w:ascii="Arial" w:hAnsi="Arial"/>
          <w:color w:val="000000"/>
          <w:u w:val="single"/>
        </w:rPr>
        <w:t>November</w:t>
      </w:r>
      <w:r w:rsidR="00C30528">
        <w:rPr>
          <w:rFonts w:ascii="Arial" w:hAnsi="Arial"/>
          <w:color w:val="000000"/>
          <w:u w:val="single"/>
        </w:rPr>
        <w:t xml:space="preserve"> 4</w:t>
      </w:r>
      <w:r w:rsidR="00C30528" w:rsidRPr="00C30528">
        <w:rPr>
          <w:rFonts w:ascii="Arial" w:hAnsi="Arial"/>
          <w:color w:val="000000"/>
          <w:u w:val="single"/>
          <w:vertAlign w:val="superscript"/>
        </w:rPr>
        <w:t>th</w:t>
      </w:r>
      <w:r w:rsidR="003014E9" w:rsidRPr="004250B1">
        <w:rPr>
          <w:rFonts w:ascii="Arial" w:hAnsi="Arial"/>
          <w:color w:val="000000"/>
          <w:u w:val="single"/>
        </w:rPr>
        <w:t>, 2018</w:t>
      </w:r>
    </w:p>
    <w:p w14:paraId="751DA92A"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0DEFB4F6"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3FFDE8DB"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0ADAE8D6"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0B2313F7"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5BC1A360"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EA58001" w14:textId="77777777" w:rsidR="00640E94" w:rsidRDefault="00640E94">
      <w:pPr>
        <w:pStyle w:val="List"/>
        <w:keepLines/>
        <w:spacing w:before="120"/>
        <w:ind w:left="0" w:firstLine="0"/>
        <w:rPr>
          <w:rFonts w:ascii="Arial" w:hAnsi="Arial"/>
          <w:b/>
        </w:rPr>
      </w:pPr>
      <w:r>
        <w:rPr>
          <w:rFonts w:ascii="Arial" w:hAnsi="Arial"/>
          <w:b/>
        </w:rPr>
        <w:t>Report on Business</w:t>
      </w:r>
    </w:p>
    <w:p w14:paraId="1E2C6FF2"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5B5A8C85" w14:textId="77777777" w:rsidR="00EF70A3" w:rsidRDefault="00EF70A3" w:rsidP="00EF70A3">
      <w:pPr>
        <w:pStyle w:val="List"/>
        <w:spacing w:before="120"/>
        <w:ind w:left="2160" w:firstLine="0"/>
        <w:jc w:val="both"/>
        <w:rPr>
          <w:rFonts w:ascii="Arial" w:hAnsi="Arial"/>
          <w:lang w:val="en-US"/>
        </w:rPr>
      </w:pPr>
    </w:p>
    <w:p w14:paraId="5FE7ED1C" w14:textId="7B1B1615" w:rsidR="00EF70A3" w:rsidRDefault="003436F2" w:rsidP="00E14244">
      <w:pPr>
        <w:pStyle w:val="List"/>
        <w:numPr>
          <w:ilvl w:val="0"/>
          <w:numId w:val="29"/>
        </w:numPr>
        <w:spacing w:before="120"/>
        <w:jc w:val="both"/>
        <w:rPr>
          <w:rFonts w:ascii="Arial" w:hAnsi="Arial"/>
          <w:lang w:val="en-US"/>
        </w:rPr>
      </w:pPr>
      <w:r>
        <w:rPr>
          <w:rFonts w:ascii="Arial" w:hAnsi="Arial"/>
          <w:lang w:val="en-US"/>
        </w:rPr>
        <w:t>The company</w:t>
      </w:r>
      <w:r w:rsidR="00EF70A3" w:rsidRPr="003436F2">
        <w:rPr>
          <w:rFonts w:ascii="Arial" w:hAnsi="Arial"/>
          <w:lang w:val="en-US"/>
        </w:rPr>
        <w:t xml:space="preserve"> is pleased to announce that it has signed an agreement with Canymed GmbH ("Canymed") to supply the German market with medical cannabis. This move is the first of a series of </w:t>
      </w:r>
      <w:r w:rsidR="00EF70A3" w:rsidRPr="003436F2">
        <w:rPr>
          <w:rFonts w:ascii="Arial" w:hAnsi="Arial"/>
          <w:lang w:val="en-US"/>
        </w:rPr>
        <w:lastRenderedPageBreak/>
        <w:t>strategic initiatives to penetrate the robust European cannabis market and marks the Company's expansion into its third continent alongside both North and South America.</w:t>
      </w:r>
    </w:p>
    <w:p w14:paraId="536626C2" w14:textId="65620753" w:rsidR="00EF70A3" w:rsidRDefault="00EF70A3" w:rsidP="00E14244">
      <w:pPr>
        <w:pStyle w:val="List"/>
        <w:numPr>
          <w:ilvl w:val="0"/>
          <w:numId w:val="29"/>
        </w:numPr>
        <w:spacing w:before="120"/>
        <w:jc w:val="both"/>
        <w:rPr>
          <w:rFonts w:ascii="Arial" w:hAnsi="Arial"/>
          <w:lang w:val="en-US"/>
        </w:rPr>
      </w:pPr>
      <w:r w:rsidRPr="003436F2">
        <w:rPr>
          <w:rFonts w:ascii="Arial" w:hAnsi="Arial"/>
          <w:lang w:val="en-US"/>
        </w:rPr>
        <w:t>Beleave</w:t>
      </w:r>
      <w:r w:rsidR="003436F2">
        <w:rPr>
          <w:rFonts w:ascii="Arial" w:hAnsi="Arial"/>
          <w:lang w:val="en-US"/>
        </w:rPr>
        <w:t xml:space="preserve"> </w:t>
      </w:r>
      <w:r w:rsidRPr="003436F2">
        <w:rPr>
          <w:rFonts w:ascii="Arial" w:hAnsi="Arial"/>
          <w:lang w:val="en-US"/>
        </w:rPr>
        <w:t>is pleased to announce that Kevin Keagan has joined the Company as Chief Communications Officer, and a member of the Executive Team.</w:t>
      </w:r>
    </w:p>
    <w:p w14:paraId="74A5A42D" w14:textId="688B6CB9" w:rsidR="00EF70A3" w:rsidRDefault="00EF70A3" w:rsidP="00E14244">
      <w:pPr>
        <w:pStyle w:val="List"/>
        <w:numPr>
          <w:ilvl w:val="0"/>
          <w:numId w:val="29"/>
        </w:numPr>
        <w:spacing w:before="120"/>
        <w:jc w:val="both"/>
        <w:rPr>
          <w:rFonts w:ascii="Arial" w:hAnsi="Arial"/>
          <w:lang w:val="en-US"/>
        </w:rPr>
      </w:pPr>
      <w:r w:rsidRPr="003436F2">
        <w:rPr>
          <w:rFonts w:ascii="Arial" w:hAnsi="Arial"/>
          <w:lang w:val="en-US"/>
        </w:rPr>
        <w:t>Beleave</w:t>
      </w:r>
      <w:r w:rsidR="003436F2">
        <w:rPr>
          <w:rFonts w:ascii="Arial" w:hAnsi="Arial"/>
          <w:lang w:val="en-US"/>
        </w:rPr>
        <w:t xml:space="preserve"> </w:t>
      </w:r>
      <w:r w:rsidRPr="003436F2">
        <w:rPr>
          <w:rFonts w:ascii="Arial" w:hAnsi="Arial"/>
          <w:lang w:val="en-US"/>
        </w:rPr>
        <w:t>is pleased to announce that it is has filed an application with Health Canada and, once approved, is ready to proceed with phase one in Chilliwack of the its recently-announced indoor cultivation cannabis project in British Columbia. Less than two weeks ago, the Company announced the ambitious new project, jointly-designed by Beleave and Kannavis Biotech Corp., on a 50/50 operating expenditure and revenue partnership, that will encompass a total of ten indoor growing facilities approximately 87,000 square feet each. This project is fully capitalized and will carry newest products including strains of cannabis not yet offered in Canada, as well processing of newly acquired and developed products that will include edibles, drinks, and other non-combustible cannabis products that Beleave will be releasing to the general public in the near future.</w:t>
      </w:r>
    </w:p>
    <w:p w14:paraId="0D1B0BD0" w14:textId="10E9CE8D" w:rsidR="00FD3D39" w:rsidRPr="00FD3D39" w:rsidRDefault="00FD3D39" w:rsidP="00E14244">
      <w:pPr>
        <w:pStyle w:val="List"/>
        <w:numPr>
          <w:ilvl w:val="0"/>
          <w:numId w:val="29"/>
        </w:numPr>
        <w:spacing w:before="120"/>
        <w:jc w:val="both"/>
        <w:rPr>
          <w:rFonts w:ascii="Arial" w:hAnsi="Arial"/>
          <w:lang w:val="en-US"/>
        </w:rPr>
      </w:pPr>
      <w:r>
        <w:rPr>
          <w:rFonts w:ascii="Arial" w:hAnsi="Arial"/>
          <w:lang w:val="en-US"/>
        </w:rPr>
        <w:t xml:space="preserve">The company </w:t>
      </w:r>
      <w:r w:rsidRPr="00FD3D39">
        <w:rPr>
          <w:rFonts w:ascii="Arial" w:hAnsi="Arial"/>
          <w:lang w:val="en-US"/>
        </w:rPr>
        <w:t>announce</w:t>
      </w:r>
      <w:r>
        <w:rPr>
          <w:rFonts w:ascii="Arial" w:hAnsi="Arial"/>
          <w:lang w:val="en-US"/>
        </w:rPr>
        <w:t>d</w:t>
      </w:r>
      <w:r w:rsidRPr="00FD3D39">
        <w:rPr>
          <w:rFonts w:ascii="Arial" w:hAnsi="Arial"/>
          <w:lang w:val="en-US"/>
        </w:rPr>
        <w:t xml:space="preserve"> it has entered into a non-exclusive investment agreement with Alumina Partners, LLC, a New York-based private investment partnership, providing the availability of up to CAD $20 million over a 24-month period, to take advantage of new opportunities, increase operating flexibility, and strengthen the Company's balance sheet. The terms of the agreement will allow Beleave to draw down capital at will, on an as-needed basis, in a series of equity private placements of a minimum of CAD $2 million in accordance with exchange policies. The objective is to provide Beleave with more flexible access to capital at the Company's sole discretion.</w:t>
      </w:r>
    </w:p>
    <w:p w14:paraId="2FE0C0B7" w14:textId="5D7FDBAB" w:rsidR="00DA4B48" w:rsidRDefault="00FD3D39" w:rsidP="00E14244">
      <w:pPr>
        <w:pStyle w:val="List"/>
        <w:numPr>
          <w:ilvl w:val="0"/>
          <w:numId w:val="29"/>
        </w:numPr>
        <w:spacing w:before="120"/>
        <w:jc w:val="both"/>
        <w:rPr>
          <w:rFonts w:ascii="Arial" w:hAnsi="Arial"/>
          <w:lang w:val="en-US"/>
        </w:rPr>
      </w:pPr>
      <w:r w:rsidRPr="00EF51EA">
        <w:rPr>
          <w:rFonts w:ascii="Arial" w:hAnsi="Arial"/>
        </w:rPr>
        <w:t>Beleave has announced</w:t>
      </w:r>
      <w:r>
        <w:rPr>
          <w:rFonts w:ascii="Arial" w:hAnsi="Arial"/>
        </w:rPr>
        <w:t xml:space="preserve"> </w:t>
      </w:r>
      <w:r w:rsidRPr="00FD3D39">
        <w:rPr>
          <w:rFonts w:ascii="Arial" w:hAnsi="Arial"/>
        </w:rPr>
        <w:t>it has finalized plans to acquire 250,000 square feet of greenhouse space and 85 acres of land in London, Ontario to cultivate and harvest cannabis for distribution and sale in Canada.</w:t>
      </w:r>
    </w:p>
    <w:p w14:paraId="27A2E2C0" w14:textId="43A519EF" w:rsidR="00181481" w:rsidRPr="00EF51EA" w:rsidRDefault="00181481" w:rsidP="00E14244">
      <w:pPr>
        <w:pStyle w:val="List"/>
        <w:numPr>
          <w:ilvl w:val="0"/>
          <w:numId w:val="29"/>
        </w:numPr>
        <w:spacing w:before="120"/>
        <w:jc w:val="both"/>
        <w:rPr>
          <w:rFonts w:ascii="Arial" w:hAnsi="Arial"/>
          <w:lang w:val="en-US"/>
        </w:rPr>
      </w:pPr>
      <w:r w:rsidRPr="00EF51EA">
        <w:rPr>
          <w:rFonts w:ascii="Arial" w:hAnsi="Arial"/>
          <w:lang w:val="en-US"/>
        </w:rPr>
        <w:t>Beleave has secured a prime location for its first Saskatchewan retail store in the city of Lloydminster.</w:t>
      </w:r>
    </w:p>
    <w:p w14:paraId="578024C1" w14:textId="690E1D1D" w:rsidR="00181481" w:rsidRPr="00EF51EA" w:rsidRDefault="00181481" w:rsidP="00E14244">
      <w:pPr>
        <w:pStyle w:val="List"/>
        <w:numPr>
          <w:ilvl w:val="0"/>
          <w:numId w:val="29"/>
        </w:numPr>
        <w:spacing w:before="120"/>
        <w:jc w:val="both"/>
        <w:rPr>
          <w:rFonts w:ascii="Arial" w:hAnsi="Arial"/>
          <w:lang w:val="en-US"/>
        </w:rPr>
      </w:pPr>
      <w:r w:rsidRPr="00EF51EA">
        <w:rPr>
          <w:rFonts w:ascii="Arial" w:hAnsi="Arial"/>
          <w:lang w:val="en-US"/>
        </w:rPr>
        <w:t>The company has received its first purchase order from the BC Liquor Distribution Branch ("BCLDB"). The Company was selected by the BCLDB as an official supplier earlier last month following a comprehensive approval process</w:t>
      </w:r>
    </w:p>
    <w:p w14:paraId="6BF4EEB1" w14:textId="330345B1" w:rsidR="00181481" w:rsidRPr="00EF51EA" w:rsidRDefault="00181481" w:rsidP="00E14244">
      <w:pPr>
        <w:pStyle w:val="List"/>
        <w:numPr>
          <w:ilvl w:val="0"/>
          <w:numId w:val="29"/>
        </w:numPr>
        <w:spacing w:before="120"/>
        <w:jc w:val="both"/>
        <w:rPr>
          <w:rFonts w:ascii="Arial" w:hAnsi="Arial"/>
          <w:lang w:val="en-US"/>
        </w:rPr>
      </w:pPr>
      <w:r w:rsidRPr="00EF51EA">
        <w:rPr>
          <w:rFonts w:ascii="Arial" w:hAnsi="Arial"/>
          <w:lang w:val="en-US"/>
        </w:rPr>
        <w:t xml:space="preserve">Beleave has announced that it has received its first purchase order from the Ontario Cannabis Store ("OCS"). This makes it one of the </w:t>
      </w:r>
      <w:r w:rsidRPr="00EF51EA">
        <w:rPr>
          <w:rFonts w:ascii="Arial" w:hAnsi="Arial"/>
          <w:lang w:val="en-US"/>
        </w:rPr>
        <w:lastRenderedPageBreak/>
        <w:t>very first suppliers to support the sale of recreational cannabis in the province of Ontario.</w:t>
      </w:r>
    </w:p>
    <w:p w14:paraId="7CC2FA2E"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5F04B4AA"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1A3E9C">
        <w:rPr>
          <w:rFonts w:ascii="Arial" w:hAnsi="Arial"/>
        </w:rPr>
        <w:t xml:space="preserve"> N/A</w:t>
      </w:r>
    </w:p>
    <w:p w14:paraId="5293C4A2"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r w:rsidR="001A3E9C">
        <w:rPr>
          <w:rFonts w:ascii="Arial" w:hAnsi="Arial"/>
        </w:rPr>
        <w:t xml:space="preserve"> N/A</w:t>
      </w:r>
    </w:p>
    <w:p w14:paraId="09EB63C1"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1A3E9C">
        <w:rPr>
          <w:rFonts w:ascii="Arial" w:hAnsi="Arial"/>
        </w:rPr>
        <w:t xml:space="preserve"> N/A</w:t>
      </w:r>
    </w:p>
    <w:p w14:paraId="265EA1FB"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r w:rsidR="001A3E9C">
        <w:rPr>
          <w:rFonts w:ascii="Arial" w:hAnsi="Arial"/>
        </w:rPr>
        <w:t xml:space="preserve"> N/A</w:t>
      </w:r>
    </w:p>
    <w:p w14:paraId="1778DCDF"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1A3E9C">
        <w:rPr>
          <w:rFonts w:ascii="Arial" w:hAnsi="Arial"/>
        </w:rPr>
        <w:t xml:space="preserve">s of the relationship. </w:t>
      </w:r>
      <w:r w:rsidR="008A5A9F">
        <w:rPr>
          <w:rFonts w:ascii="Arial" w:hAnsi="Arial"/>
        </w:rPr>
        <w:t>N/A</w:t>
      </w:r>
    </w:p>
    <w:p w14:paraId="12BE23D1"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r w:rsidR="008A5A9F">
        <w:rPr>
          <w:rFonts w:ascii="Arial" w:hAnsi="Arial"/>
        </w:rPr>
        <w:t xml:space="preserve"> N/A</w:t>
      </w:r>
    </w:p>
    <w:p w14:paraId="2370C35F"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r w:rsidR="00A667D3">
        <w:rPr>
          <w:rFonts w:ascii="Arial" w:hAnsi="Arial"/>
        </w:rPr>
        <w:t xml:space="preserve"> </w:t>
      </w:r>
      <w:r w:rsidR="008A5A9F">
        <w:rPr>
          <w:rFonts w:ascii="Arial" w:hAnsi="Arial"/>
        </w:rPr>
        <w:t>N/A</w:t>
      </w:r>
    </w:p>
    <w:p w14:paraId="3803E110"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r w:rsidR="008A5A9F">
        <w:rPr>
          <w:rFonts w:ascii="Arial" w:hAnsi="Arial"/>
        </w:rPr>
        <w:t xml:space="preserve"> N/A</w:t>
      </w:r>
    </w:p>
    <w:p w14:paraId="07DDFC95"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r w:rsidR="008A5A9F">
        <w:rPr>
          <w:rFonts w:ascii="Arial" w:hAnsi="Arial"/>
        </w:rPr>
        <w:t xml:space="preserve"> N/A</w:t>
      </w:r>
    </w:p>
    <w:p w14:paraId="6A2F8478"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r w:rsidR="008A5A9F">
        <w:rPr>
          <w:rFonts w:ascii="Arial" w:hAnsi="Arial"/>
        </w:rPr>
        <w:t xml:space="preserve"> N/A</w:t>
      </w:r>
    </w:p>
    <w:p w14:paraId="3BF9CD1B"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r w:rsidR="008A5A9F">
        <w:rPr>
          <w:rFonts w:ascii="Arial" w:hAnsi="Arial"/>
        </w:rPr>
        <w:t xml:space="preserve"> </w:t>
      </w:r>
    </w:p>
    <w:p w14:paraId="793E52A8" w14:textId="77777777" w:rsidR="008A5A9F" w:rsidRDefault="008A5A9F" w:rsidP="008A5A9F">
      <w:pPr>
        <w:pStyle w:val="List"/>
        <w:numPr>
          <w:ilvl w:val="0"/>
          <w:numId w:val="30"/>
        </w:numPr>
        <w:spacing w:before="120"/>
        <w:jc w:val="both"/>
        <w:rPr>
          <w:rFonts w:ascii="Arial" w:hAnsi="Arial"/>
        </w:rPr>
      </w:pPr>
      <w:r>
        <w:rPr>
          <w:rFonts w:ascii="Arial" w:hAnsi="Arial"/>
        </w:rPr>
        <w:t xml:space="preserve">At the time of this report Beleave does not have any indebtedness </w:t>
      </w:r>
    </w:p>
    <w:p w14:paraId="66F5ECAB" w14:textId="4399404A" w:rsidR="00640E94" w:rsidRDefault="00640E94">
      <w:pPr>
        <w:pStyle w:val="List"/>
        <w:numPr>
          <w:ilvl w:val="0"/>
          <w:numId w:val="28"/>
        </w:numPr>
        <w:spacing w:before="120"/>
        <w:jc w:val="both"/>
        <w:rPr>
          <w:rFonts w:ascii="Arial" w:hAnsi="Arial"/>
        </w:rPr>
      </w:pPr>
      <w:r w:rsidRPr="00B71BE6">
        <w:rPr>
          <w:rFonts w:ascii="Arial" w:hAnsi="Arial"/>
        </w:rPr>
        <w:t>Provide details</w:t>
      </w:r>
      <w:r>
        <w:rPr>
          <w:rFonts w:ascii="Arial" w:hAnsi="Arial"/>
        </w:rPr>
        <w:t xml:space="preserve"> of any securities issued and options or warrants granted.</w:t>
      </w:r>
    </w:p>
    <w:p w14:paraId="694428B4" w14:textId="76DA68B7" w:rsidR="00FD3AAA" w:rsidRDefault="00FD3AAA" w:rsidP="00FD3AAA">
      <w:pPr>
        <w:pStyle w:val="List"/>
        <w:spacing w:before="120"/>
        <w:jc w:val="both"/>
        <w:rPr>
          <w:rFonts w:ascii="Arial" w:hAnsi="Arial"/>
        </w:rPr>
      </w:pPr>
    </w:p>
    <w:p w14:paraId="07063FFF" w14:textId="15D1C912" w:rsidR="00FD3AAA" w:rsidRDefault="00FD3AAA" w:rsidP="0041323C">
      <w:pPr>
        <w:pStyle w:val="List"/>
        <w:spacing w:before="120"/>
        <w:ind w:left="0" w:firstLine="0"/>
        <w:jc w:val="both"/>
        <w:rPr>
          <w:rFonts w:ascii="Arial" w:hAnsi="Arial"/>
        </w:rPr>
      </w:pPr>
    </w:p>
    <w:p w14:paraId="2C1B6A31" w14:textId="77777777" w:rsidR="00FD3AAA" w:rsidRDefault="00FD3AAA" w:rsidP="00FD3AAA">
      <w:pPr>
        <w:pStyle w:val="List"/>
        <w:spacing w:before="120"/>
        <w:jc w:val="both"/>
        <w:rPr>
          <w:rFonts w:ascii="Arial" w:hAnsi="Arial"/>
        </w:rPr>
      </w:pPr>
    </w:p>
    <w:p w14:paraId="03853CDC" w14:textId="77777777" w:rsidR="00640E94" w:rsidRDefault="00640E94">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559"/>
        <w:gridCol w:w="4111"/>
        <w:gridCol w:w="1501"/>
      </w:tblGrid>
      <w:tr w:rsidR="00640E94" w14:paraId="1B439D24" w14:textId="77777777" w:rsidTr="00B7787E">
        <w:tc>
          <w:tcPr>
            <w:tcW w:w="2405" w:type="dxa"/>
          </w:tcPr>
          <w:p w14:paraId="297C6425" w14:textId="77777777" w:rsidR="00640E94" w:rsidRPr="00453164" w:rsidRDefault="00640E94">
            <w:pPr>
              <w:pStyle w:val="List"/>
              <w:tabs>
                <w:tab w:val="left" w:pos="360"/>
              </w:tabs>
              <w:spacing w:before="0" w:line="280" w:lineRule="exact"/>
              <w:ind w:left="0" w:firstLine="0"/>
              <w:jc w:val="center"/>
              <w:rPr>
                <w:rFonts w:ascii="Arial" w:hAnsi="Arial"/>
                <w:b/>
              </w:rPr>
            </w:pPr>
            <w:r w:rsidRPr="00453164">
              <w:rPr>
                <w:rFonts w:ascii="Arial" w:hAnsi="Arial"/>
                <w:b/>
              </w:rPr>
              <w:t>Security</w:t>
            </w:r>
          </w:p>
        </w:tc>
        <w:tc>
          <w:tcPr>
            <w:tcW w:w="1559" w:type="dxa"/>
          </w:tcPr>
          <w:p w14:paraId="241A96F7"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4111" w:type="dxa"/>
          </w:tcPr>
          <w:p w14:paraId="2B1E4C10"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1501" w:type="dxa"/>
          </w:tcPr>
          <w:p w14:paraId="4458BC7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FD3AAA" w14:paraId="4B650F5D" w14:textId="77777777" w:rsidTr="00B7787E">
        <w:tc>
          <w:tcPr>
            <w:tcW w:w="2405" w:type="dxa"/>
          </w:tcPr>
          <w:p w14:paraId="66B16A5A" w14:textId="34D112F1" w:rsidR="00FD3AAA" w:rsidRPr="004250B1" w:rsidRDefault="00FD3AAA" w:rsidP="00817CCB">
            <w:pPr>
              <w:pStyle w:val="List"/>
              <w:tabs>
                <w:tab w:val="left" w:pos="360"/>
              </w:tabs>
              <w:spacing w:before="0" w:line="280" w:lineRule="exact"/>
              <w:ind w:left="0" w:firstLine="0"/>
              <w:rPr>
                <w:rFonts w:ascii="Arial" w:hAnsi="Arial"/>
              </w:rPr>
            </w:pPr>
            <w:r w:rsidRPr="004250B1">
              <w:rPr>
                <w:rFonts w:ascii="Arial" w:hAnsi="Arial"/>
              </w:rPr>
              <w:t>Common Shares</w:t>
            </w:r>
          </w:p>
        </w:tc>
        <w:tc>
          <w:tcPr>
            <w:tcW w:w="1559" w:type="dxa"/>
          </w:tcPr>
          <w:p w14:paraId="3F49F096" w14:textId="0641B47E" w:rsidR="00FD3AAA" w:rsidRDefault="00EF70A3" w:rsidP="00817CCB">
            <w:pPr>
              <w:pStyle w:val="List"/>
              <w:tabs>
                <w:tab w:val="left" w:pos="360"/>
              </w:tabs>
              <w:spacing w:before="0" w:line="280" w:lineRule="exact"/>
              <w:ind w:left="0" w:firstLine="0"/>
              <w:jc w:val="center"/>
              <w:rPr>
                <w:rFonts w:ascii="Arial" w:hAnsi="Arial"/>
              </w:rPr>
            </w:pPr>
            <w:r>
              <w:rPr>
                <w:rFonts w:ascii="Arial" w:hAnsi="Arial"/>
              </w:rPr>
              <w:t>18,750</w:t>
            </w:r>
          </w:p>
        </w:tc>
        <w:tc>
          <w:tcPr>
            <w:tcW w:w="4111" w:type="dxa"/>
          </w:tcPr>
          <w:p w14:paraId="129F87EE" w14:textId="7C267FEE" w:rsidR="00FD3AAA" w:rsidRPr="004250B1" w:rsidRDefault="0072264F" w:rsidP="00817CCB">
            <w:pPr>
              <w:pStyle w:val="List"/>
              <w:tabs>
                <w:tab w:val="left" w:pos="360"/>
              </w:tabs>
              <w:spacing w:before="0" w:line="280" w:lineRule="exact"/>
              <w:ind w:left="0" w:firstLine="0"/>
              <w:jc w:val="center"/>
              <w:rPr>
                <w:rFonts w:ascii="Arial" w:hAnsi="Arial"/>
              </w:rPr>
            </w:pPr>
            <w:r>
              <w:rPr>
                <w:rFonts w:ascii="Arial" w:hAnsi="Arial"/>
              </w:rPr>
              <w:t>Debt Settlement</w:t>
            </w:r>
            <w:r w:rsidR="00C30528">
              <w:rPr>
                <w:rFonts w:ascii="Arial" w:hAnsi="Arial"/>
              </w:rPr>
              <w:t xml:space="preserve"> </w:t>
            </w:r>
            <w:r w:rsidR="000A3D6C">
              <w:rPr>
                <w:rFonts w:ascii="Arial" w:hAnsi="Arial"/>
              </w:rPr>
              <w:t xml:space="preserve">@ </w:t>
            </w:r>
            <w:r w:rsidR="000A3D6C" w:rsidRPr="004250B1">
              <w:rPr>
                <w:rFonts w:ascii="Arial" w:hAnsi="Arial"/>
              </w:rPr>
              <w:t>$</w:t>
            </w:r>
            <w:r>
              <w:rPr>
                <w:rFonts w:ascii="Arial" w:hAnsi="Arial"/>
              </w:rPr>
              <w:t>1.</w:t>
            </w:r>
            <w:r w:rsidR="00EF70A3">
              <w:rPr>
                <w:rFonts w:ascii="Arial" w:hAnsi="Arial"/>
              </w:rPr>
              <w:t>33</w:t>
            </w:r>
          </w:p>
        </w:tc>
        <w:tc>
          <w:tcPr>
            <w:tcW w:w="1501" w:type="dxa"/>
          </w:tcPr>
          <w:p w14:paraId="0D2E7C59" w14:textId="32E6B526" w:rsidR="00FD3AAA" w:rsidRPr="004250B1" w:rsidRDefault="000A3D6C" w:rsidP="00817CCB">
            <w:pPr>
              <w:pStyle w:val="List"/>
              <w:tabs>
                <w:tab w:val="left" w:pos="360"/>
              </w:tabs>
              <w:spacing w:before="0" w:line="280" w:lineRule="exact"/>
              <w:ind w:left="0" w:firstLine="0"/>
              <w:jc w:val="center"/>
              <w:rPr>
                <w:rFonts w:ascii="Arial" w:hAnsi="Arial"/>
              </w:rPr>
            </w:pPr>
            <w:r w:rsidRPr="004250B1">
              <w:rPr>
                <w:rFonts w:ascii="Arial" w:hAnsi="Arial"/>
              </w:rPr>
              <w:t>G&amp;A</w:t>
            </w:r>
          </w:p>
        </w:tc>
      </w:tr>
      <w:tr w:rsidR="00FD3AAA" w14:paraId="1D3634EE" w14:textId="77777777" w:rsidTr="00B7787E">
        <w:tc>
          <w:tcPr>
            <w:tcW w:w="2405" w:type="dxa"/>
          </w:tcPr>
          <w:p w14:paraId="6395F972" w14:textId="292D2D58" w:rsidR="00FD3AAA" w:rsidRPr="004250B1" w:rsidRDefault="00FD3AAA" w:rsidP="00817CCB">
            <w:pPr>
              <w:pStyle w:val="List"/>
              <w:tabs>
                <w:tab w:val="left" w:pos="360"/>
              </w:tabs>
              <w:spacing w:before="0" w:line="280" w:lineRule="exact"/>
              <w:ind w:left="0" w:firstLine="0"/>
              <w:rPr>
                <w:rFonts w:ascii="Arial" w:hAnsi="Arial"/>
              </w:rPr>
            </w:pPr>
            <w:r w:rsidRPr="004250B1">
              <w:rPr>
                <w:rFonts w:ascii="Arial" w:hAnsi="Arial"/>
              </w:rPr>
              <w:t>Common Shares</w:t>
            </w:r>
          </w:p>
        </w:tc>
        <w:tc>
          <w:tcPr>
            <w:tcW w:w="1559" w:type="dxa"/>
          </w:tcPr>
          <w:p w14:paraId="0B8F8646" w14:textId="5707DE38" w:rsidR="00FD3AAA" w:rsidRDefault="00EF70A3" w:rsidP="00817CCB">
            <w:pPr>
              <w:pStyle w:val="List"/>
              <w:tabs>
                <w:tab w:val="left" w:pos="360"/>
              </w:tabs>
              <w:spacing w:before="0" w:line="280" w:lineRule="exact"/>
              <w:ind w:left="0" w:firstLine="0"/>
              <w:jc w:val="center"/>
              <w:rPr>
                <w:rFonts w:ascii="Arial" w:hAnsi="Arial"/>
              </w:rPr>
            </w:pPr>
            <w:r>
              <w:rPr>
                <w:rFonts w:ascii="Arial" w:hAnsi="Arial"/>
              </w:rPr>
              <w:t>577,850</w:t>
            </w:r>
          </w:p>
        </w:tc>
        <w:tc>
          <w:tcPr>
            <w:tcW w:w="4111" w:type="dxa"/>
          </w:tcPr>
          <w:p w14:paraId="1C1EE893" w14:textId="2BD684E3" w:rsidR="00FD3AAA" w:rsidRPr="004250B1" w:rsidRDefault="00C30528" w:rsidP="00817CCB">
            <w:pPr>
              <w:pStyle w:val="List"/>
              <w:tabs>
                <w:tab w:val="left" w:pos="360"/>
              </w:tabs>
              <w:spacing w:before="0" w:line="280" w:lineRule="exact"/>
              <w:ind w:left="0" w:firstLine="0"/>
              <w:jc w:val="center"/>
              <w:rPr>
                <w:rFonts w:ascii="Arial" w:hAnsi="Arial"/>
              </w:rPr>
            </w:pPr>
            <w:r>
              <w:rPr>
                <w:rFonts w:ascii="Arial" w:hAnsi="Arial"/>
              </w:rPr>
              <w:t xml:space="preserve">Purchase </w:t>
            </w:r>
            <w:r w:rsidR="000A3D6C">
              <w:rPr>
                <w:rFonts w:ascii="Arial" w:hAnsi="Arial"/>
              </w:rPr>
              <w:t xml:space="preserve">Acquisition @ </w:t>
            </w:r>
            <w:r w:rsidR="000A3D6C" w:rsidRPr="004250B1">
              <w:rPr>
                <w:rFonts w:ascii="Arial" w:hAnsi="Arial"/>
              </w:rPr>
              <w:t>$</w:t>
            </w:r>
            <w:r w:rsidR="0061034E">
              <w:rPr>
                <w:rFonts w:ascii="Arial" w:hAnsi="Arial"/>
              </w:rPr>
              <w:t>1.</w:t>
            </w:r>
            <w:r w:rsidR="00EF70A3">
              <w:rPr>
                <w:rFonts w:ascii="Arial" w:hAnsi="Arial"/>
              </w:rPr>
              <w:t>19</w:t>
            </w:r>
          </w:p>
        </w:tc>
        <w:tc>
          <w:tcPr>
            <w:tcW w:w="1501" w:type="dxa"/>
          </w:tcPr>
          <w:p w14:paraId="68CD0B45" w14:textId="545EA7FE" w:rsidR="00C30528" w:rsidRPr="004250B1" w:rsidRDefault="000A3D6C" w:rsidP="00C30528">
            <w:pPr>
              <w:pStyle w:val="List"/>
              <w:tabs>
                <w:tab w:val="left" w:pos="360"/>
              </w:tabs>
              <w:spacing w:before="0" w:line="280" w:lineRule="exact"/>
              <w:ind w:left="0" w:firstLine="0"/>
              <w:jc w:val="center"/>
              <w:rPr>
                <w:rFonts w:ascii="Arial" w:hAnsi="Arial"/>
              </w:rPr>
            </w:pPr>
            <w:r w:rsidRPr="004250B1">
              <w:rPr>
                <w:rFonts w:ascii="Arial" w:hAnsi="Arial"/>
              </w:rPr>
              <w:t>G&amp;A</w:t>
            </w:r>
          </w:p>
        </w:tc>
      </w:tr>
    </w:tbl>
    <w:p w14:paraId="49BCA46E"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64FCE84D"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r w:rsidR="008A5A9F">
        <w:rPr>
          <w:rFonts w:ascii="Arial" w:hAnsi="Arial"/>
        </w:rPr>
        <w:t xml:space="preserve"> N/A</w:t>
      </w:r>
    </w:p>
    <w:p w14:paraId="5568B1BB"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r w:rsidR="008A5A9F">
        <w:rPr>
          <w:rFonts w:ascii="Arial" w:hAnsi="Arial"/>
        </w:rPr>
        <w:t xml:space="preserve"> N/A</w:t>
      </w:r>
    </w:p>
    <w:p w14:paraId="2C773205" w14:textId="77777777" w:rsidR="008A5A9F" w:rsidRPr="008A5A9F" w:rsidRDefault="00640E94" w:rsidP="008A5A9F">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r w:rsidR="008A5A9F">
        <w:rPr>
          <w:rFonts w:ascii="Arial" w:hAnsi="Arial"/>
        </w:rPr>
        <w:t xml:space="preserve"> N/A</w:t>
      </w:r>
    </w:p>
    <w:p w14:paraId="73C6B08C" w14:textId="457F9BC2"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 xml:space="preserve">Certificate </w:t>
      </w:r>
      <w:r w:rsidR="0041323C">
        <w:rPr>
          <w:rFonts w:ascii="Arial" w:hAnsi="Arial"/>
          <w:b/>
        </w:rPr>
        <w:t>o</w:t>
      </w:r>
      <w:r>
        <w:rPr>
          <w:rFonts w:ascii="Arial" w:hAnsi="Arial"/>
          <w:b/>
        </w:rPr>
        <w:t>f Compliance</w:t>
      </w:r>
    </w:p>
    <w:p w14:paraId="286FD6AF" w14:textId="77777777" w:rsidR="00640E94" w:rsidRDefault="00640E94">
      <w:pPr>
        <w:pStyle w:val="BodyText"/>
        <w:keepNext/>
        <w:rPr>
          <w:rFonts w:ascii="Arial" w:hAnsi="Arial"/>
        </w:rPr>
      </w:pPr>
      <w:r>
        <w:rPr>
          <w:rFonts w:ascii="Arial" w:hAnsi="Arial"/>
        </w:rPr>
        <w:t>The undersigned hereby certifies that:</w:t>
      </w:r>
    </w:p>
    <w:p w14:paraId="658BB9BC"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C614A0C" w14:textId="38A1D20D" w:rsidR="00640E94" w:rsidRDefault="00640E94">
      <w:pPr>
        <w:pStyle w:val="List"/>
        <w:numPr>
          <w:ilvl w:val="0"/>
          <w:numId w:val="23"/>
        </w:numPr>
        <w:jc w:val="both"/>
        <w:rPr>
          <w:rFonts w:ascii="Arial" w:hAnsi="Arial"/>
        </w:rPr>
      </w:pPr>
      <w:r>
        <w:rPr>
          <w:rFonts w:ascii="Arial" w:hAnsi="Arial"/>
        </w:rPr>
        <w:t>As of the date hereof there w</w:t>
      </w:r>
      <w:r w:rsidR="0041323C">
        <w:rPr>
          <w:rFonts w:ascii="Arial" w:hAnsi="Arial"/>
        </w:rPr>
        <w:t>as</w:t>
      </w:r>
      <w:r>
        <w:rPr>
          <w:rFonts w:ascii="Arial" w:hAnsi="Arial"/>
        </w:rPr>
        <w:t xml:space="preserve"> no material information concerning the Issuer which has not been publicly disclosed.</w:t>
      </w:r>
    </w:p>
    <w:p w14:paraId="7B6285A6"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0DAE229A"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6C7213A2" w14:textId="6D80856F" w:rsidR="00640E94" w:rsidRDefault="00640E94">
      <w:pPr>
        <w:pStyle w:val="BodyText"/>
        <w:tabs>
          <w:tab w:val="left" w:pos="4680"/>
          <w:tab w:val="left" w:pos="7200"/>
        </w:tabs>
        <w:spacing w:before="480"/>
        <w:jc w:val="both"/>
        <w:rPr>
          <w:rFonts w:ascii="Arial" w:hAnsi="Arial"/>
        </w:rPr>
      </w:pPr>
      <w:r>
        <w:rPr>
          <w:rFonts w:ascii="Arial" w:hAnsi="Arial"/>
        </w:rPr>
        <w:t>Dated</w:t>
      </w:r>
      <w:r w:rsidR="00506DC5">
        <w:rPr>
          <w:rFonts w:ascii="Arial" w:hAnsi="Arial"/>
        </w:rPr>
        <w:t>:</w:t>
      </w:r>
      <w:r w:rsidR="00C73745">
        <w:rPr>
          <w:rFonts w:ascii="Arial" w:hAnsi="Arial"/>
        </w:rPr>
        <w:t xml:space="preserve"> </w:t>
      </w:r>
      <w:r w:rsidR="00EF70A3">
        <w:rPr>
          <w:rFonts w:ascii="Arial" w:hAnsi="Arial"/>
          <w:u w:val="single"/>
        </w:rPr>
        <w:t>November</w:t>
      </w:r>
      <w:r w:rsidR="00D36B7B">
        <w:rPr>
          <w:rFonts w:ascii="Arial" w:hAnsi="Arial"/>
          <w:u w:val="single"/>
        </w:rPr>
        <w:t xml:space="preserve"> </w:t>
      </w:r>
      <w:r w:rsidR="00C30528">
        <w:rPr>
          <w:rFonts w:ascii="Arial" w:hAnsi="Arial"/>
          <w:u w:val="single"/>
        </w:rPr>
        <w:t>4</w:t>
      </w:r>
      <w:r w:rsidR="00D36B7B">
        <w:rPr>
          <w:rFonts w:ascii="Arial" w:hAnsi="Arial"/>
          <w:u w:val="single"/>
        </w:rPr>
        <w:t>th</w:t>
      </w:r>
      <w:r w:rsidR="00506DC5" w:rsidRPr="004250B1">
        <w:rPr>
          <w:rFonts w:ascii="Arial" w:hAnsi="Arial"/>
          <w:u w:val="single"/>
        </w:rPr>
        <w:t>, 201</w:t>
      </w:r>
      <w:r w:rsidR="00911F65" w:rsidRPr="004250B1">
        <w:rPr>
          <w:rFonts w:ascii="Arial" w:hAnsi="Arial"/>
          <w:u w:val="single"/>
        </w:rPr>
        <w:t>8</w:t>
      </w:r>
      <w:r>
        <w:rPr>
          <w:rFonts w:ascii="Arial" w:hAnsi="Arial"/>
        </w:rPr>
        <w:t>.</w:t>
      </w:r>
    </w:p>
    <w:p w14:paraId="6F6815B3" w14:textId="57D61DCA" w:rsidR="00640E94" w:rsidRDefault="00640E94">
      <w:pPr>
        <w:pStyle w:val="List"/>
        <w:tabs>
          <w:tab w:val="left" w:pos="9180"/>
        </w:tabs>
        <w:ind w:left="5760" w:hanging="5760"/>
        <w:rPr>
          <w:rFonts w:ascii="Arial" w:hAnsi="Arial"/>
        </w:rPr>
      </w:pPr>
      <w:r>
        <w:rPr>
          <w:rFonts w:ascii="Arial" w:hAnsi="Arial"/>
        </w:rPr>
        <w:tab/>
      </w:r>
      <w:r>
        <w:rPr>
          <w:rFonts w:ascii="Arial" w:hAnsi="Arial"/>
          <w:u w:val="single"/>
        </w:rPr>
        <w:tab/>
      </w:r>
      <w:r>
        <w:rPr>
          <w:rFonts w:ascii="Arial" w:hAnsi="Arial"/>
          <w:u w:val="single"/>
        </w:rPr>
        <w:br/>
      </w:r>
      <w:r w:rsidR="00506DC5">
        <w:rPr>
          <w:rFonts w:ascii="Arial" w:hAnsi="Arial"/>
        </w:rPr>
        <w:t>Bojan Krasic</w:t>
      </w:r>
    </w:p>
    <w:p w14:paraId="07156AF1" w14:textId="0C9EE2D3" w:rsidR="00640E94" w:rsidRDefault="00640E94">
      <w:pPr>
        <w:pStyle w:val="List"/>
        <w:tabs>
          <w:tab w:val="left" w:pos="9180"/>
          <w:tab w:val="left" w:pos="9360"/>
        </w:tabs>
        <w:ind w:left="5760" w:hanging="5760"/>
        <w:rPr>
          <w:rFonts w:ascii="Arial" w:hAnsi="Arial"/>
        </w:rPr>
      </w:pPr>
      <w:r>
        <w:rPr>
          <w:rFonts w:ascii="Arial" w:hAnsi="Arial"/>
        </w:rPr>
        <w:tab/>
      </w:r>
      <w:r w:rsidR="00406C54">
        <w:rPr>
          <w:noProof/>
          <w:position w:val="-8"/>
        </w:rPr>
        <w:drawing>
          <wp:inline distT="0" distB="0" distL="0" distR="0" wp14:anchorId="4670769E" wp14:editId="63836D8D">
            <wp:extent cx="977840" cy="247856"/>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77840" cy="247856"/>
                    </a:xfrm>
                    <a:prstGeom prst="rect">
                      <a:avLst/>
                    </a:prstGeom>
                  </pic:spPr>
                </pic:pic>
              </a:graphicData>
            </a:graphic>
          </wp:inline>
        </w:drawing>
      </w:r>
      <w:bookmarkStart w:id="5" w:name="_GoBack"/>
      <w:bookmarkEnd w:id="5"/>
      <w:r>
        <w:rPr>
          <w:rFonts w:ascii="Arial" w:hAnsi="Arial"/>
          <w:u w:val="single"/>
        </w:rPr>
        <w:tab/>
      </w:r>
      <w:r>
        <w:rPr>
          <w:rFonts w:ascii="Arial" w:hAnsi="Arial"/>
        </w:rPr>
        <w:br/>
        <w:t>Signature</w:t>
      </w:r>
    </w:p>
    <w:p w14:paraId="5BB45D37" w14:textId="77777777" w:rsidR="00640E94" w:rsidRDefault="00640E94">
      <w:pPr>
        <w:pStyle w:val="BodyText"/>
        <w:tabs>
          <w:tab w:val="left" w:pos="9180"/>
        </w:tabs>
        <w:spacing w:before="0"/>
        <w:ind w:left="5760"/>
        <w:rPr>
          <w:rFonts w:ascii="Arial" w:hAnsi="Arial"/>
        </w:rPr>
      </w:pPr>
      <w:r>
        <w:rPr>
          <w:rFonts w:ascii="Arial" w:hAnsi="Arial"/>
          <w:u w:val="single"/>
        </w:rPr>
        <w:tab/>
      </w:r>
      <w:r>
        <w:rPr>
          <w:rFonts w:ascii="Arial" w:hAnsi="Arial"/>
        </w:rPr>
        <w:br/>
      </w:r>
      <w:bookmarkEnd w:id="4"/>
      <w:r w:rsidR="00506DC5">
        <w:rPr>
          <w:rFonts w:ascii="Arial" w:hAnsi="Arial"/>
        </w:rPr>
        <w:t>Director/CFO</w:t>
      </w:r>
    </w:p>
    <w:p w14:paraId="3168F3A1"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6849F854" w14:textId="77777777">
        <w:tc>
          <w:tcPr>
            <w:tcW w:w="4878" w:type="dxa"/>
            <w:tcBorders>
              <w:top w:val="single" w:sz="18" w:space="0" w:color="auto"/>
              <w:bottom w:val="nil"/>
              <w:right w:val="single" w:sz="18" w:space="0" w:color="auto"/>
            </w:tcBorders>
          </w:tcPr>
          <w:p w14:paraId="22572981" w14:textId="77777777" w:rsidR="00640E94" w:rsidRDefault="00640E94">
            <w:pPr>
              <w:pStyle w:val="BodyText"/>
              <w:spacing w:before="0"/>
              <w:rPr>
                <w:rFonts w:ascii="Arial" w:hAnsi="Arial"/>
                <w:b/>
                <w:i/>
              </w:rPr>
            </w:pPr>
            <w:r>
              <w:rPr>
                <w:rFonts w:ascii="Arial" w:hAnsi="Arial"/>
                <w:b/>
                <w:i/>
              </w:rPr>
              <w:t>Issuer Details</w:t>
            </w:r>
          </w:p>
          <w:p w14:paraId="04DFEE51" w14:textId="77777777" w:rsidR="00640E94" w:rsidRDefault="00506DC5">
            <w:pPr>
              <w:pStyle w:val="BodyText"/>
              <w:spacing w:before="0"/>
              <w:rPr>
                <w:rFonts w:ascii="Arial" w:hAnsi="Arial"/>
              </w:rPr>
            </w:pPr>
            <w:r>
              <w:rPr>
                <w:rFonts w:ascii="Arial" w:hAnsi="Arial"/>
              </w:rPr>
              <w:t>Beleave Inc.</w:t>
            </w:r>
          </w:p>
          <w:p w14:paraId="1DC65299" w14:textId="77777777" w:rsidR="00640E94" w:rsidRDefault="00640E94">
            <w:pPr>
              <w:pStyle w:val="BodyText"/>
              <w:rPr>
                <w:rFonts w:ascii="Arial" w:hAnsi="Arial"/>
              </w:rPr>
            </w:pPr>
          </w:p>
        </w:tc>
        <w:tc>
          <w:tcPr>
            <w:tcW w:w="1800" w:type="dxa"/>
            <w:tcBorders>
              <w:top w:val="single" w:sz="18" w:space="0" w:color="auto"/>
              <w:left w:val="single" w:sz="18" w:space="0" w:color="auto"/>
              <w:bottom w:val="nil"/>
              <w:right w:val="single" w:sz="18" w:space="0" w:color="auto"/>
            </w:tcBorders>
          </w:tcPr>
          <w:p w14:paraId="5C5B81C2" w14:textId="7CB354F9" w:rsidR="00640E94" w:rsidRDefault="00640E94" w:rsidP="00A25129">
            <w:pPr>
              <w:pStyle w:val="BodyText"/>
              <w:spacing w:before="0"/>
              <w:rPr>
                <w:rFonts w:ascii="Arial" w:hAnsi="Arial"/>
              </w:rPr>
            </w:pPr>
            <w:r>
              <w:rPr>
                <w:rFonts w:ascii="Arial" w:hAnsi="Arial"/>
              </w:rPr>
              <w:t>For  Month End</w:t>
            </w:r>
            <w:r w:rsidR="00506DC5">
              <w:rPr>
                <w:rFonts w:ascii="Arial" w:hAnsi="Arial"/>
              </w:rPr>
              <w:t xml:space="preserve"> of </w:t>
            </w:r>
            <w:r w:rsidR="00EF70A3">
              <w:rPr>
                <w:rFonts w:ascii="Arial" w:hAnsi="Arial"/>
              </w:rPr>
              <w:t>October</w:t>
            </w:r>
            <w:r w:rsidR="003014E9">
              <w:rPr>
                <w:rFonts w:ascii="Arial" w:hAnsi="Arial"/>
              </w:rPr>
              <w:t xml:space="preserve"> </w:t>
            </w:r>
            <w:r w:rsidR="00C60D40">
              <w:rPr>
                <w:rFonts w:ascii="Arial" w:hAnsi="Arial"/>
              </w:rPr>
              <w:t>201</w:t>
            </w:r>
            <w:r w:rsidR="00911F65">
              <w:rPr>
                <w:rFonts w:ascii="Arial" w:hAnsi="Arial"/>
              </w:rPr>
              <w:t>8</w:t>
            </w:r>
          </w:p>
        </w:tc>
        <w:tc>
          <w:tcPr>
            <w:tcW w:w="2898" w:type="dxa"/>
            <w:tcBorders>
              <w:top w:val="single" w:sz="18" w:space="0" w:color="auto"/>
              <w:left w:val="single" w:sz="18" w:space="0" w:color="auto"/>
              <w:bottom w:val="nil"/>
            </w:tcBorders>
          </w:tcPr>
          <w:p w14:paraId="3D8DE8F0" w14:textId="77777777" w:rsidR="00640E94" w:rsidRDefault="00640E94">
            <w:pPr>
              <w:pStyle w:val="BodyText"/>
              <w:spacing w:before="0"/>
              <w:rPr>
                <w:rFonts w:ascii="Arial" w:hAnsi="Arial"/>
              </w:rPr>
            </w:pPr>
            <w:r>
              <w:rPr>
                <w:rFonts w:ascii="Arial" w:hAnsi="Arial"/>
              </w:rPr>
              <w:t>Date of Report</w:t>
            </w:r>
          </w:p>
          <w:p w14:paraId="082E0387" w14:textId="7E977769" w:rsidR="00640E94" w:rsidRDefault="00EF70A3" w:rsidP="00124B84">
            <w:pPr>
              <w:pStyle w:val="BodyText"/>
              <w:spacing w:before="0"/>
              <w:rPr>
                <w:rFonts w:ascii="Arial" w:hAnsi="Arial"/>
              </w:rPr>
            </w:pPr>
            <w:r>
              <w:rPr>
                <w:rFonts w:ascii="Arial" w:hAnsi="Arial"/>
                <w:u w:val="single"/>
              </w:rPr>
              <w:t>November</w:t>
            </w:r>
            <w:r w:rsidR="00D36B7B">
              <w:rPr>
                <w:rFonts w:ascii="Arial" w:hAnsi="Arial"/>
                <w:u w:val="single"/>
              </w:rPr>
              <w:t xml:space="preserve"> </w:t>
            </w:r>
            <w:r w:rsidR="00C30528">
              <w:rPr>
                <w:rFonts w:ascii="Arial" w:hAnsi="Arial"/>
                <w:u w:val="single"/>
              </w:rPr>
              <w:t>4</w:t>
            </w:r>
            <w:r w:rsidR="00D36B7B">
              <w:rPr>
                <w:rFonts w:ascii="Arial" w:hAnsi="Arial"/>
                <w:u w:val="single"/>
              </w:rPr>
              <w:t>th</w:t>
            </w:r>
            <w:r w:rsidR="00D36B7B" w:rsidRPr="004250B1">
              <w:rPr>
                <w:rFonts w:ascii="Arial" w:hAnsi="Arial"/>
                <w:u w:val="single"/>
              </w:rPr>
              <w:t>, 2018</w:t>
            </w:r>
          </w:p>
        </w:tc>
      </w:tr>
      <w:tr w:rsidR="00640E94" w14:paraId="698A2234" w14:textId="77777777">
        <w:trPr>
          <w:cantSplit/>
        </w:trPr>
        <w:tc>
          <w:tcPr>
            <w:tcW w:w="9576" w:type="dxa"/>
            <w:gridSpan w:val="3"/>
            <w:tcBorders>
              <w:top w:val="single" w:sz="18" w:space="0" w:color="auto"/>
              <w:bottom w:val="single" w:sz="18" w:space="0" w:color="auto"/>
            </w:tcBorders>
          </w:tcPr>
          <w:p w14:paraId="78C8A7BF" w14:textId="77777777" w:rsidR="00640E94" w:rsidRDefault="00640E94">
            <w:pPr>
              <w:pStyle w:val="BodyText"/>
              <w:spacing w:before="0"/>
              <w:rPr>
                <w:rFonts w:ascii="Arial" w:hAnsi="Arial"/>
              </w:rPr>
            </w:pPr>
            <w:r>
              <w:rPr>
                <w:rFonts w:ascii="Arial" w:hAnsi="Arial"/>
              </w:rPr>
              <w:t>Issuer Address</w:t>
            </w:r>
          </w:p>
          <w:p w14:paraId="44D8468B" w14:textId="77777777" w:rsidR="00640E94" w:rsidRDefault="00506DC5">
            <w:pPr>
              <w:pStyle w:val="BodyText"/>
              <w:spacing w:before="0"/>
              <w:rPr>
                <w:rFonts w:ascii="Arial" w:hAnsi="Arial"/>
              </w:rPr>
            </w:pPr>
            <w:r>
              <w:rPr>
                <w:rFonts w:ascii="Arial" w:hAnsi="Arial"/>
              </w:rPr>
              <w:t>1653 Hwy 6 North</w:t>
            </w:r>
          </w:p>
          <w:p w14:paraId="38171B96" w14:textId="77777777" w:rsidR="00640E94" w:rsidRDefault="00640E94">
            <w:pPr>
              <w:pStyle w:val="BodyText"/>
              <w:spacing w:before="0"/>
              <w:rPr>
                <w:rFonts w:ascii="Arial" w:hAnsi="Arial"/>
              </w:rPr>
            </w:pPr>
          </w:p>
        </w:tc>
      </w:tr>
      <w:tr w:rsidR="00640E94" w14:paraId="12A2C3BB" w14:textId="77777777">
        <w:tc>
          <w:tcPr>
            <w:tcW w:w="4878" w:type="dxa"/>
            <w:tcBorders>
              <w:top w:val="single" w:sz="18" w:space="0" w:color="auto"/>
              <w:bottom w:val="single" w:sz="18" w:space="0" w:color="auto"/>
              <w:right w:val="single" w:sz="18" w:space="0" w:color="auto"/>
            </w:tcBorders>
          </w:tcPr>
          <w:p w14:paraId="734F277D" w14:textId="77777777" w:rsidR="00640E94" w:rsidRDefault="00640E94">
            <w:pPr>
              <w:pStyle w:val="BodyText"/>
              <w:spacing w:before="0"/>
              <w:rPr>
                <w:rFonts w:ascii="Arial" w:hAnsi="Arial"/>
              </w:rPr>
            </w:pPr>
            <w:r>
              <w:rPr>
                <w:rFonts w:ascii="Arial" w:hAnsi="Arial"/>
              </w:rPr>
              <w:t>City/Province/Postal Code</w:t>
            </w:r>
          </w:p>
          <w:p w14:paraId="3EAAD741" w14:textId="77777777" w:rsidR="00640E94" w:rsidRDefault="00506DC5">
            <w:pPr>
              <w:pStyle w:val="BodyText"/>
              <w:spacing w:before="0"/>
              <w:rPr>
                <w:rFonts w:ascii="Arial" w:hAnsi="Arial"/>
              </w:rPr>
            </w:pPr>
            <w:r>
              <w:rPr>
                <w:rFonts w:ascii="Arial" w:hAnsi="Arial"/>
              </w:rPr>
              <w:t>Flamborough/Ontario/L8N 2Z7</w:t>
            </w:r>
          </w:p>
          <w:p w14:paraId="3B10A15F"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080B7B4D" w14:textId="77777777" w:rsidR="00640E94" w:rsidRDefault="00640E94">
            <w:pPr>
              <w:pStyle w:val="BodyText"/>
              <w:spacing w:before="0"/>
              <w:rPr>
                <w:rFonts w:ascii="Arial" w:hAnsi="Arial"/>
              </w:rPr>
            </w:pPr>
            <w:r>
              <w:rPr>
                <w:rFonts w:ascii="Arial" w:hAnsi="Arial"/>
              </w:rPr>
              <w:t>Issuer Fax No.</w:t>
            </w:r>
          </w:p>
          <w:p w14:paraId="3B85FEE2" w14:textId="77777777" w:rsidR="00640E94" w:rsidRDefault="00640E94">
            <w:pPr>
              <w:pStyle w:val="BodyText"/>
              <w:spacing w:before="0"/>
              <w:rPr>
                <w:rFonts w:ascii="Arial" w:hAnsi="Arial"/>
              </w:rPr>
            </w:pPr>
            <w:r>
              <w:rPr>
                <w:rFonts w:ascii="Arial" w:hAnsi="Arial"/>
              </w:rPr>
              <w:t xml:space="preserve">(    </w:t>
            </w:r>
            <w:r w:rsidR="00506DC5">
              <w:rPr>
                <w:rFonts w:ascii="Arial" w:hAnsi="Arial"/>
              </w:rPr>
              <w:t>N/A</w:t>
            </w:r>
            <w:r>
              <w:rPr>
                <w:rFonts w:ascii="Arial" w:hAnsi="Arial"/>
              </w:rPr>
              <w:t xml:space="preserve"> )</w:t>
            </w:r>
          </w:p>
        </w:tc>
        <w:tc>
          <w:tcPr>
            <w:tcW w:w="2898" w:type="dxa"/>
            <w:tcBorders>
              <w:top w:val="single" w:sz="18" w:space="0" w:color="auto"/>
              <w:left w:val="single" w:sz="18" w:space="0" w:color="auto"/>
              <w:bottom w:val="single" w:sz="18" w:space="0" w:color="auto"/>
            </w:tcBorders>
          </w:tcPr>
          <w:p w14:paraId="1E8FE9A3" w14:textId="77777777" w:rsidR="00640E94" w:rsidRDefault="00640E94">
            <w:pPr>
              <w:pStyle w:val="BodyText"/>
              <w:spacing w:before="0"/>
              <w:rPr>
                <w:rFonts w:ascii="Arial" w:hAnsi="Arial"/>
              </w:rPr>
            </w:pPr>
            <w:r>
              <w:rPr>
                <w:rFonts w:ascii="Arial" w:hAnsi="Arial"/>
              </w:rPr>
              <w:t>Issuer Telephone No.</w:t>
            </w:r>
          </w:p>
          <w:p w14:paraId="1202DB46" w14:textId="77777777" w:rsidR="00640E94" w:rsidRDefault="00506DC5">
            <w:pPr>
              <w:pStyle w:val="BodyText"/>
              <w:spacing w:before="0"/>
              <w:rPr>
                <w:rFonts w:ascii="Arial" w:hAnsi="Arial"/>
              </w:rPr>
            </w:pPr>
            <w:r>
              <w:rPr>
                <w:rFonts w:ascii="Arial" w:hAnsi="Arial"/>
              </w:rPr>
              <w:t xml:space="preserve">1.844.235.3283 </w:t>
            </w:r>
          </w:p>
        </w:tc>
      </w:tr>
      <w:tr w:rsidR="00640E94" w14:paraId="2AA1F684" w14:textId="77777777">
        <w:tc>
          <w:tcPr>
            <w:tcW w:w="4878" w:type="dxa"/>
            <w:tcBorders>
              <w:top w:val="single" w:sz="18" w:space="0" w:color="auto"/>
              <w:bottom w:val="single" w:sz="18" w:space="0" w:color="auto"/>
              <w:right w:val="single" w:sz="18" w:space="0" w:color="auto"/>
            </w:tcBorders>
          </w:tcPr>
          <w:p w14:paraId="093B925C" w14:textId="77777777" w:rsidR="00640E94" w:rsidRDefault="00640E94">
            <w:pPr>
              <w:pStyle w:val="BodyText"/>
              <w:spacing w:before="0"/>
              <w:rPr>
                <w:rFonts w:ascii="Arial" w:hAnsi="Arial"/>
              </w:rPr>
            </w:pPr>
            <w:r>
              <w:rPr>
                <w:rFonts w:ascii="Arial" w:hAnsi="Arial"/>
              </w:rPr>
              <w:t>Contact Name</w:t>
            </w:r>
          </w:p>
          <w:p w14:paraId="4D6A9A74" w14:textId="77777777" w:rsidR="00640E94" w:rsidRDefault="00640E94">
            <w:pPr>
              <w:pStyle w:val="BodyText"/>
              <w:spacing w:before="0"/>
              <w:rPr>
                <w:rFonts w:ascii="Arial" w:hAnsi="Arial"/>
              </w:rPr>
            </w:pPr>
          </w:p>
          <w:p w14:paraId="0DB4357A" w14:textId="17A31447" w:rsidR="00640E94" w:rsidRDefault="00506DC5">
            <w:pPr>
              <w:pStyle w:val="BodyText"/>
              <w:spacing w:before="0"/>
              <w:rPr>
                <w:rFonts w:ascii="Arial" w:hAnsi="Arial"/>
              </w:rPr>
            </w:pPr>
            <w:r>
              <w:rPr>
                <w:rFonts w:ascii="Arial" w:hAnsi="Arial"/>
              </w:rPr>
              <w:t>Bojan Kra</w:t>
            </w:r>
            <w:r w:rsidR="00FD3AAA">
              <w:rPr>
                <w:rFonts w:ascii="Arial" w:hAnsi="Arial"/>
              </w:rPr>
              <w:t>s</w:t>
            </w:r>
            <w:r>
              <w:rPr>
                <w:rFonts w:ascii="Arial" w:hAnsi="Arial"/>
              </w:rPr>
              <w:t>ic</w:t>
            </w:r>
          </w:p>
        </w:tc>
        <w:tc>
          <w:tcPr>
            <w:tcW w:w="1800" w:type="dxa"/>
            <w:tcBorders>
              <w:top w:val="single" w:sz="18" w:space="0" w:color="auto"/>
              <w:left w:val="single" w:sz="18" w:space="0" w:color="auto"/>
              <w:bottom w:val="single" w:sz="18" w:space="0" w:color="auto"/>
              <w:right w:val="single" w:sz="18" w:space="0" w:color="auto"/>
            </w:tcBorders>
          </w:tcPr>
          <w:p w14:paraId="55743AEC" w14:textId="77777777" w:rsidR="00640E94" w:rsidRDefault="00640E94">
            <w:pPr>
              <w:pStyle w:val="BodyText"/>
              <w:spacing w:before="0"/>
              <w:rPr>
                <w:rFonts w:ascii="Arial" w:hAnsi="Arial"/>
              </w:rPr>
            </w:pPr>
            <w:r>
              <w:rPr>
                <w:rFonts w:ascii="Arial" w:hAnsi="Arial"/>
              </w:rPr>
              <w:t>Contact Position</w:t>
            </w:r>
            <w:r w:rsidR="00506DC5">
              <w:rPr>
                <w:rFonts w:ascii="Arial" w:hAnsi="Arial"/>
              </w:rPr>
              <w:t xml:space="preserve"> Director/CFO</w:t>
            </w:r>
          </w:p>
        </w:tc>
        <w:tc>
          <w:tcPr>
            <w:tcW w:w="2898" w:type="dxa"/>
            <w:tcBorders>
              <w:top w:val="single" w:sz="18" w:space="0" w:color="auto"/>
              <w:left w:val="single" w:sz="18" w:space="0" w:color="auto"/>
              <w:bottom w:val="single" w:sz="18" w:space="0" w:color="auto"/>
            </w:tcBorders>
          </w:tcPr>
          <w:p w14:paraId="67055303" w14:textId="77777777" w:rsidR="00640E94" w:rsidRDefault="00640E94">
            <w:pPr>
              <w:pStyle w:val="BodyText"/>
              <w:spacing w:before="0"/>
              <w:rPr>
                <w:rFonts w:ascii="Arial" w:hAnsi="Arial"/>
              </w:rPr>
            </w:pPr>
            <w:r>
              <w:rPr>
                <w:rFonts w:ascii="Arial" w:hAnsi="Arial"/>
              </w:rPr>
              <w:t>Contact Telephone No.</w:t>
            </w:r>
          </w:p>
          <w:p w14:paraId="524E8DC7" w14:textId="77777777" w:rsidR="00506DC5" w:rsidRDefault="00506DC5">
            <w:pPr>
              <w:pStyle w:val="BodyText"/>
              <w:spacing w:before="0"/>
              <w:rPr>
                <w:rFonts w:ascii="Arial" w:hAnsi="Arial"/>
              </w:rPr>
            </w:pPr>
            <w:r>
              <w:rPr>
                <w:rFonts w:ascii="Arial" w:hAnsi="Arial"/>
              </w:rPr>
              <w:t>905.979.2937</w:t>
            </w:r>
          </w:p>
        </w:tc>
      </w:tr>
      <w:tr w:rsidR="00640E94" w14:paraId="354AAFC7" w14:textId="77777777">
        <w:trPr>
          <w:cantSplit/>
        </w:trPr>
        <w:tc>
          <w:tcPr>
            <w:tcW w:w="4878" w:type="dxa"/>
            <w:tcBorders>
              <w:top w:val="single" w:sz="18" w:space="0" w:color="auto"/>
              <w:bottom w:val="single" w:sz="18" w:space="0" w:color="auto"/>
              <w:right w:val="single" w:sz="18" w:space="0" w:color="auto"/>
            </w:tcBorders>
          </w:tcPr>
          <w:p w14:paraId="227AFD06" w14:textId="77777777" w:rsidR="00640E94" w:rsidRDefault="00640E94">
            <w:pPr>
              <w:pStyle w:val="BodyText"/>
              <w:spacing w:before="0"/>
              <w:rPr>
                <w:rFonts w:ascii="Arial" w:hAnsi="Arial"/>
              </w:rPr>
            </w:pPr>
            <w:r>
              <w:rPr>
                <w:rFonts w:ascii="Arial" w:hAnsi="Arial"/>
              </w:rPr>
              <w:t>Contact Email Address</w:t>
            </w:r>
          </w:p>
          <w:p w14:paraId="63498533" w14:textId="77777777" w:rsidR="00640E94" w:rsidRDefault="00506DC5">
            <w:pPr>
              <w:pStyle w:val="BodyText"/>
              <w:spacing w:before="0"/>
              <w:rPr>
                <w:rFonts w:ascii="Arial" w:hAnsi="Arial"/>
              </w:rPr>
            </w:pPr>
            <w:r>
              <w:rPr>
                <w:rFonts w:ascii="Arial" w:hAnsi="Arial"/>
              </w:rPr>
              <w:t>bojan@beleave.com</w:t>
            </w:r>
          </w:p>
        </w:tc>
        <w:tc>
          <w:tcPr>
            <w:tcW w:w="4698" w:type="dxa"/>
            <w:gridSpan w:val="2"/>
            <w:tcBorders>
              <w:top w:val="single" w:sz="18" w:space="0" w:color="auto"/>
              <w:left w:val="single" w:sz="18" w:space="0" w:color="auto"/>
              <w:bottom w:val="single" w:sz="18" w:space="0" w:color="auto"/>
            </w:tcBorders>
          </w:tcPr>
          <w:p w14:paraId="1687F44F" w14:textId="77777777" w:rsidR="00640E94" w:rsidRDefault="00640E94">
            <w:pPr>
              <w:pStyle w:val="BodyText"/>
              <w:spacing w:before="0"/>
              <w:rPr>
                <w:rFonts w:ascii="Arial" w:hAnsi="Arial"/>
              </w:rPr>
            </w:pPr>
            <w:r>
              <w:rPr>
                <w:rFonts w:ascii="Arial" w:hAnsi="Arial"/>
              </w:rPr>
              <w:t>Web Site Address</w:t>
            </w:r>
          </w:p>
          <w:p w14:paraId="78B43B0F" w14:textId="77777777" w:rsidR="00640E94" w:rsidRDefault="00506DC5">
            <w:pPr>
              <w:pStyle w:val="BodyText"/>
              <w:spacing w:before="0"/>
              <w:rPr>
                <w:rFonts w:ascii="Arial" w:hAnsi="Arial"/>
              </w:rPr>
            </w:pPr>
            <w:r>
              <w:rPr>
                <w:rFonts w:ascii="Arial" w:hAnsi="Arial"/>
              </w:rPr>
              <w:t>www.beleave.com</w:t>
            </w:r>
          </w:p>
        </w:tc>
      </w:tr>
    </w:tbl>
    <w:p w14:paraId="0D462C8E" w14:textId="77777777"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3E07C" w14:textId="77777777" w:rsidR="00400695" w:rsidRDefault="00400695">
      <w:r>
        <w:separator/>
      </w:r>
    </w:p>
  </w:endnote>
  <w:endnote w:type="continuationSeparator" w:id="0">
    <w:p w14:paraId="23DECD4D" w14:textId="77777777" w:rsidR="00400695" w:rsidRDefault="00400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EA800" w14:textId="77777777" w:rsidR="004250B1" w:rsidRDefault="004250B1">
    <w:pPr>
      <w:pStyle w:val="Footer"/>
      <w:tabs>
        <w:tab w:val="clear" w:pos="4320"/>
        <w:tab w:val="clear" w:pos="8640"/>
        <w:tab w:val="center" w:pos="4680"/>
        <w:tab w:val="right" w:pos="9360"/>
      </w:tabs>
      <w:rPr>
        <w:b/>
      </w:rPr>
    </w:pPr>
  </w:p>
  <w:p w14:paraId="38CFF073" w14:textId="77777777" w:rsidR="004250B1" w:rsidRDefault="004250B1"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1AA6BC3E" wp14:editId="099064C1">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6BFFF"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14:paraId="1C484D90" w14:textId="6B9A461C" w:rsidR="004250B1" w:rsidRPr="006D1A06" w:rsidRDefault="00EF70A3" w:rsidP="000A3D6C">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October</w:t>
    </w:r>
    <w:r w:rsidR="00F20D35">
      <w:rPr>
        <w:rStyle w:val="PageNumber"/>
        <w:rFonts w:ascii="Arial" w:hAnsi="Arial" w:cs="Arial"/>
        <w:sz w:val="16"/>
        <w:szCs w:val="16"/>
      </w:rPr>
      <w:t xml:space="preserve"> 2018</w:t>
    </w:r>
  </w:p>
  <w:p w14:paraId="1CD4425D" w14:textId="77777777" w:rsidR="004250B1" w:rsidRPr="006D1A06" w:rsidRDefault="004250B1"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D3D2F" w14:textId="77777777" w:rsidR="004250B1" w:rsidRDefault="004250B1">
    <w:pPr>
      <w:pStyle w:val="Footer"/>
      <w:tabs>
        <w:tab w:val="clear" w:pos="4320"/>
        <w:tab w:val="clear" w:pos="8640"/>
        <w:tab w:val="center" w:pos="4680"/>
        <w:tab w:val="right" w:pos="9360"/>
      </w:tabs>
      <w:rPr>
        <w:b/>
      </w:rPr>
    </w:pPr>
  </w:p>
  <w:p w14:paraId="5CB0E3CD" w14:textId="77777777" w:rsidR="004250B1" w:rsidRDefault="004250B1"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0375E582" wp14:editId="5CF251D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C5C8F"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0920245E" w14:textId="77777777" w:rsidR="004250B1" w:rsidRPr="00635E9A" w:rsidRDefault="004250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11FD083" w14:textId="77777777" w:rsidR="004250B1" w:rsidRPr="00635E9A" w:rsidRDefault="004250B1"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FA462" w14:textId="77777777" w:rsidR="00400695" w:rsidRDefault="00400695">
      <w:r>
        <w:separator/>
      </w:r>
    </w:p>
  </w:footnote>
  <w:footnote w:type="continuationSeparator" w:id="0">
    <w:p w14:paraId="3EB1022A" w14:textId="77777777" w:rsidR="00400695" w:rsidRDefault="00400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7E2C8" w14:textId="77777777" w:rsidR="004250B1" w:rsidRDefault="004250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A13EAFF" w14:textId="77777777" w:rsidR="004250B1" w:rsidRDefault="004250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3B9C7" w14:textId="77777777" w:rsidR="004250B1" w:rsidRDefault="004250B1">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0C5B4B"/>
    <w:multiLevelType w:val="hybridMultilevel"/>
    <w:tmpl w:val="3FA0288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422946"/>
    <w:multiLevelType w:val="hybridMultilevel"/>
    <w:tmpl w:val="28EE776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D5455FB"/>
    <w:multiLevelType w:val="hybridMultilevel"/>
    <w:tmpl w:val="A58A26B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9"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9"/>
  </w:num>
  <w:num w:numId="2">
    <w:abstractNumId w:val="23"/>
  </w:num>
  <w:num w:numId="3">
    <w:abstractNumId w:val="18"/>
  </w:num>
  <w:num w:numId="4">
    <w:abstractNumId w:val="13"/>
  </w:num>
  <w:num w:numId="5">
    <w:abstractNumId w:val="3"/>
  </w:num>
  <w:num w:numId="6">
    <w:abstractNumId w:val="25"/>
  </w:num>
  <w:num w:numId="7">
    <w:abstractNumId w:val="9"/>
  </w:num>
  <w:num w:numId="8">
    <w:abstractNumId w:val="27"/>
  </w:num>
  <w:num w:numId="9">
    <w:abstractNumId w:val="22"/>
  </w:num>
  <w:num w:numId="10">
    <w:abstractNumId w:val="11"/>
  </w:num>
  <w:num w:numId="11">
    <w:abstractNumId w:val="14"/>
  </w:num>
  <w:num w:numId="12">
    <w:abstractNumId w:val="16"/>
  </w:num>
  <w:num w:numId="13">
    <w:abstractNumId w:val="29"/>
  </w:num>
  <w:num w:numId="14">
    <w:abstractNumId w:val="6"/>
  </w:num>
  <w:num w:numId="15">
    <w:abstractNumId w:val="10"/>
  </w:num>
  <w:num w:numId="16">
    <w:abstractNumId w:val="12"/>
  </w:num>
  <w:num w:numId="17">
    <w:abstractNumId w:val="20"/>
  </w:num>
  <w:num w:numId="18">
    <w:abstractNumId w:val="2"/>
  </w:num>
  <w:num w:numId="19">
    <w:abstractNumId w:val="7"/>
  </w:num>
  <w:num w:numId="20">
    <w:abstractNumId w:val="26"/>
  </w:num>
  <w:num w:numId="21">
    <w:abstractNumId w:val="1"/>
  </w:num>
  <w:num w:numId="22">
    <w:abstractNumId w:val="0"/>
  </w:num>
  <w:num w:numId="23">
    <w:abstractNumId w:val="24"/>
  </w:num>
  <w:num w:numId="24">
    <w:abstractNumId w:val="21"/>
  </w:num>
  <w:num w:numId="25">
    <w:abstractNumId w:val="4"/>
  </w:num>
  <w:num w:numId="26">
    <w:abstractNumId w:val="28"/>
  </w:num>
  <w:num w:numId="27">
    <w:abstractNumId w:val="30"/>
  </w:num>
  <w:num w:numId="28">
    <w:abstractNumId w:val="5"/>
  </w:num>
  <w:num w:numId="29">
    <w:abstractNumId w:val="8"/>
  </w:num>
  <w:num w:numId="30">
    <w:abstractNumId w:val="1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4DBB"/>
    <w:rsid w:val="00026ABD"/>
    <w:rsid w:val="00035006"/>
    <w:rsid w:val="00055D2C"/>
    <w:rsid w:val="00067CC0"/>
    <w:rsid w:val="000736EB"/>
    <w:rsid w:val="00093398"/>
    <w:rsid w:val="000A1AB1"/>
    <w:rsid w:val="000A3D6C"/>
    <w:rsid w:val="000A47C5"/>
    <w:rsid w:val="000A62EC"/>
    <w:rsid w:val="000B05C4"/>
    <w:rsid w:val="000D2A12"/>
    <w:rsid w:val="000E195D"/>
    <w:rsid w:val="00124B84"/>
    <w:rsid w:val="00132164"/>
    <w:rsid w:val="00137838"/>
    <w:rsid w:val="00181481"/>
    <w:rsid w:val="0018713F"/>
    <w:rsid w:val="0018775E"/>
    <w:rsid w:val="001969CC"/>
    <w:rsid w:val="001A36B4"/>
    <w:rsid w:val="001A3E9C"/>
    <w:rsid w:val="001B347D"/>
    <w:rsid w:val="001F18D5"/>
    <w:rsid w:val="00213C57"/>
    <w:rsid w:val="00232DBA"/>
    <w:rsid w:val="002623F7"/>
    <w:rsid w:val="002651BA"/>
    <w:rsid w:val="0026776F"/>
    <w:rsid w:val="00284447"/>
    <w:rsid w:val="00292CEE"/>
    <w:rsid w:val="00297B79"/>
    <w:rsid w:val="002B259B"/>
    <w:rsid w:val="002C19A7"/>
    <w:rsid w:val="002C281E"/>
    <w:rsid w:val="002F00EB"/>
    <w:rsid w:val="003014E9"/>
    <w:rsid w:val="00311046"/>
    <w:rsid w:val="0031370E"/>
    <w:rsid w:val="003436F2"/>
    <w:rsid w:val="00360131"/>
    <w:rsid w:val="003669A9"/>
    <w:rsid w:val="003713C4"/>
    <w:rsid w:val="00371A64"/>
    <w:rsid w:val="00387B87"/>
    <w:rsid w:val="00387FA8"/>
    <w:rsid w:val="003B48D9"/>
    <w:rsid w:val="003C5136"/>
    <w:rsid w:val="003E1900"/>
    <w:rsid w:val="003F50E0"/>
    <w:rsid w:val="00400587"/>
    <w:rsid w:val="00400695"/>
    <w:rsid w:val="00402DFC"/>
    <w:rsid w:val="00406C54"/>
    <w:rsid w:val="0041323C"/>
    <w:rsid w:val="004250B1"/>
    <w:rsid w:val="00453164"/>
    <w:rsid w:val="004754B4"/>
    <w:rsid w:val="00483BC9"/>
    <w:rsid w:val="004D3A77"/>
    <w:rsid w:val="00506DC5"/>
    <w:rsid w:val="00516383"/>
    <w:rsid w:val="00523A5D"/>
    <w:rsid w:val="005301F2"/>
    <w:rsid w:val="005453C8"/>
    <w:rsid w:val="00553826"/>
    <w:rsid w:val="00566504"/>
    <w:rsid w:val="005805B4"/>
    <w:rsid w:val="00584F30"/>
    <w:rsid w:val="005F6D8F"/>
    <w:rsid w:val="0061034E"/>
    <w:rsid w:val="00612FC0"/>
    <w:rsid w:val="00620E7F"/>
    <w:rsid w:val="00626135"/>
    <w:rsid w:val="00633ED3"/>
    <w:rsid w:val="00635E9A"/>
    <w:rsid w:val="00640E94"/>
    <w:rsid w:val="00641E59"/>
    <w:rsid w:val="00673230"/>
    <w:rsid w:val="00687BFD"/>
    <w:rsid w:val="006C3650"/>
    <w:rsid w:val="006D1A06"/>
    <w:rsid w:val="006D75F8"/>
    <w:rsid w:val="0072264F"/>
    <w:rsid w:val="007745C7"/>
    <w:rsid w:val="00792D80"/>
    <w:rsid w:val="007C5953"/>
    <w:rsid w:val="007E2F34"/>
    <w:rsid w:val="007F7DF5"/>
    <w:rsid w:val="00817CCB"/>
    <w:rsid w:val="00833E33"/>
    <w:rsid w:val="00837EC2"/>
    <w:rsid w:val="008636BF"/>
    <w:rsid w:val="00894C36"/>
    <w:rsid w:val="008A5A9F"/>
    <w:rsid w:val="008B7E92"/>
    <w:rsid w:val="00911F65"/>
    <w:rsid w:val="00915139"/>
    <w:rsid w:val="00922A46"/>
    <w:rsid w:val="009547A8"/>
    <w:rsid w:val="0097254F"/>
    <w:rsid w:val="009854CB"/>
    <w:rsid w:val="00995F6E"/>
    <w:rsid w:val="009A2C10"/>
    <w:rsid w:val="009B5E65"/>
    <w:rsid w:val="009C0705"/>
    <w:rsid w:val="009E12E3"/>
    <w:rsid w:val="009E574C"/>
    <w:rsid w:val="009F2B40"/>
    <w:rsid w:val="00A1400F"/>
    <w:rsid w:val="00A25129"/>
    <w:rsid w:val="00A47914"/>
    <w:rsid w:val="00A667D3"/>
    <w:rsid w:val="00A71619"/>
    <w:rsid w:val="00A91760"/>
    <w:rsid w:val="00B009F2"/>
    <w:rsid w:val="00B20EAC"/>
    <w:rsid w:val="00B22DC0"/>
    <w:rsid w:val="00B2353B"/>
    <w:rsid w:val="00B71BE6"/>
    <w:rsid w:val="00B734BE"/>
    <w:rsid w:val="00B75989"/>
    <w:rsid w:val="00B7787E"/>
    <w:rsid w:val="00B94D38"/>
    <w:rsid w:val="00BD5600"/>
    <w:rsid w:val="00BF673D"/>
    <w:rsid w:val="00C24FF0"/>
    <w:rsid w:val="00C27A18"/>
    <w:rsid w:val="00C30528"/>
    <w:rsid w:val="00C44A81"/>
    <w:rsid w:val="00C452F7"/>
    <w:rsid w:val="00C60D40"/>
    <w:rsid w:val="00C6383E"/>
    <w:rsid w:val="00C73745"/>
    <w:rsid w:val="00C93B2F"/>
    <w:rsid w:val="00CB4582"/>
    <w:rsid w:val="00CB7CC0"/>
    <w:rsid w:val="00CC5183"/>
    <w:rsid w:val="00D36B7B"/>
    <w:rsid w:val="00D37AE9"/>
    <w:rsid w:val="00D411DF"/>
    <w:rsid w:val="00D4182D"/>
    <w:rsid w:val="00D74681"/>
    <w:rsid w:val="00DA4B48"/>
    <w:rsid w:val="00DB4DD4"/>
    <w:rsid w:val="00E14244"/>
    <w:rsid w:val="00E263D5"/>
    <w:rsid w:val="00E36141"/>
    <w:rsid w:val="00E57324"/>
    <w:rsid w:val="00E5792C"/>
    <w:rsid w:val="00E63625"/>
    <w:rsid w:val="00E745FB"/>
    <w:rsid w:val="00E83E58"/>
    <w:rsid w:val="00E96FBE"/>
    <w:rsid w:val="00EA6AEF"/>
    <w:rsid w:val="00ED4198"/>
    <w:rsid w:val="00EF51EA"/>
    <w:rsid w:val="00EF70A3"/>
    <w:rsid w:val="00EF76CB"/>
    <w:rsid w:val="00F01EA5"/>
    <w:rsid w:val="00F20D35"/>
    <w:rsid w:val="00F71100"/>
    <w:rsid w:val="00F92349"/>
    <w:rsid w:val="00F96F82"/>
    <w:rsid w:val="00FA3A3B"/>
    <w:rsid w:val="00FC38C4"/>
    <w:rsid w:val="00FD3AAA"/>
    <w:rsid w:val="00FD3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330F6D"/>
  <w15:docId w15:val="{2A40B25B-0E49-40A6-AD87-E79683DA2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xn-person">
    <w:name w:val="xn-person"/>
    <w:basedOn w:val="DefaultParagraphFont"/>
    <w:rsid w:val="00EF7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5</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Ramiro</cp:lastModifiedBy>
  <cp:revision>10</cp:revision>
  <cp:lastPrinted>2018-07-06T17:52:00Z</cp:lastPrinted>
  <dcterms:created xsi:type="dcterms:W3CDTF">2018-07-06T18:11:00Z</dcterms:created>
  <dcterms:modified xsi:type="dcterms:W3CDTF">2018-11-07T22:34:00Z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