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Default="00640E94" w:rsidP="00F2661E">
      <w:pPr>
        <w:pStyle w:val="Title"/>
      </w:pPr>
      <w:bookmarkStart w:id="0" w:name="_Toc370788688"/>
      <w:bookmarkStart w:id="1" w:name="_Toc398005544"/>
      <w:bookmarkStart w:id="2" w:name="_Toc412279961"/>
      <w:bookmarkStart w:id="3" w:name="_Toc419096464"/>
      <w:bookmarkStart w:id="4" w:name="_Toc366558847"/>
      <w:r>
        <w:t>FORM 7</w:t>
      </w:r>
      <w:r>
        <w:br/>
      </w:r>
      <w:r>
        <w:b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sidR="00BD43CB">
        <w:rPr>
          <w:rFonts w:ascii="Arial" w:hAnsi="Arial"/>
          <w:color w:val="000000"/>
          <w:u w:val="single"/>
        </w:rPr>
        <w:t>Argo Gold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A263C1">
      <w:pPr>
        <w:pStyle w:val="BodyText"/>
        <w:tabs>
          <w:tab w:val="left" w:pos="7920"/>
          <w:tab w:val="left" w:pos="9180"/>
        </w:tabs>
        <w:rPr>
          <w:rFonts w:ascii="Arial" w:hAnsi="Arial"/>
          <w:color w:val="000000"/>
        </w:rPr>
      </w:pPr>
      <w:r>
        <w:rPr>
          <w:rFonts w:ascii="Arial" w:hAnsi="Arial"/>
          <w:color w:val="000000"/>
        </w:rPr>
        <w:t xml:space="preserve">Trading Symbol: </w:t>
      </w:r>
      <w:r w:rsidR="00BD43CB">
        <w:rPr>
          <w:rFonts w:ascii="Arial" w:hAnsi="Arial"/>
          <w:color w:val="000000"/>
        </w:rPr>
        <w:t>_</w:t>
      </w:r>
      <w:r w:rsidR="00BD43CB" w:rsidRPr="00A263C1">
        <w:rPr>
          <w:rFonts w:ascii="Arial" w:hAnsi="Arial"/>
          <w:color w:val="000000"/>
          <w:u w:val="single"/>
        </w:rPr>
        <w:t>_ARQ</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E182E">
        <w:rPr>
          <w:rFonts w:ascii="Arial" w:hAnsi="Arial"/>
          <w:color w:val="000000"/>
          <w:u w:val="single"/>
        </w:rPr>
        <w:t>30,497</w:t>
      </w:r>
      <w:r w:rsidR="00BC2651">
        <w:rPr>
          <w:rFonts w:ascii="Arial" w:hAnsi="Arial"/>
          <w:color w:val="000000"/>
          <w:u w:val="single"/>
        </w:rPr>
        <w:t>,928</w:t>
      </w:r>
      <w:r>
        <w:rPr>
          <w:rFonts w:ascii="Arial" w:hAnsi="Arial"/>
          <w:color w:val="000000"/>
          <w:u w:val="single"/>
        </w:rPr>
        <w:tab/>
      </w:r>
      <w:r w:rsidR="00A263C1">
        <w:rPr>
          <w:rFonts w:ascii="Arial" w:hAnsi="Arial"/>
          <w:color w:val="000000"/>
          <w:u w:val="single"/>
        </w:rPr>
        <w:t>_________</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2661E">
        <w:rPr>
          <w:rFonts w:ascii="Arial" w:hAnsi="Arial"/>
          <w:color w:val="000000"/>
          <w:u w:val="single"/>
        </w:rPr>
        <w:t>September 4, 2018</w:t>
      </w:r>
      <w:bookmarkStart w:id="5" w:name="_GoBack"/>
      <w:bookmarkEnd w:id="5"/>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BD43CB" w:rsidRPr="00BD43CB" w:rsidRDefault="00BD43CB" w:rsidP="00BD43CB">
      <w:pPr>
        <w:pStyle w:val="List"/>
        <w:spacing w:before="120"/>
        <w:ind w:left="720" w:firstLine="0"/>
        <w:jc w:val="both"/>
        <w:rPr>
          <w:rFonts w:ascii="Arial" w:hAnsi="Arial"/>
          <w:color w:val="1F497D" w:themeColor="text2"/>
        </w:rPr>
      </w:pPr>
      <w:r w:rsidRPr="00BD43CB">
        <w:rPr>
          <w:rFonts w:ascii="Arial" w:hAnsi="Arial"/>
          <w:color w:val="1F497D" w:themeColor="text2"/>
        </w:rPr>
        <w:t xml:space="preserve">Argo Gold is actively advancing its </w:t>
      </w:r>
      <w:r w:rsidR="00342793">
        <w:rPr>
          <w:rFonts w:ascii="Arial" w:hAnsi="Arial"/>
          <w:color w:val="1F497D" w:themeColor="text2"/>
        </w:rPr>
        <w:t xml:space="preserve">100% owned gold projects; </w:t>
      </w:r>
      <w:proofErr w:type="spellStart"/>
      <w:r w:rsidRPr="00BD43CB">
        <w:rPr>
          <w:rFonts w:ascii="Arial" w:hAnsi="Arial"/>
          <w:color w:val="1F497D" w:themeColor="text2"/>
        </w:rPr>
        <w:t>Woco</w:t>
      </w:r>
      <w:proofErr w:type="spellEnd"/>
      <w:r w:rsidRPr="00BD43CB">
        <w:rPr>
          <w:rFonts w:ascii="Arial" w:hAnsi="Arial"/>
          <w:color w:val="1F497D" w:themeColor="text2"/>
        </w:rPr>
        <w:t xml:space="preserve"> Gold Project, McVicar Lake Gold Project</w:t>
      </w:r>
      <w:r w:rsidR="00342793">
        <w:rPr>
          <w:rFonts w:ascii="Arial" w:hAnsi="Arial"/>
          <w:color w:val="1F497D" w:themeColor="text2"/>
        </w:rPr>
        <w:t xml:space="preserve">, three </w:t>
      </w:r>
      <w:r w:rsidRPr="00BD43CB">
        <w:rPr>
          <w:rFonts w:ascii="Arial" w:hAnsi="Arial"/>
          <w:color w:val="1F497D" w:themeColor="text2"/>
        </w:rPr>
        <w:t>Wawa Area Gold Projects</w:t>
      </w:r>
      <w:r w:rsidR="00342793">
        <w:rPr>
          <w:rFonts w:ascii="Arial" w:hAnsi="Arial"/>
          <w:color w:val="1F497D" w:themeColor="text2"/>
        </w:rPr>
        <w:t xml:space="preserve"> and its newly acquired </w:t>
      </w:r>
      <w:r w:rsidR="00342793">
        <w:rPr>
          <w:rFonts w:ascii="Arial" w:hAnsi="Arial"/>
          <w:color w:val="1F497D" w:themeColor="text2"/>
        </w:rPr>
        <w:lastRenderedPageBreak/>
        <w:t xml:space="preserve">Angela Lake Gold Project.  Argo Gold is also advancing it 100% owned </w:t>
      </w:r>
      <w:proofErr w:type="spellStart"/>
      <w:r w:rsidR="00342793">
        <w:rPr>
          <w:rFonts w:ascii="Arial" w:hAnsi="Arial"/>
          <w:color w:val="1F497D" w:themeColor="text2"/>
        </w:rPr>
        <w:t>Hurdman</w:t>
      </w:r>
      <w:proofErr w:type="spellEnd"/>
      <w:r w:rsidR="00342793">
        <w:rPr>
          <w:rFonts w:ascii="Arial" w:hAnsi="Arial"/>
          <w:color w:val="1F497D" w:themeColor="text2"/>
        </w:rPr>
        <w:t xml:space="preserve"> Silver-Zinc Project, and it three newly acquired Cobalt Projects.  In the Spring of 2018, Argo Gold added mineral claims to all of its Projects.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BD43CB" w:rsidRPr="00BD43CB" w:rsidRDefault="00BD43CB" w:rsidP="00BD43CB">
      <w:pPr>
        <w:pStyle w:val="List"/>
        <w:spacing w:before="120"/>
        <w:ind w:left="1800"/>
        <w:jc w:val="both"/>
        <w:rPr>
          <w:rFonts w:ascii="Arial" w:hAnsi="Arial"/>
          <w:color w:val="1F497D" w:themeColor="text2"/>
        </w:rPr>
      </w:pPr>
      <w:r w:rsidRPr="00BD43CB">
        <w:rPr>
          <w:rFonts w:ascii="Arial" w:hAnsi="Arial"/>
          <w:color w:val="1F497D" w:themeColor="text2"/>
        </w:rPr>
        <w:t>The Issuer’</w:t>
      </w:r>
      <w:r>
        <w:rPr>
          <w:rFonts w:ascii="Arial" w:hAnsi="Arial"/>
          <w:color w:val="1F497D" w:themeColor="text2"/>
        </w:rPr>
        <w:t>s management is</w:t>
      </w:r>
      <w:r w:rsidRPr="00BD43CB">
        <w:rPr>
          <w:rFonts w:ascii="Arial" w:hAnsi="Arial"/>
          <w:color w:val="1F497D" w:themeColor="text2"/>
        </w:rPr>
        <w:t xml:space="preserve"> involved with the ongoing operations of the company</w:t>
      </w:r>
      <w:r w:rsidR="00342793">
        <w:rPr>
          <w:rFonts w:ascii="Arial" w:hAnsi="Arial"/>
          <w:color w:val="1F497D" w:themeColor="text2"/>
        </w:rPr>
        <w:t>.</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CA28B0" w:rsidRPr="00155097" w:rsidRDefault="00155097" w:rsidP="00CA28B0">
      <w:pPr>
        <w:pStyle w:val="List"/>
        <w:spacing w:before="120"/>
        <w:ind w:left="720" w:firstLine="0"/>
        <w:jc w:val="both"/>
        <w:rPr>
          <w:rFonts w:ascii="Arial" w:hAnsi="Arial"/>
          <w:color w:val="365F91" w:themeColor="accent1" w:themeShade="BF"/>
        </w:rPr>
      </w:pPr>
      <w:r w:rsidRPr="00155097">
        <w:rPr>
          <w:rFonts w:ascii="Arial" w:hAnsi="Arial"/>
          <w:color w:val="365F91" w:themeColor="accent1" w:themeShade="BF"/>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551CC8" w:rsidRPr="00DB7E80" w:rsidRDefault="00DB7E80" w:rsidP="00DB7E80">
      <w:pPr>
        <w:pStyle w:val="List"/>
        <w:spacing w:before="120"/>
        <w:ind w:left="720" w:firstLine="0"/>
        <w:jc w:val="both"/>
        <w:rPr>
          <w:rFonts w:ascii="Arial" w:hAnsi="Arial"/>
          <w:color w:val="1F497D" w:themeColor="text2"/>
        </w:rPr>
      </w:pPr>
      <w:r>
        <w:rPr>
          <w:rFonts w:ascii="Arial" w:hAnsi="Arial"/>
          <w:color w:val="1F497D" w:themeColor="text2"/>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551CC8" w:rsidRPr="00551CC8" w:rsidRDefault="00551CC8" w:rsidP="00551CC8">
      <w:pPr>
        <w:pStyle w:val="List"/>
        <w:spacing w:before="120"/>
        <w:ind w:left="720" w:firstLine="0"/>
        <w:jc w:val="both"/>
        <w:rPr>
          <w:rFonts w:ascii="Arial" w:hAnsi="Arial"/>
          <w:color w:val="1F497D" w:themeColor="text2"/>
        </w:rPr>
      </w:pPr>
      <w:r>
        <w:rPr>
          <w:rFonts w:ascii="Arial" w:hAnsi="Arial"/>
          <w:color w:val="1F497D" w:themeColor="text2"/>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551CC8" w:rsidRPr="00551CC8" w:rsidRDefault="00551CC8" w:rsidP="00551CC8">
      <w:pPr>
        <w:pStyle w:val="List"/>
        <w:spacing w:before="120"/>
        <w:ind w:left="720" w:firstLine="0"/>
        <w:jc w:val="both"/>
        <w:rPr>
          <w:rFonts w:ascii="Arial" w:hAnsi="Arial"/>
          <w:color w:val="1F497D" w:themeColor="text2"/>
        </w:rPr>
      </w:pPr>
      <w:r>
        <w:rPr>
          <w:rFonts w:ascii="Arial" w:hAnsi="Arial"/>
          <w:color w:val="1F497D" w:themeColor="text2"/>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551CC8">
        <w:rPr>
          <w:rFonts w:ascii="Arial" w:hAnsi="Arial"/>
        </w:rPr>
        <w:t>s of the relationship.</w:t>
      </w:r>
    </w:p>
    <w:p w:rsidR="00B34C06" w:rsidRPr="00551CC8" w:rsidRDefault="00551CC8" w:rsidP="00B34C06">
      <w:pPr>
        <w:pStyle w:val="List"/>
        <w:spacing w:before="120"/>
        <w:ind w:left="720" w:firstLine="0"/>
        <w:jc w:val="both"/>
        <w:rPr>
          <w:rFonts w:ascii="Arial" w:hAnsi="Arial"/>
          <w:color w:val="1F497D" w:themeColor="text2"/>
        </w:rPr>
      </w:pPr>
      <w:r>
        <w:rPr>
          <w:rFonts w:ascii="Arial" w:hAnsi="Arial"/>
          <w:color w:val="1F497D" w:themeColor="text2"/>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551CC8" w:rsidRPr="00551CC8" w:rsidRDefault="00551CC8" w:rsidP="00551CC8">
      <w:pPr>
        <w:pStyle w:val="List"/>
        <w:spacing w:before="120"/>
        <w:ind w:left="720" w:firstLine="0"/>
        <w:jc w:val="both"/>
        <w:rPr>
          <w:rFonts w:ascii="Arial" w:hAnsi="Arial"/>
          <w:color w:val="1F497D" w:themeColor="text2"/>
        </w:rPr>
      </w:pPr>
      <w:r>
        <w:rPr>
          <w:rFonts w:ascii="Arial" w:hAnsi="Arial"/>
          <w:color w:val="1F497D" w:themeColor="text2"/>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551CC8" w:rsidRPr="00551CC8" w:rsidRDefault="00551CC8" w:rsidP="00551CC8">
      <w:pPr>
        <w:pStyle w:val="List"/>
        <w:spacing w:before="120"/>
        <w:ind w:left="720" w:firstLine="0"/>
        <w:jc w:val="both"/>
        <w:rPr>
          <w:rFonts w:ascii="Arial" w:hAnsi="Arial"/>
          <w:color w:val="1F497D" w:themeColor="text2"/>
        </w:rPr>
      </w:pPr>
      <w:r>
        <w:rPr>
          <w:rFonts w:ascii="Arial" w:hAnsi="Arial"/>
          <w:color w:val="1F497D" w:themeColor="text2"/>
        </w:rPr>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551CC8" w:rsidRPr="00551CC8" w:rsidRDefault="00BC2651" w:rsidP="00551CC8">
      <w:pPr>
        <w:pStyle w:val="List"/>
        <w:spacing w:before="120"/>
        <w:ind w:left="720" w:firstLine="0"/>
        <w:jc w:val="both"/>
        <w:rPr>
          <w:rFonts w:ascii="Arial" w:hAnsi="Arial"/>
          <w:color w:val="1F497D" w:themeColor="text2"/>
        </w:rPr>
      </w:pPr>
      <w:r>
        <w:rPr>
          <w:rFonts w:ascii="Arial" w:hAnsi="Arial"/>
          <w:color w:val="1F497D" w:themeColor="text2"/>
        </w:rPr>
        <w:lastRenderedPageBreak/>
        <w:t>None</w:t>
      </w:r>
      <w:r w:rsidR="00551CC8">
        <w:rPr>
          <w:rFonts w:ascii="Arial" w:hAnsi="Arial"/>
          <w:color w:val="1F497D" w:themeColor="text2"/>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551CC8" w:rsidRPr="00551CC8" w:rsidRDefault="00551CC8" w:rsidP="00551CC8">
      <w:pPr>
        <w:pStyle w:val="List"/>
        <w:spacing w:before="120"/>
        <w:ind w:left="720" w:firstLine="0"/>
        <w:jc w:val="both"/>
        <w:rPr>
          <w:rFonts w:ascii="Arial" w:hAnsi="Arial"/>
          <w:color w:val="1F497D" w:themeColor="text2"/>
        </w:rPr>
      </w:pPr>
      <w:r>
        <w:rPr>
          <w:rFonts w:ascii="Arial" w:hAnsi="Arial"/>
          <w:color w:val="1F497D" w:themeColor="text2"/>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551CC8" w:rsidRPr="00551CC8" w:rsidRDefault="00551CC8" w:rsidP="00551CC8">
      <w:pPr>
        <w:pStyle w:val="List"/>
        <w:spacing w:before="120"/>
        <w:ind w:left="720" w:firstLine="0"/>
        <w:jc w:val="both"/>
        <w:rPr>
          <w:rFonts w:ascii="Arial" w:hAnsi="Arial"/>
          <w:color w:val="1F497D" w:themeColor="text2"/>
        </w:rPr>
      </w:pPr>
      <w:r>
        <w:rPr>
          <w:rFonts w:ascii="Arial" w:hAnsi="Arial"/>
          <w:color w:val="1F497D" w:themeColor="text2"/>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EE182E" w:rsidRPr="00EE182E" w:rsidRDefault="00EE182E" w:rsidP="00EE182E">
      <w:pPr>
        <w:pStyle w:val="List"/>
        <w:spacing w:before="120"/>
        <w:ind w:left="720"/>
        <w:jc w:val="both"/>
        <w:rPr>
          <w:rFonts w:ascii="Arial" w:hAnsi="Arial"/>
          <w:color w:val="1F497D" w:themeColor="text2"/>
        </w:rPr>
      </w:pPr>
      <w:r>
        <w:rPr>
          <w:rFonts w:ascii="Arial" w:hAnsi="Arial"/>
          <w:color w:val="1F497D" w:themeColor="text2"/>
        </w:rPr>
        <w:t xml:space="preserve">                 </w:t>
      </w:r>
      <w:r w:rsidRPr="00EE182E">
        <w:rPr>
          <w:rFonts w:ascii="Arial" w:hAnsi="Arial"/>
          <w:color w:val="1F497D" w:themeColor="text2"/>
        </w:rPr>
        <w:t>August 3, 2018 – Argo Gold Inc. (“Argo Go</w:t>
      </w:r>
      <w:r>
        <w:rPr>
          <w:rFonts w:ascii="Arial" w:hAnsi="Arial"/>
          <w:color w:val="1F497D" w:themeColor="text2"/>
        </w:rPr>
        <w:t>ld” or the “Company”)</w:t>
      </w:r>
      <w:r w:rsidRPr="00EE182E">
        <w:rPr>
          <w:rFonts w:ascii="Arial" w:hAnsi="Arial"/>
          <w:color w:val="1F497D" w:themeColor="text2"/>
        </w:rPr>
        <w:t xml:space="preserve"> announces that it has settled an aggregate of $38,400 of indebtedness of the Company with various arm’s length creditors through the issuance of an aggregate of 320,000 common shares (“Common Shares”) at a price of $0.12 per Common Shares.</w:t>
      </w:r>
    </w:p>
    <w:p w:rsidR="00551CC8" w:rsidRPr="00551CC8" w:rsidRDefault="00EE182E" w:rsidP="00EE182E">
      <w:pPr>
        <w:pStyle w:val="List"/>
        <w:spacing w:before="120"/>
        <w:ind w:left="720" w:firstLine="0"/>
        <w:jc w:val="both"/>
        <w:rPr>
          <w:rFonts w:ascii="Arial" w:hAnsi="Arial"/>
          <w:color w:val="1F497D" w:themeColor="text2"/>
        </w:rPr>
      </w:pPr>
      <w:r w:rsidRPr="00EE182E">
        <w:rPr>
          <w:rFonts w:ascii="Arial" w:hAnsi="Arial"/>
          <w:color w:val="1F497D" w:themeColor="text2"/>
        </w:rPr>
        <w:t>The Common Shares issued pursuant to the debt settlement are subject to a four month and one day hold period pursuant to applicable securities laws.</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B34C06" w:rsidRDefault="00B34C06" w:rsidP="00B34C06">
      <w:pPr>
        <w:pStyle w:val="ListParagraph"/>
        <w:autoSpaceDE w:val="0"/>
        <w:autoSpaceDN w:val="0"/>
        <w:adjustRightInd w:val="0"/>
        <w:spacing w:after="120"/>
        <w:jc w:val="both"/>
        <w:rPr>
          <w:rFonts w:cs="Arial"/>
          <w:spacing w:val="-1"/>
        </w:rPr>
      </w:pPr>
    </w:p>
    <w:p w:rsidR="00640E94" w:rsidRPr="00B34C06" w:rsidRDefault="00EE182E" w:rsidP="00B34C06">
      <w:pPr>
        <w:pStyle w:val="ListParagraph"/>
        <w:autoSpaceDE w:val="0"/>
        <w:autoSpaceDN w:val="0"/>
        <w:adjustRightInd w:val="0"/>
        <w:spacing w:after="120"/>
        <w:jc w:val="both"/>
        <w:rPr>
          <w:rFonts w:ascii="Arial" w:hAnsi="Arial" w:cs="Arial"/>
          <w:color w:val="1F497D" w:themeColor="text2"/>
          <w:spacing w:val="-1"/>
          <w:sz w:val="24"/>
          <w:szCs w:val="24"/>
        </w:rPr>
      </w:pPr>
      <w:r>
        <w:rPr>
          <w:rFonts w:ascii="Arial" w:hAnsi="Arial" w:cs="Arial"/>
          <w:color w:val="1F497D" w:themeColor="text2"/>
          <w:spacing w:val="-1"/>
          <w:sz w:val="24"/>
          <w:szCs w:val="24"/>
        </w:rPr>
        <w:t>See # 13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Tr="00342793">
        <w:tc>
          <w:tcPr>
            <w:tcW w:w="2394" w:type="dxa"/>
          </w:tcPr>
          <w:p w:rsidR="00640E94" w:rsidRPr="00342793" w:rsidRDefault="00640E94">
            <w:pPr>
              <w:pStyle w:val="List"/>
              <w:tabs>
                <w:tab w:val="left" w:pos="360"/>
              </w:tabs>
              <w:spacing w:before="0" w:line="280" w:lineRule="exact"/>
              <w:ind w:left="0" w:firstLine="0"/>
              <w:jc w:val="center"/>
              <w:rPr>
                <w:rFonts w:ascii="Arial" w:hAnsi="Arial"/>
                <w:b/>
                <w:color w:val="1F497D" w:themeColor="text2"/>
              </w:rPr>
            </w:pPr>
            <w:r w:rsidRPr="00342793">
              <w:rPr>
                <w:rFonts w:ascii="Arial" w:hAnsi="Arial"/>
                <w:b/>
                <w:color w:val="1F497D" w:themeColor="text2"/>
              </w:rPr>
              <w:t>Security</w:t>
            </w:r>
          </w:p>
        </w:tc>
        <w:tc>
          <w:tcPr>
            <w:tcW w:w="2394" w:type="dxa"/>
          </w:tcPr>
          <w:p w:rsidR="00640E94" w:rsidRPr="00342793" w:rsidRDefault="00640E94">
            <w:pPr>
              <w:pStyle w:val="List"/>
              <w:tabs>
                <w:tab w:val="left" w:pos="360"/>
              </w:tabs>
              <w:spacing w:before="0" w:line="280" w:lineRule="exact"/>
              <w:ind w:left="0" w:firstLine="0"/>
              <w:jc w:val="center"/>
              <w:rPr>
                <w:rFonts w:ascii="Arial" w:hAnsi="Arial"/>
                <w:b/>
                <w:color w:val="1F497D" w:themeColor="text2"/>
              </w:rPr>
            </w:pPr>
            <w:r w:rsidRPr="00342793">
              <w:rPr>
                <w:rFonts w:ascii="Arial" w:hAnsi="Arial"/>
                <w:b/>
                <w:color w:val="1F497D" w:themeColor="text2"/>
              </w:rPr>
              <w:t>Number Issued</w:t>
            </w:r>
          </w:p>
        </w:tc>
        <w:tc>
          <w:tcPr>
            <w:tcW w:w="2394" w:type="dxa"/>
          </w:tcPr>
          <w:p w:rsidR="00640E94" w:rsidRPr="00342793" w:rsidRDefault="00640E94">
            <w:pPr>
              <w:pStyle w:val="List"/>
              <w:tabs>
                <w:tab w:val="left" w:pos="360"/>
              </w:tabs>
              <w:spacing w:before="0" w:line="280" w:lineRule="exact"/>
              <w:ind w:left="0" w:firstLine="0"/>
              <w:jc w:val="center"/>
              <w:rPr>
                <w:rFonts w:ascii="Arial" w:hAnsi="Arial"/>
                <w:b/>
                <w:color w:val="1F497D" w:themeColor="text2"/>
              </w:rPr>
            </w:pPr>
            <w:r w:rsidRPr="00342793">
              <w:rPr>
                <w:rFonts w:ascii="Arial" w:hAnsi="Arial"/>
                <w:b/>
                <w:color w:val="1F497D" w:themeColor="text2"/>
              </w:rPr>
              <w:t>Details of Issuance</w:t>
            </w:r>
          </w:p>
        </w:tc>
        <w:tc>
          <w:tcPr>
            <w:tcW w:w="2394" w:type="dxa"/>
          </w:tcPr>
          <w:p w:rsidR="00640E94" w:rsidRPr="00342793" w:rsidRDefault="00640E94">
            <w:pPr>
              <w:pStyle w:val="List"/>
              <w:tabs>
                <w:tab w:val="left" w:pos="360"/>
              </w:tabs>
              <w:spacing w:before="0" w:line="280" w:lineRule="exact"/>
              <w:ind w:left="0" w:firstLine="0"/>
              <w:jc w:val="center"/>
              <w:rPr>
                <w:rFonts w:ascii="Arial" w:hAnsi="Arial"/>
                <w:b/>
                <w:color w:val="1F497D" w:themeColor="text2"/>
              </w:rPr>
            </w:pPr>
            <w:r w:rsidRPr="00342793">
              <w:rPr>
                <w:rFonts w:ascii="Arial" w:hAnsi="Arial"/>
                <w:b/>
                <w:color w:val="1F497D" w:themeColor="text2"/>
              </w:rPr>
              <w:t>Use of Proceeds</w:t>
            </w:r>
          </w:p>
        </w:tc>
      </w:tr>
      <w:tr w:rsidR="00640E94" w:rsidTr="00342793">
        <w:trPr>
          <w:trHeight w:val="230"/>
        </w:trPr>
        <w:tc>
          <w:tcPr>
            <w:tcW w:w="2394" w:type="dxa"/>
          </w:tcPr>
          <w:p w:rsidR="00640E94" w:rsidRPr="00342793" w:rsidRDefault="00EE182E">
            <w:pPr>
              <w:pStyle w:val="List"/>
              <w:tabs>
                <w:tab w:val="left" w:pos="360"/>
              </w:tabs>
              <w:spacing w:before="0" w:line="280" w:lineRule="exact"/>
              <w:ind w:left="0" w:firstLine="0"/>
              <w:jc w:val="both"/>
              <w:rPr>
                <w:rFonts w:ascii="Arial" w:hAnsi="Arial"/>
                <w:color w:val="1F497D" w:themeColor="text2"/>
              </w:rPr>
            </w:pPr>
            <w:r w:rsidRPr="00342793">
              <w:rPr>
                <w:rFonts w:ascii="Arial" w:hAnsi="Arial"/>
                <w:color w:val="1F497D" w:themeColor="text2"/>
              </w:rPr>
              <w:t>Common Shares</w:t>
            </w:r>
          </w:p>
        </w:tc>
        <w:tc>
          <w:tcPr>
            <w:tcW w:w="2394" w:type="dxa"/>
          </w:tcPr>
          <w:p w:rsidR="00640E94" w:rsidRPr="00342793" w:rsidRDefault="00EE182E">
            <w:pPr>
              <w:pStyle w:val="List"/>
              <w:tabs>
                <w:tab w:val="left" w:pos="360"/>
              </w:tabs>
              <w:spacing w:before="0" w:line="280" w:lineRule="exact"/>
              <w:ind w:left="0" w:firstLine="0"/>
              <w:jc w:val="both"/>
              <w:rPr>
                <w:rFonts w:ascii="Arial" w:hAnsi="Arial"/>
                <w:color w:val="1F497D" w:themeColor="text2"/>
              </w:rPr>
            </w:pPr>
            <w:r w:rsidRPr="00342793">
              <w:rPr>
                <w:rFonts w:ascii="Arial" w:hAnsi="Arial"/>
                <w:color w:val="1F497D" w:themeColor="text2"/>
              </w:rPr>
              <w:t xml:space="preserve">        320,000</w:t>
            </w:r>
          </w:p>
        </w:tc>
        <w:tc>
          <w:tcPr>
            <w:tcW w:w="2394" w:type="dxa"/>
          </w:tcPr>
          <w:p w:rsidR="00640E94" w:rsidRPr="00342793" w:rsidRDefault="00EE182E">
            <w:pPr>
              <w:pStyle w:val="List"/>
              <w:tabs>
                <w:tab w:val="left" w:pos="360"/>
              </w:tabs>
              <w:spacing w:before="0" w:line="280" w:lineRule="exact"/>
              <w:ind w:left="0" w:firstLine="0"/>
              <w:jc w:val="both"/>
              <w:rPr>
                <w:rFonts w:ascii="Arial" w:hAnsi="Arial"/>
                <w:color w:val="1F497D" w:themeColor="text2"/>
              </w:rPr>
            </w:pPr>
            <w:r w:rsidRPr="00342793">
              <w:rPr>
                <w:rFonts w:ascii="Arial" w:hAnsi="Arial"/>
                <w:color w:val="1F497D" w:themeColor="text2"/>
              </w:rPr>
              <w:t>Debt for Equity</w:t>
            </w:r>
          </w:p>
        </w:tc>
        <w:tc>
          <w:tcPr>
            <w:tcW w:w="2394" w:type="dxa"/>
          </w:tcPr>
          <w:p w:rsidR="00640E94" w:rsidRPr="00342793" w:rsidRDefault="00914D55" w:rsidP="00155097">
            <w:pPr>
              <w:pStyle w:val="List"/>
              <w:tabs>
                <w:tab w:val="left" w:pos="360"/>
              </w:tabs>
              <w:spacing w:before="0" w:line="280" w:lineRule="exact"/>
              <w:ind w:left="0" w:firstLine="0"/>
              <w:jc w:val="both"/>
              <w:rPr>
                <w:rFonts w:ascii="Arial" w:hAnsi="Arial"/>
                <w:color w:val="1F497D" w:themeColor="text2"/>
              </w:rPr>
            </w:pPr>
            <w:r w:rsidRPr="00342793">
              <w:rPr>
                <w:rFonts w:ascii="Arial" w:hAnsi="Arial"/>
                <w:color w:val="1F497D" w:themeColor="text2"/>
              </w:rPr>
              <w:t xml:space="preserve"> </w:t>
            </w:r>
            <w:r w:rsidR="00EE182E" w:rsidRPr="00342793">
              <w:rPr>
                <w:rFonts w:ascii="Arial" w:hAnsi="Arial"/>
                <w:color w:val="1F497D" w:themeColor="text2"/>
              </w:rPr>
              <w:t xml:space="preserve">Reduce A/P Trade </w:t>
            </w:r>
          </w:p>
        </w:tc>
      </w:tr>
    </w:tbl>
    <w:p w:rsidR="00640E94" w:rsidRPr="00342793" w:rsidRDefault="00640E94" w:rsidP="00342793">
      <w:pPr>
        <w:pStyle w:val="List"/>
        <w:tabs>
          <w:tab w:val="left" w:pos="360"/>
        </w:tabs>
        <w:spacing w:before="120"/>
        <w:ind w:left="720" w:firstLine="0"/>
        <w:jc w:val="both"/>
        <w:rPr>
          <w:rFonts w:ascii="Arial" w:hAnsi="Arial"/>
          <w:sz w:val="18"/>
          <w:szCs w:val="18"/>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51CC8" w:rsidRPr="00551CC8" w:rsidRDefault="00551CC8" w:rsidP="00551CC8">
      <w:pPr>
        <w:pStyle w:val="List"/>
        <w:keepNext/>
        <w:keepLines/>
        <w:spacing w:before="120"/>
        <w:ind w:left="720" w:firstLine="0"/>
        <w:jc w:val="both"/>
        <w:rPr>
          <w:rFonts w:ascii="Arial" w:hAnsi="Arial"/>
          <w:color w:val="1F497D" w:themeColor="text2"/>
        </w:rPr>
      </w:pPr>
      <w:r>
        <w:rPr>
          <w:rFonts w:ascii="Arial" w:hAnsi="Arial"/>
          <w:color w:val="1F497D" w:themeColor="text2"/>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51CC8" w:rsidRPr="00551CC8" w:rsidRDefault="00BC2651" w:rsidP="00551CC8">
      <w:pPr>
        <w:pStyle w:val="List"/>
        <w:spacing w:before="120"/>
        <w:ind w:left="720" w:firstLine="0"/>
        <w:jc w:val="both"/>
        <w:rPr>
          <w:rFonts w:ascii="Arial" w:hAnsi="Arial"/>
          <w:color w:val="1F497D" w:themeColor="text2"/>
        </w:rPr>
      </w:pPr>
      <w:r>
        <w:rPr>
          <w:rFonts w:ascii="Arial" w:hAnsi="Arial"/>
          <w:color w:val="1F497D" w:themeColor="text2"/>
        </w:rPr>
        <w:t>None</w:t>
      </w:r>
      <w:r w:rsidR="00551CC8">
        <w:rPr>
          <w:rFonts w:ascii="Arial" w:hAnsi="Arial"/>
          <w:color w:val="1F497D" w:themeColor="text2"/>
        </w:rPr>
        <w:t>.</w:t>
      </w:r>
    </w:p>
    <w:p w:rsidR="00B34C06" w:rsidRDefault="00640E94" w:rsidP="00B34C06">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w:t>
      </w:r>
      <w:r w:rsidR="00B34C06">
        <w:rPr>
          <w:rFonts w:ascii="Arial" w:hAnsi="Arial"/>
        </w:rPr>
        <w:t xml:space="preserve"> or political/regulatory trends</w:t>
      </w:r>
    </w:p>
    <w:p w:rsidR="00B34C06" w:rsidRPr="00B34C06" w:rsidRDefault="00551CC8" w:rsidP="00342793">
      <w:pPr>
        <w:pStyle w:val="List"/>
        <w:spacing w:before="120"/>
        <w:ind w:left="720" w:firstLine="0"/>
        <w:jc w:val="both"/>
        <w:rPr>
          <w:rFonts w:ascii="Arial" w:hAnsi="Arial"/>
        </w:rPr>
      </w:pPr>
      <w:r w:rsidRPr="00B34C06">
        <w:rPr>
          <w:rFonts w:ascii="Arial" w:hAnsi="Arial"/>
          <w:color w:val="1F497D" w:themeColor="text2"/>
        </w:rPr>
        <w:t>There are no regulatory or political trends that affect the issuer.</w:t>
      </w:r>
    </w:p>
    <w:p w:rsidR="00B34C06" w:rsidRDefault="00B34C06" w:rsidP="00B34C06">
      <w:pPr>
        <w:pStyle w:val="List"/>
        <w:spacing w:before="120"/>
        <w:ind w:left="720" w:firstLine="0"/>
        <w:jc w:val="both"/>
        <w:rPr>
          <w:rFonts w:ascii="Arial" w:hAnsi="Arial"/>
          <w:b/>
        </w:rPr>
      </w:pPr>
    </w:p>
    <w:p w:rsidR="00155097" w:rsidRDefault="00155097" w:rsidP="00B34C06">
      <w:pPr>
        <w:pStyle w:val="List"/>
        <w:spacing w:before="120"/>
        <w:ind w:left="720" w:firstLine="0"/>
        <w:jc w:val="both"/>
        <w:rPr>
          <w:rFonts w:ascii="Arial" w:hAnsi="Arial"/>
          <w:b/>
        </w:rPr>
      </w:pPr>
    </w:p>
    <w:p w:rsidR="00155097" w:rsidRDefault="00155097" w:rsidP="00B34C06">
      <w:pPr>
        <w:pStyle w:val="List"/>
        <w:spacing w:before="120"/>
        <w:ind w:left="720" w:firstLine="0"/>
        <w:jc w:val="both"/>
        <w:rPr>
          <w:rFonts w:ascii="Arial" w:hAnsi="Arial"/>
          <w:b/>
        </w:rPr>
      </w:pPr>
    </w:p>
    <w:p w:rsidR="00EE182E" w:rsidRDefault="00EE182E" w:rsidP="00B34C06">
      <w:pPr>
        <w:pStyle w:val="List"/>
        <w:spacing w:before="120"/>
        <w:ind w:left="720" w:firstLine="0"/>
        <w:jc w:val="both"/>
        <w:rPr>
          <w:rFonts w:ascii="Arial" w:hAnsi="Arial"/>
          <w:b/>
        </w:rPr>
      </w:pPr>
    </w:p>
    <w:p w:rsidR="00EE182E" w:rsidRDefault="00EE182E" w:rsidP="00B34C06">
      <w:pPr>
        <w:pStyle w:val="List"/>
        <w:spacing w:before="120"/>
        <w:ind w:left="720" w:firstLine="0"/>
        <w:jc w:val="both"/>
        <w:rPr>
          <w:rFonts w:ascii="Arial" w:hAnsi="Arial"/>
          <w:b/>
        </w:rPr>
      </w:pPr>
    </w:p>
    <w:p w:rsidR="00342793" w:rsidRDefault="00342793">
      <w:pPr>
        <w:rPr>
          <w:rFonts w:ascii="Arial" w:hAnsi="Arial"/>
          <w:b/>
          <w:sz w:val="24"/>
          <w:lang w:val="en-GB"/>
        </w:rPr>
      </w:pPr>
      <w:r>
        <w:rPr>
          <w:rFonts w:ascii="Arial" w:hAnsi="Arial"/>
          <w:b/>
        </w:rPr>
        <w:br w:type="page"/>
      </w:r>
    </w:p>
    <w:p w:rsidR="00EE182E" w:rsidRDefault="00EE182E" w:rsidP="00B34C06">
      <w:pPr>
        <w:pStyle w:val="List"/>
        <w:spacing w:before="120"/>
        <w:ind w:left="720" w:firstLine="0"/>
        <w:jc w:val="both"/>
        <w:rPr>
          <w:rFonts w:ascii="Arial" w:hAnsi="Arial"/>
          <w:b/>
        </w:rPr>
      </w:pPr>
    </w:p>
    <w:p w:rsidR="00EE182E" w:rsidRDefault="00EE182E" w:rsidP="00B34C06">
      <w:pPr>
        <w:pStyle w:val="List"/>
        <w:spacing w:before="120"/>
        <w:ind w:left="720" w:firstLine="0"/>
        <w:jc w:val="both"/>
        <w:rPr>
          <w:rFonts w:ascii="Arial" w:hAnsi="Arial"/>
          <w:b/>
        </w:rPr>
      </w:pPr>
    </w:p>
    <w:p w:rsidR="00155097" w:rsidRDefault="00155097" w:rsidP="00B34C06">
      <w:pPr>
        <w:pStyle w:val="List"/>
        <w:spacing w:before="120"/>
        <w:ind w:left="720" w:firstLine="0"/>
        <w:jc w:val="both"/>
        <w:rPr>
          <w:rFonts w:ascii="Arial" w:hAnsi="Arial"/>
          <w:b/>
        </w:rPr>
      </w:pPr>
    </w:p>
    <w:p w:rsidR="00155097" w:rsidRDefault="00155097" w:rsidP="00B34C06">
      <w:pPr>
        <w:pStyle w:val="List"/>
        <w:spacing w:before="120"/>
        <w:ind w:left="720" w:firstLine="0"/>
        <w:jc w:val="both"/>
        <w:rPr>
          <w:rFonts w:ascii="Arial" w:hAnsi="Arial"/>
          <w:b/>
        </w:rPr>
      </w:pPr>
    </w:p>
    <w:p w:rsidR="00640E94" w:rsidRPr="00B34C06" w:rsidRDefault="00640E94" w:rsidP="00B34C06">
      <w:pPr>
        <w:pStyle w:val="List"/>
        <w:spacing w:before="120"/>
        <w:ind w:left="720" w:firstLine="0"/>
        <w:jc w:val="both"/>
        <w:rPr>
          <w:rFonts w:ascii="Arial" w:hAnsi="Arial"/>
          <w:color w:val="1F497D" w:themeColor="text2"/>
        </w:rPr>
      </w:pPr>
      <w:r>
        <w:rPr>
          <w:rFonts w:ascii="Arial" w:hAnsi="Arial"/>
          <w:b/>
        </w:rPr>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342793">
        <w:rPr>
          <w:rFonts w:ascii="Arial" w:hAnsi="Arial"/>
          <w:u w:val="single"/>
        </w:rPr>
        <w:t>September 4, 201</w:t>
      </w:r>
      <w:r w:rsidR="00DB7E80">
        <w:rPr>
          <w:rFonts w:ascii="Arial" w:hAnsi="Arial"/>
          <w:u w:val="single"/>
        </w:rPr>
        <w:t>8</w:t>
      </w:r>
    </w:p>
    <w:p w:rsidR="00640E94" w:rsidRDefault="00640E94">
      <w:pPr>
        <w:pStyle w:val="List"/>
        <w:tabs>
          <w:tab w:val="left" w:pos="9180"/>
        </w:tabs>
        <w:ind w:left="5760" w:hanging="5760"/>
        <w:rPr>
          <w:rFonts w:ascii="Arial" w:hAnsi="Arial"/>
        </w:rPr>
      </w:pPr>
      <w:r>
        <w:rPr>
          <w:rFonts w:ascii="Arial" w:hAnsi="Arial"/>
        </w:rPr>
        <w:tab/>
      </w:r>
      <w:r w:rsidR="00DB7E80" w:rsidRPr="00DB7E80">
        <w:rPr>
          <w:rFonts w:ascii="Arial" w:hAnsi="Arial"/>
          <w:u w:val="single"/>
        </w:rPr>
        <w:t>Ken J. Storey</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BC2651" w:rsidRPr="00BC2651">
        <w:rPr>
          <w:rFonts w:ascii="Arial" w:hAnsi="Arial"/>
          <w:i/>
        </w:rPr>
        <w:t>(Ken J Storey)</w:t>
      </w:r>
      <w:r>
        <w:rPr>
          <w:rFonts w:ascii="Arial" w:hAnsi="Arial"/>
          <w:u w:val="single"/>
        </w:rPr>
        <w:tab/>
      </w:r>
      <w:r>
        <w:rPr>
          <w:rFonts w:ascii="Arial" w:hAnsi="Arial"/>
        </w:rPr>
        <w:br/>
        <w:t>Signature</w:t>
      </w:r>
    </w:p>
    <w:p w:rsidR="00640E94" w:rsidRDefault="00DB7E8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DB7E80">
            <w:pPr>
              <w:pStyle w:val="BodyText"/>
              <w:rPr>
                <w:rFonts w:ascii="Arial" w:hAnsi="Arial"/>
              </w:rPr>
            </w:pPr>
            <w:r>
              <w:rPr>
                <w:rFonts w:ascii="Arial" w:hAnsi="Arial"/>
              </w:rPr>
              <w:t>Argo Gold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DB7E80" w:rsidRDefault="00EE182E">
            <w:pPr>
              <w:pStyle w:val="BodyText"/>
              <w:spacing w:before="0"/>
              <w:rPr>
                <w:rFonts w:ascii="Arial" w:hAnsi="Arial"/>
              </w:rPr>
            </w:pPr>
            <w:r>
              <w:rPr>
                <w:rFonts w:ascii="Arial" w:hAnsi="Arial"/>
              </w:rPr>
              <w:t>August</w:t>
            </w:r>
            <w:r w:rsidR="00DB7E80">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DB7E80" w:rsidRDefault="00EE182E">
            <w:pPr>
              <w:pStyle w:val="BodyText"/>
              <w:spacing w:before="0"/>
              <w:rPr>
                <w:rFonts w:ascii="Arial" w:hAnsi="Arial"/>
              </w:rPr>
            </w:pPr>
            <w:r>
              <w:rPr>
                <w:rFonts w:ascii="Arial" w:hAnsi="Arial"/>
              </w:rPr>
              <w:t>18/</w:t>
            </w:r>
            <w:r w:rsidR="00342793">
              <w:rPr>
                <w:rFonts w:ascii="Arial" w:hAnsi="Arial"/>
              </w:rPr>
              <w:t>09/04</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DB7E80">
            <w:pPr>
              <w:pStyle w:val="BodyText"/>
              <w:spacing w:before="0"/>
              <w:rPr>
                <w:rFonts w:ascii="Arial" w:hAnsi="Arial"/>
              </w:rPr>
            </w:pPr>
            <w:r>
              <w:rPr>
                <w:rFonts w:ascii="Arial" w:hAnsi="Arial"/>
              </w:rPr>
              <w:t>365 Bay Street Suite 400</w:t>
            </w:r>
          </w:p>
          <w:p w:rsidR="00640E94" w:rsidRDefault="00640E94" w:rsidP="00DB7E80">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DB7E80">
            <w:pPr>
              <w:pStyle w:val="BodyText"/>
              <w:spacing w:before="0"/>
              <w:rPr>
                <w:rFonts w:ascii="Arial" w:hAnsi="Arial"/>
              </w:rPr>
            </w:pPr>
            <w:r>
              <w:rPr>
                <w:rFonts w:ascii="Arial" w:hAnsi="Arial"/>
              </w:rPr>
              <w:t>Toronto, Ont. M5H-2V1</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DB7E80">
            <w:pPr>
              <w:pStyle w:val="BodyText"/>
              <w:spacing w:before="0"/>
              <w:rPr>
                <w:rFonts w:ascii="Arial" w:hAnsi="Arial"/>
              </w:rPr>
            </w:pPr>
            <w:r>
              <w:rPr>
                <w:rFonts w:ascii="Arial" w:hAnsi="Arial"/>
              </w:rPr>
              <w:t>(</w:t>
            </w:r>
            <w:r w:rsidR="00DB7E80">
              <w:rPr>
                <w:rFonts w:ascii="Arial" w:hAnsi="Arial"/>
              </w:rPr>
              <w:t>416</w:t>
            </w:r>
            <w:r>
              <w:rPr>
                <w:rFonts w:ascii="Arial" w:hAnsi="Arial"/>
              </w:rPr>
              <w:t>)</w:t>
            </w:r>
            <w:r w:rsidR="00DB7E80">
              <w:rPr>
                <w:rFonts w:ascii="Arial" w:hAnsi="Arial"/>
              </w:rPr>
              <w:t xml:space="preserve"> 361-2519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DB7E80">
              <w:rPr>
                <w:rFonts w:ascii="Arial" w:hAnsi="Arial"/>
              </w:rPr>
              <w:t>905</w:t>
            </w:r>
            <w:r>
              <w:rPr>
                <w:rFonts w:ascii="Arial" w:hAnsi="Arial"/>
              </w:rPr>
              <w:t>)</w:t>
            </w:r>
            <w:r w:rsidR="00DB7E80">
              <w:rPr>
                <w:rFonts w:ascii="Arial" w:hAnsi="Arial"/>
              </w:rPr>
              <w:t xml:space="preserve"> 301-3404</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DB7E80">
            <w:pPr>
              <w:pStyle w:val="BodyText"/>
              <w:spacing w:before="0"/>
              <w:rPr>
                <w:rFonts w:ascii="Arial" w:hAnsi="Arial"/>
              </w:rPr>
            </w:pPr>
            <w:r>
              <w:rPr>
                <w:rFonts w:ascii="Arial" w:hAnsi="Arial"/>
              </w:rPr>
              <w:lastRenderedPageBreak/>
              <w:t>Ken J. Storey</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lastRenderedPageBreak/>
              <w:t>Contact Position</w:t>
            </w:r>
          </w:p>
          <w:p w:rsidR="00DB7E80" w:rsidRDefault="00DB7E80">
            <w:pPr>
              <w:pStyle w:val="BodyText"/>
              <w:spacing w:before="0"/>
              <w:rPr>
                <w:rFonts w:ascii="Arial" w:hAnsi="Arial"/>
              </w:rPr>
            </w:pPr>
            <w:r>
              <w:rPr>
                <w:rFonts w:ascii="Arial" w:hAnsi="Arial"/>
              </w:rPr>
              <w:lastRenderedPageBreak/>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lastRenderedPageBreak/>
              <w:t>Contact Telephone No.</w:t>
            </w:r>
          </w:p>
          <w:p w:rsidR="00DB7E80" w:rsidRDefault="00DB7E80">
            <w:pPr>
              <w:pStyle w:val="BodyText"/>
              <w:spacing w:before="0"/>
              <w:rPr>
                <w:rFonts w:ascii="Arial" w:hAnsi="Arial"/>
              </w:rPr>
            </w:pPr>
            <w:r>
              <w:rPr>
                <w:rFonts w:ascii="Arial" w:hAnsi="Arial"/>
              </w:rPr>
              <w:t>(905) 301-3404</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BC2651">
            <w:pPr>
              <w:pStyle w:val="BodyText"/>
              <w:spacing w:before="0"/>
              <w:rPr>
                <w:rFonts w:ascii="Arial" w:hAnsi="Arial"/>
              </w:rPr>
            </w:pPr>
            <w:r>
              <w:rPr>
                <w:rFonts w:ascii="Arial" w:hAnsi="Arial"/>
              </w:rPr>
              <w:t>k</w:t>
            </w:r>
            <w:r w:rsidR="00DB7E80">
              <w:rPr>
                <w:rFonts w:ascii="Arial" w:hAnsi="Arial"/>
              </w:rPr>
              <w:t>j.storey@bell.net</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42793">
            <w:pPr>
              <w:pStyle w:val="BodyText"/>
              <w:spacing w:before="0"/>
              <w:rPr>
                <w:rFonts w:ascii="Arial" w:hAnsi="Arial"/>
              </w:rPr>
            </w:pPr>
            <w:hyperlink r:id="rId8" w:history="1">
              <w:r w:rsidRPr="00DE64A1">
                <w:rPr>
                  <w:rStyle w:val="Hyperlink"/>
                  <w:rFonts w:ascii="Arial" w:hAnsi="Arial"/>
                </w:rPr>
                <w:t>www.argogold.ca</w:t>
              </w:r>
            </w:hyperlink>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2F4" w:rsidRDefault="000F62F4">
      <w:r>
        <w:separator/>
      </w:r>
    </w:p>
  </w:endnote>
  <w:endnote w:type="continuationSeparator" w:id="0">
    <w:p w:rsidR="000F62F4" w:rsidRDefault="000F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1EC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E182E">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BF8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2F4" w:rsidRDefault="000F62F4">
      <w:r>
        <w:separator/>
      </w:r>
    </w:p>
  </w:footnote>
  <w:footnote w:type="continuationSeparator" w:id="0">
    <w:p w:rsidR="000F62F4" w:rsidRDefault="000F6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148"/>
    <w:multiLevelType w:val="hybridMultilevel"/>
    <w:tmpl w:val="5F18B920"/>
    <w:lvl w:ilvl="0" w:tplc="88165D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A1AB1"/>
    <w:rsid w:val="000F62F4"/>
    <w:rsid w:val="00155097"/>
    <w:rsid w:val="002C281E"/>
    <w:rsid w:val="002F00EB"/>
    <w:rsid w:val="00342793"/>
    <w:rsid w:val="003669A9"/>
    <w:rsid w:val="00371A64"/>
    <w:rsid w:val="00387FA8"/>
    <w:rsid w:val="005453C8"/>
    <w:rsid w:val="00551CC8"/>
    <w:rsid w:val="005F6D8F"/>
    <w:rsid w:val="00620E7F"/>
    <w:rsid w:val="00633ED3"/>
    <w:rsid w:val="00635E9A"/>
    <w:rsid w:val="00640E94"/>
    <w:rsid w:val="006D1A06"/>
    <w:rsid w:val="0076520A"/>
    <w:rsid w:val="00824F26"/>
    <w:rsid w:val="00843585"/>
    <w:rsid w:val="008B7E92"/>
    <w:rsid w:val="008E04F0"/>
    <w:rsid w:val="00914D55"/>
    <w:rsid w:val="00922A46"/>
    <w:rsid w:val="009373B4"/>
    <w:rsid w:val="009A2DD3"/>
    <w:rsid w:val="00A263C1"/>
    <w:rsid w:val="00A47914"/>
    <w:rsid w:val="00B34C06"/>
    <w:rsid w:val="00BC2651"/>
    <w:rsid w:val="00BD43CB"/>
    <w:rsid w:val="00C27A18"/>
    <w:rsid w:val="00C6383E"/>
    <w:rsid w:val="00CA28B0"/>
    <w:rsid w:val="00D41768"/>
    <w:rsid w:val="00DB7E80"/>
    <w:rsid w:val="00DC7ED4"/>
    <w:rsid w:val="00E36141"/>
    <w:rsid w:val="00E83E58"/>
    <w:rsid w:val="00EE182E"/>
    <w:rsid w:val="00F2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B5708CC"/>
  <w15:docId w15:val="{1AA80217-A1FC-48BE-AD49-AB88D633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A28B0"/>
    <w:pPr>
      <w:ind w:left="720"/>
      <w:contextualSpacing/>
    </w:pPr>
  </w:style>
  <w:style w:type="character" w:styleId="Hyperlink">
    <w:name w:val="Hyperlink"/>
    <w:basedOn w:val="DefaultParagraphFont"/>
    <w:uiPriority w:val="99"/>
    <w:unhideWhenUsed/>
    <w:rsid w:val="00342793"/>
    <w:rPr>
      <w:color w:val="0000FF" w:themeColor="hyperlink"/>
      <w:u w:val="single"/>
    </w:rPr>
  </w:style>
  <w:style w:type="character" w:styleId="UnresolvedMention">
    <w:name w:val="Unresolved Mention"/>
    <w:basedOn w:val="DefaultParagraphFont"/>
    <w:uiPriority w:val="99"/>
    <w:semiHidden/>
    <w:unhideWhenUsed/>
    <w:rsid w:val="00342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gogold.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B6D4-924D-4C01-B4BC-2F38905B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Judy Baker</cp:lastModifiedBy>
  <cp:revision>2</cp:revision>
  <cp:lastPrinted>2018-05-31T17:34:00Z</cp:lastPrinted>
  <dcterms:created xsi:type="dcterms:W3CDTF">2018-09-03T15:18:00Z</dcterms:created>
  <dcterms:modified xsi:type="dcterms:W3CDTF">2018-09-03T15:18:00Z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