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40E9066F"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573D4B">
        <w:rPr>
          <w:rFonts w:ascii="Arial" w:eastAsia="Arial" w:hAnsi="Arial" w:cs="Arial"/>
          <w:color w:val="000000"/>
          <w:sz w:val="24"/>
          <w:szCs w:val="24"/>
        </w:rPr>
        <w:t>November</w:t>
      </w:r>
      <w:r w:rsidR="00563FBE">
        <w:rPr>
          <w:rFonts w:ascii="Arial" w:eastAsia="Arial" w:hAnsi="Arial" w:cs="Arial"/>
          <w:color w:val="000000"/>
          <w:sz w:val="24"/>
          <w:szCs w:val="24"/>
        </w:rPr>
        <w:t xml:space="preserve"> 0</w:t>
      </w:r>
      <w:r w:rsidR="00F12218">
        <w:rPr>
          <w:rFonts w:ascii="Arial" w:eastAsia="Arial" w:hAnsi="Arial" w:cs="Arial"/>
          <w:color w:val="000000"/>
          <w:sz w:val="24"/>
          <w:szCs w:val="24"/>
        </w:rPr>
        <w:t>7</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on </w:t>
      </w:r>
      <w:r w:rsidR="00573D4B">
        <w:rPr>
          <w:rFonts w:ascii="Arial" w:eastAsia="Arial" w:hAnsi="Arial" w:cs="Arial"/>
          <w:color w:val="000000"/>
          <w:sz w:val="24"/>
          <w:szCs w:val="24"/>
        </w:rPr>
        <w:t>Octobe</w:t>
      </w:r>
      <w:r w:rsidR="00563FBE">
        <w:rPr>
          <w:rFonts w:ascii="Arial" w:eastAsia="Arial" w:hAnsi="Arial" w:cs="Arial"/>
          <w:color w:val="000000"/>
          <w:sz w:val="24"/>
          <w:szCs w:val="24"/>
        </w:rPr>
        <w:t>r</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34B3CBE5"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573D4B">
        <w:rPr>
          <w:rFonts w:ascii="Arial" w:eastAsia="Arial" w:hAnsi="Arial" w:cs="Arial"/>
          <w:color w:val="000000"/>
          <w:sz w:val="24"/>
          <w:szCs w:val="24"/>
        </w:rPr>
        <w:t>Octobe</w:t>
      </w:r>
      <w:r w:rsidR="00563FBE">
        <w:rPr>
          <w:rFonts w:ascii="Arial" w:eastAsia="Arial" w:hAnsi="Arial" w:cs="Arial"/>
          <w:color w:val="000000"/>
          <w:sz w:val="24"/>
          <w:szCs w:val="24"/>
        </w:rPr>
        <w:t>r</w:t>
      </w:r>
      <w:r w:rsidR="00F5641E">
        <w:rPr>
          <w:rFonts w:ascii="Arial" w:eastAsia="Arial" w:hAnsi="Arial" w:cs="Arial"/>
          <w:color w:val="000000"/>
          <w:sz w:val="24"/>
          <w:szCs w:val="24"/>
        </w:rPr>
        <w:t>,</w:t>
      </w:r>
      <w:r>
        <w:rPr>
          <w:rFonts w:ascii="Arial" w:eastAsia="Arial" w:hAnsi="Arial" w:cs="Arial"/>
          <w:color w:val="000000"/>
          <w:sz w:val="24"/>
          <w:szCs w:val="24"/>
        </w:rPr>
        <w:t xml:space="preserve"> the company was trying to </w:t>
      </w:r>
      <w:r w:rsidR="00F5641E">
        <w:rPr>
          <w:rFonts w:ascii="Arial" w:eastAsia="Arial" w:hAnsi="Arial" w:cs="Arial"/>
          <w:color w:val="000000"/>
          <w:sz w:val="24"/>
          <w:szCs w:val="24"/>
        </w:rPr>
        <w:t>optimiz</w:t>
      </w:r>
      <w:r w:rsidR="00B03177">
        <w:rPr>
          <w:rFonts w:ascii="Arial" w:eastAsia="Arial" w:hAnsi="Arial" w:cs="Arial"/>
          <w:color w:val="000000"/>
          <w:sz w:val="24"/>
          <w:szCs w:val="24"/>
        </w:rPr>
        <w:t>e</w:t>
      </w:r>
      <w:r w:rsidR="00F5641E">
        <w:rPr>
          <w:rFonts w:ascii="Arial" w:eastAsia="Arial" w:hAnsi="Arial" w:cs="Arial"/>
          <w:color w:val="000000"/>
          <w:sz w:val="24"/>
          <w:szCs w:val="24"/>
        </w:rPr>
        <w:t xml:space="preserve"> its business</w:t>
      </w:r>
      <w:r w:rsidR="00B03177">
        <w:rPr>
          <w:rFonts w:ascii="Arial" w:eastAsia="Arial" w:hAnsi="Arial" w:cs="Arial"/>
          <w:color w:val="000000"/>
          <w:sz w:val="24"/>
          <w:szCs w:val="24"/>
        </w:rPr>
        <w:t xml:space="preserve"> to reflect the current market conditions.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76174037"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management is actively </w:t>
      </w:r>
      <w:r w:rsidR="00937ADD">
        <w:rPr>
          <w:rFonts w:ascii="Arial" w:eastAsia="Arial" w:hAnsi="Arial" w:cs="Arial"/>
          <w:color w:val="000000"/>
          <w:sz w:val="24"/>
          <w:szCs w:val="24"/>
        </w:rPr>
        <w:t>looking for opportunities in the US market.</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4ADFC754" w:rsidR="00360A38" w:rsidRPr="00360A38" w:rsidRDefault="00573D4B"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E6FE97" w14:textId="684B131F" w:rsidR="00054712" w:rsidRDefault="0084413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After closing its Canadian subsidiary MSC in September 2022, </w:t>
      </w:r>
      <w:proofErr w:type="spellStart"/>
      <w:r>
        <w:rPr>
          <w:rFonts w:ascii="Arial" w:eastAsia="Arial" w:hAnsi="Arial" w:cs="Arial"/>
          <w:color w:val="000000"/>
          <w:sz w:val="24"/>
          <w:szCs w:val="24"/>
        </w:rPr>
        <w:t>SteepHill</w:t>
      </w:r>
      <w:proofErr w:type="spellEnd"/>
      <w:r>
        <w:rPr>
          <w:rFonts w:ascii="Arial" w:eastAsia="Arial" w:hAnsi="Arial" w:cs="Arial"/>
          <w:color w:val="000000"/>
          <w:sz w:val="24"/>
          <w:szCs w:val="24"/>
        </w:rPr>
        <w:t xml:space="preserve"> has filed for the bankruptcy of MSC in October.  </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A76996"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143E96" w:rsidRPr="00143E96">
        <w:rPr>
          <w:rFonts w:ascii="Arial" w:eastAsia="Arial" w:hAnsi="Arial" w:cs="Arial"/>
          <w:color w:val="000000"/>
          <w:sz w:val="24"/>
          <w:szCs w:val="24"/>
        </w:rPr>
        <w:t>.</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638C6586" w:rsidR="003C18DC" w:rsidRPr="00573D4B" w:rsidRDefault="004C592A" w:rsidP="00573D4B">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The Company’s AGM </w:t>
      </w:r>
      <w:r w:rsidR="00573D4B">
        <w:rPr>
          <w:rFonts w:ascii="Arial" w:eastAsia="Arial" w:hAnsi="Arial" w:cs="Arial"/>
          <w:color w:val="000000"/>
          <w:sz w:val="24"/>
          <w:szCs w:val="24"/>
        </w:rPr>
        <w:t>was conducted</w:t>
      </w:r>
      <w:r>
        <w:rPr>
          <w:rFonts w:ascii="Arial" w:eastAsia="Arial" w:hAnsi="Arial" w:cs="Arial"/>
          <w:color w:val="000000"/>
          <w:sz w:val="24"/>
          <w:szCs w:val="24"/>
        </w:rPr>
        <w:t xml:space="preserve"> on October 14</w:t>
      </w:r>
      <w:r w:rsidRPr="004C592A">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w:t>
      </w:r>
      <w:r w:rsidR="00573D4B">
        <w:rPr>
          <w:rFonts w:ascii="Arial" w:eastAsia="Arial" w:hAnsi="Arial" w:cs="Arial"/>
          <w:color w:val="000000"/>
          <w:sz w:val="24"/>
          <w:szCs w:val="24"/>
        </w:rPr>
        <w:t>the following</w:t>
      </w:r>
      <w:r>
        <w:rPr>
          <w:rFonts w:ascii="Arial" w:eastAsia="Arial" w:hAnsi="Arial" w:cs="Arial"/>
          <w:color w:val="000000"/>
          <w:sz w:val="24"/>
          <w:szCs w:val="24"/>
        </w:rPr>
        <w:t xml:space="preserve"> directors w</w:t>
      </w:r>
      <w:r w:rsidR="00573D4B">
        <w:rPr>
          <w:rFonts w:ascii="Arial" w:eastAsia="Arial" w:hAnsi="Arial" w:cs="Arial"/>
          <w:color w:val="000000"/>
          <w:sz w:val="24"/>
          <w:szCs w:val="24"/>
        </w:rPr>
        <w:t xml:space="preserve">ere </w:t>
      </w:r>
      <w:r>
        <w:rPr>
          <w:rFonts w:ascii="Arial" w:eastAsia="Arial" w:hAnsi="Arial" w:cs="Arial"/>
          <w:color w:val="000000"/>
          <w:sz w:val="24"/>
          <w:szCs w:val="24"/>
        </w:rPr>
        <w:t>elected</w:t>
      </w:r>
      <w:r w:rsidR="00573D4B">
        <w:rPr>
          <w:rFonts w:ascii="Arial" w:eastAsia="Arial" w:hAnsi="Arial" w:cs="Arial"/>
          <w:color w:val="000000"/>
          <w:sz w:val="24"/>
          <w:szCs w:val="24"/>
        </w:rPr>
        <w:t xml:space="preserve">: Ian Morton, Sameet Kanade, David Walters, Anthony </w:t>
      </w:r>
      <w:proofErr w:type="spellStart"/>
      <w:r w:rsidR="00573D4B">
        <w:rPr>
          <w:rFonts w:ascii="Arial" w:eastAsia="Arial" w:hAnsi="Arial" w:cs="Arial"/>
          <w:color w:val="000000"/>
          <w:sz w:val="24"/>
          <w:szCs w:val="24"/>
        </w:rPr>
        <w:t>Viele</w:t>
      </w:r>
      <w:proofErr w:type="spellEnd"/>
      <w:r w:rsidR="00573D4B">
        <w:rPr>
          <w:rFonts w:ascii="Arial" w:eastAsia="Arial" w:hAnsi="Arial" w:cs="Arial"/>
          <w:color w:val="000000"/>
          <w:sz w:val="24"/>
          <w:szCs w:val="24"/>
        </w:rPr>
        <w:t xml:space="preserve">, </w:t>
      </w:r>
      <w:r w:rsidR="00573D4B" w:rsidRPr="00573D4B">
        <w:rPr>
          <w:rFonts w:ascii="Arial" w:eastAsia="Arial" w:hAnsi="Arial" w:cs="Arial"/>
          <w:color w:val="000000"/>
          <w:sz w:val="24"/>
          <w:szCs w:val="24"/>
        </w:rPr>
        <w:t>Jane Wright-Mitchell</w:t>
      </w:r>
      <w:r w:rsidR="00573D4B">
        <w:rPr>
          <w:rFonts w:ascii="Arial" w:eastAsia="Arial" w:hAnsi="Arial" w:cs="Arial"/>
          <w:color w:val="000000"/>
          <w:sz w:val="24"/>
          <w:szCs w:val="24"/>
        </w:rPr>
        <w:t xml:space="preserve"> </w:t>
      </w:r>
      <w:r w:rsidRPr="00573D4B">
        <w:rPr>
          <w:rFonts w:ascii="Arial" w:eastAsia="Arial" w:hAnsi="Arial" w:cs="Arial"/>
          <w:color w:val="000000"/>
          <w:sz w:val="24"/>
          <w:szCs w:val="24"/>
        </w:rPr>
        <w:t xml:space="preserve">by the shareholders on this meeting. </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31B4C6D" w14:textId="0319AC23"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573D4B">
        <w:rPr>
          <w:rFonts w:ascii="Arial" w:eastAsia="Arial" w:hAnsi="Arial" w:cs="Arial"/>
          <w:sz w:val="24"/>
          <w:szCs w:val="24"/>
        </w:rPr>
        <w:t>November</w:t>
      </w:r>
      <w:r>
        <w:rPr>
          <w:rFonts w:ascii="Arial" w:eastAsia="Arial" w:hAnsi="Arial" w:cs="Arial"/>
          <w:color w:val="000000"/>
          <w:sz w:val="24"/>
          <w:szCs w:val="24"/>
        </w:rPr>
        <w:t xml:space="preserve"> </w:t>
      </w:r>
      <w:r>
        <w:rPr>
          <w:rFonts w:ascii="Arial" w:eastAsia="Arial" w:hAnsi="Arial" w:cs="Arial"/>
          <w:sz w:val="24"/>
          <w:szCs w:val="24"/>
        </w:rPr>
        <w:t>0</w:t>
      </w:r>
      <w:r w:rsidR="00F12218">
        <w:rPr>
          <w:rFonts w:ascii="Arial" w:eastAsia="Arial" w:hAnsi="Arial" w:cs="Arial"/>
          <w:sz w:val="24"/>
          <w:szCs w:val="24"/>
        </w:rPr>
        <w:t>7</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28A2BE76" w14:textId="77777777" w:rsidR="00573D4B" w:rsidRDefault="00573D4B">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October </w:t>
            </w:r>
          </w:p>
          <w:p w14:paraId="61911806" w14:textId="7E80A76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4CCBFF01" w:rsidR="003C18DC" w:rsidRDefault="00573D4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November</w:t>
            </w:r>
            <w:r w:rsidR="00412CB5">
              <w:rPr>
                <w:rFonts w:ascii="Arial" w:eastAsia="Arial" w:hAnsi="Arial" w:cs="Arial"/>
                <w:color w:val="000000"/>
                <w:sz w:val="24"/>
                <w:szCs w:val="24"/>
              </w:rPr>
              <w:t xml:space="preserve"> </w:t>
            </w:r>
            <w:r w:rsidR="008E54DF">
              <w:rPr>
                <w:rFonts w:ascii="Arial" w:eastAsia="Arial" w:hAnsi="Arial" w:cs="Arial"/>
                <w:color w:val="000000"/>
                <w:sz w:val="24"/>
                <w:szCs w:val="24"/>
              </w:rPr>
              <w:t>0</w:t>
            </w:r>
            <w:r w:rsidR="00F12218">
              <w:rPr>
                <w:rFonts w:ascii="Arial" w:eastAsia="Arial" w:hAnsi="Arial" w:cs="Arial"/>
                <w:color w:val="000000"/>
                <w:sz w:val="24"/>
                <w:szCs w:val="24"/>
              </w:rPr>
              <w:t>7</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( 416 )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r w:rsidR="006F2210">
              <w:rPr>
                <w:rFonts w:ascii="Arial" w:eastAsia="Arial" w:hAnsi="Arial" w:cs="Arial"/>
                <w:color w:val="000000"/>
                <w:sz w:val="24"/>
                <w:szCs w:val="24"/>
              </w:rPr>
              <w:t>416</w:t>
            </w:r>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0AFC" w14:textId="77777777" w:rsidR="00E96E9B" w:rsidRDefault="00E96E9B">
      <w:r>
        <w:separator/>
      </w:r>
    </w:p>
  </w:endnote>
  <w:endnote w:type="continuationSeparator" w:id="0">
    <w:p w14:paraId="3008B21F" w14:textId="77777777" w:rsidR="00E96E9B" w:rsidRDefault="00E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39AC" w14:textId="77777777" w:rsidR="00E96E9B" w:rsidRDefault="00E96E9B">
      <w:r>
        <w:separator/>
      </w:r>
    </w:p>
  </w:footnote>
  <w:footnote w:type="continuationSeparator" w:id="0">
    <w:p w14:paraId="53A98CA7" w14:textId="77777777" w:rsidR="00E96E9B" w:rsidRDefault="00E9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445D5"/>
    <w:rsid w:val="00054712"/>
    <w:rsid w:val="00071ED2"/>
    <w:rsid w:val="000C607F"/>
    <w:rsid w:val="000C692E"/>
    <w:rsid w:val="001341FF"/>
    <w:rsid w:val="00143E96"/>
    <w:rsid w:val="00156859"/>
    <w:rsid w:val="001669EC"/>
    <w:rsid w:val="00181D67"/>
    <w:rsid w:val="001C618E"/>
    <w:rsid w:val="001E4A06"/>
    <w:rsid w:val="0020176B"/>
    <w:rsid w:val="002022A0"/>
    <w:rsid w:val="002535A8"/>
    <w:rsid w:val="00267EB8"/>
    <w:rsid w:val="002B4D1A"/>
    <w:rsid w:val="002C0356"/>
    <w:rsid w:val="002E4F33"/>
    <w:rsid w:val="00346EE4"/>
    <w:rsid w:val="00360A38"/>
    <w:rsid w:val="003B3540"/>
    <w:rsid w:val="003C18DC"/>
    <w:rsid w:val="003D5CE5"/>
    <w:rsid w:val="004024FF"/>
    <w:rsid w:val="00411DC7"/>
    <w:rsid w:val="00412CB5"/>
    <w:rsid w:val="004B05BE"/>
    <w:rsid w:val="004B5A1B"/>
    <w:rsid w:val="004C592A"/>
    <w:rsid w:val="004E4DBA"/>
    <w:rsid w:val="0050067D"/>
    <w:rsid w:val="005161CD"/>
    <w:rsid w:val="00563FBE"/>
    <w:rsid w:val="00573D4B"/>
    <w:rsid w:val="005E0D6F"/>
    <w:rsid w:val="00607918"/>
    <w:rsid w:val="00660D80"/>
    <w:rsid w:val="006729C0"/>
    <w:rsid w:val="006F2210"/>
    <w:rsid w:val="00716C44"/>
    <w:rsid w:val="007B705C"/>
    <w:rsid w:val="0084413E"/>
    <w:rsid w:val="0085597A"/>
    <w:rsid w:val="008672CB"/>
    <w:rsid w:val="008B0896"/>
    <w:rsid w:val="008D4BB7"/>
    <w:rsid w:val="008E54DF"/>
    <w:rsid w:val="008F4260"/>
    <w:rsid w:val="00916F52"/>
    <w:rsid w:val="00927816"/>
    <w:rsid w:val="00937ADD"/>
    <w:rsid w:val="009E21D3"/>
    <w:rsid w:val="00A10D31"/>
    <w:rsid w:val="00A76996"/>
    <w:rsid w:val="00A81A79"/>
    <w:rsid w:val="00B03177"/>
    <w:rsid w:val="00B95DDF"/>
    <w:rsid w:val="00BC5669"/>
    <w:rsid w:val="00CE2918"/>
    <w:rsid w:val="00D0132D"/>
    <w:rsid w:val="00D44A19"/>
    <w:rsid w:val="00D9486A"/>
    <w:rsid w:val="00DA07D3"/>
    <w:rsid w:val="00DB4B70"/>
    <w:rsid w:val="00DE29AE"/>
    <w:rsid w:val="00E54172"/>
    <w:rsid w:val="00E635C7"/>
    <w:rsid w:val="00E85484"/>
    <w:rsid w:val="00E91D92"/>
    <w:rsid w:val="00E96E9B"/>
    <w:rsid w:val="00F078BB"/>
    <w:rsid w:val="00F12218"/>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931284998">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3</cp:revision>
  <dcterms:created xsi:type="dcterms:W3CDTF">2022-11-07T14:18:00Z</dcterms:created>
  <dcterms:modified xsi:type="dcterms:W3CDTF">2022-11-07T14:42:00Z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