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2D1" w:rsidRDefault="00590D16">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rsidR="001022D1" w:rsidRDefault="00590D16">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proofErr w:type="spellStart"/>
      <w:r>
        <w:rPr>
          <w:rFonts w:ascii="Arial" w:eastAsia="Arial" w:hAnsi="Arial" w:cs="Arial"/>
          <w:color w:val="000000"/>
          <w:sz w:val="24"/>
          <w:szCs w:val="24"/>
        </w:rPr>
        <w:t>Canbud</w:t>
      </w:r>
      <w:proofErr w:type="spellEnd"/>
      <w:r>
        <w:rPr>
          <w:rFonts w:ascii="Arial" w:eastAsia="Arial" w:hAnsi="Arial" w:cs="Arial"/>
          <w:color w:val="000000"/>
          <w:sz w:val="24"/>
          <w:szCs w:val="24"/>
        </w:rPr>
        <w:t xml:space="preserve"> Distribution Corporation_(the “Issuer”).</w:t>
      </w:r>
    </w:p>
    <w:p w:rsidR="001022D1" w:rsidRDefault="00590D16">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Trading Symbol: CBDX</w:t>
      </w:r>
    </w:p>
    <w:p w:rsidR="001022D1" w:rsidRDefault="00590D16">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Pr>
          <w:rFonts w:ascii="Arial" w:eastAsia="Arial" w:hAnsi="Arial" w:cs="Arial"/>
          <w:sz w:val="24"/>
          <w:szCs w:val="24"/>
        </w:rPr>
        <w:t>156,061,493 ---</w:t>
      </w:r>
    </w:p>
    <w:p w:rsidR="001022D1" w:rsidRDefault="00590D16">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Date: </w:t>
      </w:r>
      <w:r>
        <w:rPr>
          <w:rFonts w:ascii="Arial" w:eastAsia="Arial" w:hAnsi="Arial" w:cs="Arial"/>
          <w:sz w:val="24"/>
          <w:szCs w:val="24"/>
        </w:rPr>
        <w:t>October</w:t>
      </w:r>
      <w:r>
        <w:rPr>
          <w:rFonts w:ascii="Arial" w:eastAsia="Arial" w:hAnsi="Arial" w:cs="Arial"/>
          <w:color w:val="000000"/>
          <w:sz w:val="24"/>
          <w:szCs w:val="24"/>
        </w:rPr>
        <w:t xml:space="preserve"> </w:t>
      </w:r>
      <w:r>
        <w:rPr>
          <w:rFonts w:ascii="Arial" w:eastAsia="Arial" w:hAnsi="Arial" w:cs="Arial"/>
          <w:sz w:val="24"/>
          <w:szCs w:val="24"/>
        </w:rPr>
        <w:t>06</w:t>
      </w:r>
      <w:r>
        <w:rPr>
          <w:rFonts w:ascii="Arial" w:eastAsia="Arial" w:hAnsi="Arial" w:cs="Arial"/>
          <w:color w:val="000000"/>
          <w:sz w:val="24"/>
          <w:szCs w:val="24"/>
        </w:rPr>
        <w:t xml:space="preserve">, 2021 – Reporting on </w:t>
      </w:r>
      <w:r>
        <w:rPr>
          <w:rFonts w:ascii="Arial" w:eastAsia="Arial" w:hAnsi="Arial" w:cs="Arial"/>
          <w:sz w:val="24"/>
          <w:szCs w:val="24"/>
        </w:rPr>
        <w:t>September</w:t>
      </w:r>
      <w:r>
        <w:rPr>
          <w:rFonts w:ascii="Arial" w:eastAsia="Arial" w:hAnsi="Arial" w:cs="Arial"/>
          <w:color w:val="000000"/>
          <w:sz w:val="24"/>
          <w:szCs w:val="24"/>
        </w:rPr>
        <w:t xml:space="preserve"> 2021</w:t>
      </w:r>
    </w:p>
    <w:p w:rsidR="001022D1" w:rsidRDefault="00590D16">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w:t>
      </w:r>
      <w:r>
        <w:rPr>
          <w:rFonts w:ascii="Arial" w:eastAsia="Arial" w:hAnsi="Arial" w:cs="Arial"/>
          <w:color w:val="000000"/>
          <w:sz w:val="24"/>
          <w:szCs w:val="24"/>
        </w:rPr>
        <w:t>ing known to management or to post the forms required by Exchange Policies. If material information became known and was reported during the preceding month to which this report relates, this report should refer to the material information, the news releas</w:t>
      </w:r>
      <w:r>
        <w:rPr>
          <w:rFonts w:ascii="Arial" w:eastAsia="Arial" w:hAnsi="Arial" w:cs="Arial"/>
          <w:color w:val="000000"/>
          <w:sz w:val="24"/>
          <w:szCs w:val="24"/>
        </w:rPr>
        <w:t>e date and the posting date on the Exchange website.</w:t>
      </w:r>
    </w:p>
    <w:p w:rsidR="001022D1" w:rsidRDefault="00590D16">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report is intended to keep investors and the market informed of the Issuer’s ongoing business and management activities that occurred during the preceding month.  Do not discuss goals or future plan</w:t>
      </w:r>
      <w:r>
        <w:rPr>
          <w:rFonts w:ascii="Arial" w:eastAsia="Arial" w:hAnsi="Arial" w:cs="Arial"/>
          <w:color w:val="000000"/>
          <w:sz w:val="24"/>
          <w:szCs w:val="24"/>
        </w:rPr>
        <w:t>s unless they have crystallized to the point that they are "material information" as defined in the Policies. The discussion in this report must be factual, balanced and non-promotional.</w:t>
      </w:r>
    </w:p>
    <w:p w:rsidR="001022D1" w:rsidRDefault="00590D16">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rsidR="001022D1" w:rsidRDefault="00590D16">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altered nor should questions be omitted or left unanswered.  The answers to the items must be in narrative form.  State when the answer to any item </w:t>
      </w:r>
      <w:r>
        <w:rPr>
          <w:rFonts w:ascii="Arial" w:eastAsia="Arial" w:hAnsi="Arial" w:cs="Arial"/>
          <w:color w:val="000000"/>
          <w:sz w:val="24"/>
          <w:szCs w:val="24"/>
        </w:rPr>
        <w:t>is negative or not applicable to the Issuer.  The title to each item must precede the answer.</w:t>
      </w:r>
    </w:p>
    <w:p w:rsidR="001022D1" w:rsidRDefault="00590D16">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rsidR="001022D1" w:rsidRDefault="00590D16">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w:t>
      </w:r>
      <w:r>
        <w:rPr>
          <w:rFonts w:ascii="Arial" w:eastAsia="Arial" w:hAnsi="Arial" w:cs="Arial"/>
          <w:color w:val="000000"/>
          <w:sz w:val="24"/>
          <w:szCs w:val="24"/>
        </w:rPr>
        <w:t xml:space="preserve"> and General Provisions.</w:t>
      </w:r>
    </w:p>
    <w:p w:rsidR="001022D1" w:rsidRDefault="00590D16">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The Company</w:t>
      </w:r>
      <w:r>
        <w:rPr>
          <w:rFonts w:ascii="Arial" w:eastAsia="Arial" w:hAnsi="Arial" w:cs="Arial"/>
          <w:sz w:val="24"/>
          <w:szCs w:val="24"/>
        </w:rPr>
        <w:t xml:space="preserve"> enters into memorandum of understanding for psilocybin producing mushroom research and development. </w:t>
      </w:r>
    </w:p>
    <w:p w:rsidR="001022D1" w:rsidRDefault="001022D1">
      <w:pPr>
        <w:pBdr>
          <w:top w:val="nil"/>
          <w:left w:val="nil"/>
          <w:bottom w:val="nil"/>
          <w:right w:val="nil"/>
          <w:between w:val="nil"/>
        </w:pBdr>
        <w:spacing w:before="120"/>
        <w:ind w:left="1080"/>
        <w:jc w:val="both"/>
        <w:rPr>
          <w:rFonts w:ascii="Arial" w:eastAsia="Arial" w:hAnsi="Arial" w:cs="Arial"/>
          <w:sz w:val="24"/>
          <w:szCs w:val="24"/>
        </w:rPr>
      </w:pPr>
    </w:p>
    <w:p w:rsidR="001022D1" w:rsidRDefault="001022D1">
      <w:pPr>
        <w:pBdr>
          <w:top w:val="nil"/>
          <w:left w:val="nil"/>
          <w:bottom w:val="nil"/>
          <w:right w:val="nil"/>
          <w:between w:val="nil"/>
        </w:pBdr>
        <w:spacing w:before="120"/>
        <w:jc w:val="both"/>
        <w:rPr>
          <w:rFonts w:ascii="Arial" w:eastAsia="Arial" w:hAnsi="Arial" w:cs="Arial"/>
          <w:color w:val="000000"/>
          <w:sz w:val="24"/>
          <w:szCs w:val="24"/>
        </w:rPr>
      </w:pP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Provide a general overview and discussion of the activities of management.</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Management is currently actively involved in business development.</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w:t>
      </w:r>
      <w:r>
        <w:rPr>
          <w:rFonts w:ascii="Arial" w:eastAsia="Arial" w:hAnsi="Arial" w:cs="Arial"/>
          <w:color w:val="000000"/>
          <w:sz w:val="24"/>
          <w:szCs w:val="24"/>
        </w:rPr>
        <w:t>ther reports required under Ontario securities law.</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w:t>
      </w:r>
      <w:r>
        <w:rPr>
          <w:rFonts w:ascii="Arial" w:eastAsia="Arial" w:hAnsi="Arial" w:cs="Arial"/>
          <w:color w:val="000000"/>
          <w:sz w:val="24"/>
          <w:szCs w:val="24"/>
        </w:rPr>
        <w:t>bandoned.</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w:t>
      </w:r>
      <w:r>
        <w:rPr>
          <w:rFonts w:ascii="Arial" w:eastAsia="Arial" w:hAnsi="Arial" w:cs="Arial"/>
          <w:color w:val="000000"/>
          <w:sz w:val="24"/>
          <w:szCs w:val="24"/>
        </w:rPr>
        <w:t>ationship is with a Related Person of the Issuer and provide details of the relationship.</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w:t>
      </w:r>
      <w:r>
        <w:rPr>
          <w:rFonts w:ascii="Arial" w:eastAsia="Arial" w:hAnsi="Arial" w:cs="Arial"/>
          <w:color w:val="000000"/>
          <w:sz w:val="24"/>
          <w:szCs w:val="24"/>
        </w:rPr>
        <w:t>rangements that have been previously announced.</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w:t>
      </w:r>
      <w:r>
        <w:rPr>
          <w:rFonts w:ascii="Arial" w:eastAsia="Arial" w:hAnsi="Arial" w:cs="Arial"/>
          <w:color w:val="000000"/>
          <w:sz w:val="24"/>
          <w:szCs w:val="24"/>
        </w:rPr>
        <w:t>tails of the consideration paid or payable together with a schedule of payments if applicable, and of any valuation. State how the consideration was determined and whether the acquisition was from or the disposition was to a Related Person of the Issuer an</w:t>
      </w:r>
      <w:r>
        <w:rPr>
          <w:rFonts w:ascii="Arial" w:eastAsia="Arial" w:hAnsi="Arial" w:cs="Arial"/>
          <w:color w:val="000000"/>
          <w:sz w:val="24"/>
          <w:szCs w:val="24"/>
        </w:rPr>
        <w:t>d provide details of the relationship..</w:t>
      </w:r>
    </w:p>
    <w:p w:rsidR="001022D1" w:rsidRDefault="00590D16">
      <w:pPr>
        <w:numPr>
          <w:ilvl w:val="0"/>
          <w:numId w:val="2"/>
        </w:numPr>
        <w:shd w:val="clear" w:color="auto" w:fill="FFFFFF"/>
        <w:spacing w:line="432" w:lineRule="auto"/>
        <w:rPr>
          <w:color w:val="1D2228"/>
          <w:sz w:val="24"/>
          <w:szCs w:val="24"/>
        </w:rPr>
      </w:pPr>
      <w:r>
        <w:rPr>
          <w:rFonts w:ascii="Arial" w:eastAsia="Arial" w:hAnsi="Arial" w:cs="Arial"/>
          <w:color w:val="1D2228"/>
          <w:sz w:val="24"/>
          <w:szCs w:val="24"/>
        </w:rPr>
        <w:t>Nil</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w:t>
      </w:r>
      <w:r>
        <w:rPr>
          <w:rFonts w:ascii="Arial" w:eastAsia="Arial" w:hAnsi="Arial" w:cs="Arial"/>
          <w:color w:val="000000"/>
          <w:sz w:val="24"/>
          <w:szCs w:val="24"/>
        </w:rPr>
        <w:t>s, software, subscription lists and trade-marks.</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 terminations or lay-offs with details of anticipated length of lay-offs.</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1022D1">
      <w:pPr>
        <w:pBdr>
          <w:top w:val="nil"/>
          <w:left w:val="nil"/>
          <w:bottom w:val="nil"/>
          <w:right w:val="nil"/>
          <w:between w:val="nil"/>
        </w:pBdr>
        <w:spacing w:before="120"/>
        <w:ind w:left="1080"/>
        <w:jc w:val="both"/>
        <w:rPr>
          <w:rFonts w:ascii="Arial" w:eastAsia="Arial" w:hAnsi="Arial" w:cs="Arial"/>
          <w:sz w:val="24"/>
          <w:szCs w:val="24"/>
        </w:rPr>
      </w:pP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Report on any labour disputes and resolutions of those disputes if applicable.</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w:t>
      </w:r>
      <w:r>
        <w:rPr>
          <w:rFonts w:ascii="Arial" w:eastAsia="Arial" w:hAnsi="Arial" w:cs="Arial"/>
          <w:color w:val="000000"/>
          <w:sz w:val="24"/>
          <w:szCs w:val="24"/>
        </w:rPr>
        <w:t>o the proceedings, the nature of the claim, the amount claimed, if any, if the proceedings are being contested, and the present status of the proceedings.</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w:t>
      </w:r>
      <w:r>
        <w:rPr>
          <w:rFonts w:ascii="Arial" w:eastAsia="Arial" w:hAnsi="Arial" w:cs="Arial"/>
          <w:color w:val="000000"/>
          <w:sz w:val="24"/>
          <w:szCs w:val="24"/>
        </w:rPr>
        <w:t>uch indebtedness.</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rsidR="001022D1" w:rsidRDefault="00590D16">
      <w:pPr>
        <w:keepNext/>
        <w:keepLines/>
        <w:numPr>
          <w:ilvl w:val="0"/>
          <w:numId w:val="3"/>
        </w:numPr>
        <w:spacing w:before="120"/>
        <w:jc w:val="both"/>
        <w:rPr>
          <w:sz w:val="24"/>
          <w:szCs w:val="24"/>
        </w:rPr>
      </w:pPr>
      <w:r>
        <w:rPr>
          <w:rFonts w:ascii="Arial" w:eastAsia="Arial" w:hAnsi="Arial" w:cs="Arial"/>
          <w:sz w:val="24"/>
          <w:szCs w:val="24"/>
        </w:rPr>
        <w:t>Nil</w:t>
      </w:r>
    </w:p>
    <w:p w:rsidR="001022D1" w:rsidRDefault="00590D16">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rsidR="001022D1" w:rsidRDefault="00590D16">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590D16">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rsidR="001022D1" w:rsidRDefault="00590D16">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590D16">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rsidR="001022D1" w:rsidRDefault="00590D16">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rsidR="001022D1" w:rsidRDefault="00590D16">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rsidR="001022D1" w:rsidRDefault="00590D16">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rsidR="001022D1" w:rsidRDefault="00590D16">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rsidR="001022D1" w:rsidRDefault="00590D16">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rsidR="001022D1" w:rsidRDefault="00590D16">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w:t>
      </w:r>
      <w:r>
        <w:rPr>
          <w:rFonts w:ascii="Arial" w:eastAsia="Arial" w:hAnsi="Arial" w:cs="Arial"/>
          <w:color w:val="000000"/>
          <w:sz w:val="24"/>
          <w:szCs w:val="24"/>
        </w:rPr>
        <w:t xml:space="preserve"> (as such term is defined in National Instrument 14-101) and all Exchange Requirements (as defined in CNSX Policy 1).</w:t>
      </w:r>
    </w:p>
    <w:p w:rsidR="001022D1" w:rsidRDefault="00590D16">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rsidR="001022D1" w:rsidRDefault="00590D16">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Pr>
          <w:rFonts w:ascii="Arial" w:eastAsia="Arial" w:hAnsi="Arial" w:cs="Arial"/>
          <w:sz w:val="24"/>
          <w:szCs w:val="24"/>
        </w:rPr>
        <w:t>October</w:t>
      </w:r>
      <w:r>
        <w:rPr>
          <w:rFonts w:ascii="Arial" w:eastAsia="Arial" w:hAnsi="Arial" w:cs="Arial"/>
          <w:color w:val="000000"/>
          <w:sz w:val="24"/>
          <w:szCs w:val="24"/>
        </w:rPr>
        <w:t xml:space="preserve"> </w:t>
      </w:r>
      <w:r>
        <w:rPr>
          <w:rFonts w:ascii="Arial" w:eastAsia="Arial" w:hAnsi="Arial" w:cs="Arial"/>
          <w:sz w:val="24"/>
          <w:szCs w:val="24"/>
        </w:rPr>
        <w:t>06</w:t>
      </w:r>
      <w:r>
        <w:rPr>
          <w:rFonts w:ascii="Arial" w:eastAsia="Arial" w:hAnsi="Arial" w:cs="Arial"/>
          <w:color w:val="000000"/>
          <w:sz w:val="24"/>
          <w:szCs w:val="24"/>
        </w:rPr>
        <w:t>, 2021</w:t>
      </w:r>
    </w:p>
    <w:p w:rsidR="001022D1" w:rsidRDefault="00590D16">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proofErr w:type="spellStart"/>
      <w:r>
        <w:rPr>
          <w:rFonts w:ascii="Arial" w:eastAsia="Arial" w:hAnsi="Arial" w:cs="Arial"/>
          <w:color w:val="000000"/>
          <w:sz w:val="24"/>
          <w:szCs w:val="24"/>
        </w:rPr>
        <w:t>Mukesh</w:t>
      </w:r>
      <w:proofErr w:type="spellEnd"/>
      <w:r>
        <w:rPr>
          <w:rFonts w:ascii="Arial" w:eastAsia="Arial" w:hAnsi="Arial" w:cs="Arial"/>
          <w:color w:val="000000"/>
          <w:sz w:val="24"/>
          <w:szCs w:val="24"/>
        </w:rPr>
        <w:t xml:space="preserve"> (Steve) Singh</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rsidR="001022D1" w:rsidRDefault="00590D16">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rsidR="001022D1" w:rsidRDefault="00590D16">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Chief Executive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rsidR="001022D1" w:rsidRDefault="001022D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1022D1">
        <w:tc>
          <w:tcPr>
            <w:tcW w:w="4878" w:type="dxa"/>
            <w:tcBorders>
              <w:top w:val="single" w:sz="18" w:space="0" w:color="000000"/>
              <w:bottom w:val="nil"/>
              <w:right w:val="single" w:sz="18" w:space="0" w:color="000000"/>
            </w:tcBorders>
          </w:tcPr>
          <w:p w:rsidR="001022D1" w:rsidRDefault="00590D16">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rsidR="001022D1" w:rsidRDefault="00590D16">
            <w:pPr>
              <w:pBdr>
                <w:top w:val="nil"/>
                <w:left w:val="nil"/>
                <w:bottom w:val="nil"/>
                <w:right w:val="nil"/>
                <w:between w:val="nil"/>
              </w:pBdr>
              <w:spacing w:before="240"/>
              <w:rPr>
                <w:rFonts w:ascii="Arial" w:eastAsia="Arial" w:hAnsi="Arial" w:cs="Arial"/>
                <w:color w:val="000000"/>
                <w:sz w:val="24"/>
                <w:szCs w:val="24"/>
              </w:rPr>
            </w:pPr>
            <w:proofErr w:type="spellStart"/>
            <w:r>
              <w:rPr>
                <w:rFonts w:ascii="Arial" w:eastAsia="Arial" w:hAnsi="Arial" w:cs="Arial"/>
                <w:color w:val="000000"/>
                <w:sz w:val="24"/>
                <w:szCs w:val="24"/>
              </w:rPr>
              <w:t>Canbud</w:t>
            </w:r>
            <w:proofErr w:type="spellEnd"/>
            <w:r>
              <w:rPr>
                <w:rFonts w:ascii="Arial" w:eastAsia="Arial" w:hAnsi="Arial" w:cs="Arial"/>
                <w:color w:val="000000"/>
                <w:sz w:val="24"/>
                <w:szCs w:val="24"/>
              </w:rPr>
              <w:t xml:space="preserve"> Distribution Corp.</w:t>
            </w:r>
          </w:p>
        </w:tc>
        <w:tc>
          <w:tcPr>
            <w:tcW w:w="1800" w:type="dxa"/>
            <w:tcBorders>
              <w:top w:val="single" w:sz="18" w:space="0" w:color="000000"/>
              <w:left w:val="single" w:sz="18" w:space="0" w:color="000000"/>
              <w:bottom w:val="nil"/>
              <w:right w:val="single" w:sz="18" w:space="0" w:color="000000"/>
            </w:tcBorders>
          </w:tcPr>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rsidR="001022D1" w:rsidRDefault="001022D1">
            <w:pPr>
              <w:pBdr>
                <w:top w:val="nil"/>
                <w:left w:val="nil"/>
                <w:bottom w:val="nil"/>
                <w:right w:val="nil"/>
                <w:between w:val="nil"/>
              </w:pBdr>
              <w:rPr>
                <w:rFonts w:ascii="Arial" w:eastAsia="Arial" w:hAnsi="Arial" w:cs="Arial"/>
                <w:color w:val="000000"/>
                <w:sz w:val="24"/>
                <w:szCs w:val="24"/>
              </w:rPr>
            </w:pPr>
          </w:p>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September </w:t>
            </w:r>
            <w:r>
              <w:rPr>
                <w:rFonts w:ascii="Arial" w:eastAsia="Arial" w:hAnsi="Arial" w:cs="Arial"/>
                <w:color w:val="000000"/>
                <w:sz w:val="24"/>
                <w:szCs w:val="24"/>
              </w:rPr>
              <w:t>2021</w:t>
            </w:r>
          </w:p>
        </w:tc>
        <w:tc>
          <w:tcPr>
            <w:tcW w:w="2898" w:type="dxa"/>
            <w:tcBorders>
              <w:top w:val="single" w:sz="18" w:space="0" w:color="000000"/>
              <w:left w:val="single" w:sz="18" w:space="0" w:color="000000"/>
              <w:bottom w:val="nil"/>
            </w:tcBorders>
          </w:tcPr>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rsidR="001022D1" w:rsidRDefault="001022D1">
            <w:pPr>
              <w:pBdr>
                <w:top w:val="nil"/>
                <w:left w:val="nil"/>
                <w:bottom w:val="nil"/>
                <w:right w:val="nil"/>
                <w:between w:val="nil"/>
              </w:pBdr>
              <w:rPr>
                <w:rFonts w:ascii="Arial" w:eastAsia="Arial" w:hAnsi="Arial" w:cs="Arial"/>
                <w:color w:val="000000"/>
                <w:sz w:val="24"/>
                <w:szCs w:val="24"/>
              </w:rPr>
            </w:pPr>
          </w:p>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October 06</w:t>
            </w:r>
            <w:r>
              <w:rPr>
                <w:rFonts w:ascii="Arial" w:eastAsia="Arial" w:hAnsi="Arial" w:cs="Arial"/>
                <w:color w:val="000000"/>
                <w:sz w:val="24"/>
                <w:szCs w:val="24"/>
              </w:rPr>
              <w:t>, 2021</w:t>
            </w:r>
          </w:p>
        </w:tc>
      </w:tr>
      <w:tr w:rsidR="001022D1">
        <w:tc>
          <w:tcPr>
            <w:tcW w:w="9576" w:type="dxa"/>
            <w:gridSpan w:val="3"/>
            <w:tcBorders>
              <w:top w:val="single" w:sz="18" w:space="0" w:color="000000"/>
              <w:bottom w:val="single" w:sz="18" w:space="0" w:color="000000"/>
            </w:tcBorders>
          </w:tcPr>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rsidR="001022D1" w:rsidRDefault="001022D1">
            <w:pPr>
              <w:pBdr>
                <w:top w:val="nil"/>
                <w:left w:val="nil"/>
                <w:bottom w:val="nil"/>
                <w:right w:val="nil"/>
                <w:between w:val="nil"/>
              </w:pBdr>
              <w:rPr>
                <w:rFonts w:ascii="Arial" w:eastAsia="Arial" w:hAnsi="Arial" w:cs="Arial"/>
                <w:color w:val="000000"/>
                <w:sz w:val="24"/>
                <w:szCs w:val="24"/>
              </w:rPr>
            </w:pPr>
          </w:p>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120 Adelaide St W, Suite 2500, Toronto, ON, M5H1T1</w:t>
            </w:r>
          </w:p>
        </w:tc>
      </w:tr>
      <w:tr w:rsidR="001022D1">
        <w:tc>
          <w:tcPr>
            <w:tcW w:w="4878" w:type="dxa"/>
            <w:tcBorders>
              <w:top w:val="single" w:sz="18" w:space="0" w:color="000000"/>
              <w:bottom w:val="single" w:sz="18" w:space="0" w:color="000000"/>
              <w:right w:val="single" w:sz="18" w:space="0" w:color="000000"/>
            </w:tcBorders>
          </w:tcPr>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rsidR="001022D1" w:rsidRDefault="001022D1">
            <w:pPr>
              <w:pBdr>
                <w:top w:val="nil"/>
                <w:left w:val="nil"/>
                <w:bottom w:val="nil"/>
                <w:right w:val="nil"/>
                <w:between w:val="nil"/>
              </w:pBdr>
              <w:rPr>
                <w:rFonts w:ascii="Arial" w:eastAsia="Arial" w:hAnsi="Arial" w:cs="Arial"/>
                <w:color w:val="000000"/>
                <w:sz w:val="24"/>
                <w:szCs w:val="24"/>
              </w:rPr>
            </w:pPr>
          </w:p>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Toronto, ON, M5H 1T1</w:t>
            </w:r>
          </w:p>
        </w:tc>
        <w:tc>
          <w:tcPr>
            <w:tcW w:w="1800" w:type="dxa"/>
            <w:tcBorders>
              <w:top w:val="single" w:sz="18" w:space="0" w:color="000000"/>
              <w:left w:val="single" w:sz="18" w:space="0" w:color="000000"/>
              <w:bottom w:val="single" w:sz="18" w:space="0" w:color="000000"/>
              <w:right w:val="single" w:sz="18" w:space="0" w:color="000000"/>
            </w:tcBorders>
          </w:tcPr>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( 416 ) 847 7312</w:t>
            </w:r>
          </w:p>
        </w:tc>
      </w:tr>
      <w:tr w:rsidR="001022D1">
        <w:tc>
          <w:tcPr>
            <w:tcW w:w="4878" w:type="dxa"/>
            <w:tcBorders>
              <w:top w:val="single" w:sz="18" w:space="0" w:color="000000"/>
              <w:bottom w:val="single" w:sz="18" w:space="0" w:color="000000"/>
              <w:right w:val="single" w:sz="18" w:space="0" w:color="000000"/>
            </w:tcBorders>
          </w:tcPr>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rsidR="001022D1" w:rsidRDefault="001022D1">
            <w:pPr>
              <w:pBdr>
                <w:top w:val="nil"/>
                <w:left w:val="nil"/>
                <w:bottom w:val="nil"/>
                <w:right w:val="nil"/>
                <w:between w:val="nil"/>
              </w:pBdr>
              <w:rPr>
                <w:rFonts w:ascii="Arial" w:eastAsia="Arial" w:hAnsi="Arial" w:cs="Arial"/>
                <w:color w:val="000000"/>
                <w:sz w:val="24"/>
                <w:szCs w:val="24"/>
              </w:rPr>
            </w:pPr>
          </w:p>
          <w:p w:rsidR="001022D1" w:rsidRDefault="00590D16">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Mukesh</w:t>
            </w:r>
            <w:proofErr w:type="spellEnd"/>
            <w:r>
              <w:rPr>
                <w:rFonts w:ascii="Arial" w:eastAsia="Arial" w:hAnsi="Arial" w:cs="Arial"/>
                <w:color w:val="000000"/>
                <w:sz w:val="24"/>
                <w:szCs w:val="24"/>
              </w:rPr>
              <w:t xml:space="preserve"> (Steve) Singh</w:t>
            </w:r>
          </w:p>
        </w:tc>
        <w:tc>
          <w:tcPr>
            <w:tcW w:w="1800" w:type="dxa"/>
            <w:tcBorders>
              <w:top w:val="single" w:sz="18" w:space="0" w:color="000000"/>
              <w:left w:val="single" w:sz="18" w:space="0" w:color="000000"/>
              <w:bottom w:val="single" w:sz="18" w:space="0" w:color="000000"/>
              <w:right w:val="single" w:sz="18" w:space="0" w:color="000000"/>
            </w:tcBorders>
          </w:tcPr>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CEO</w:t>
            </w:r>
          </w:p>
        </w:tc>
        <w:tc>
          <w:tcPr>
            <w:tcW w:w="2898" w:type="dxa"/>
            <w:tcBorders>
              <w:top w:val="single" w:sz="18" w:space="0" w:color="000000"/>
              <w:left w:val="single" w:sz="18" w:space="0" w:color="000000"/>
              <w:bottom w:val="single" w:sz="18" w:space="0" w:color="000000"/>
            </w:tcBorders>
          </w:tcPr>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rsidR="001022D1" w:rsidRDefault="001022D1">
            <w:pPr>
              <w:pBdr>
                <w:top w:val="nil"/>
                <w:left w:val="nil"/>
                <w:bottom w:val="nil"/>
                <w:right w:val="nil"/>
                <w:between w:val="nil"/>
              </w:pBdr>
              <w:rPr>
                <w:rFonts w:ascii="Arial" w:eastAsia="Arial" w:hAnsi="Arial" w:cs="Arial"/>
                <w:color w:val="000000"/>
                <w:sz w:val="24"/>
                <w:szCs w:val="24"/>
              </w:rPr>
            </w:pPr>
          </w:p>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( 647 ) 889 2470</w:t>
            </w:r>
          </w:p>
        </w:tc>
      </w:tr>
      <w:tr w:rsidR="001022D1">
        <w:tc>
          <w:tcPr>
            <w:tcW w:w="4878" w:type="dxa"/>
            <w:tcBorders>
              <w:top w:val="single" w:sz="18" w:space="0" w:color="000000"/>
              <w:bottom w:val="single" w:sz="18" w:space="0" w:color="000000"/>
              <w:right w:val="single" w:sz="18" w:space="0" w:color="000000"/>
            </w:tcBorders>
          </w:tcPr>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rsidR="001022D1" w:rsidRDefault="00590D16">
            <w:pPr>
              <w:pBdr>
                <w:top w:val="nil"/>
                <w:left w:val="nil"/>
                <w:bottom w:val="nil"/>
                <w:right w:val="nil"/>
                <w:between w:val="nil"/>
              </w:pBdr>
              <w:rPr>
                <w:rFonts w:ascii="Arial" w:eastAsia="Arial" w:hAnsi="Arial" w:cs="Arial"/>
                <w:color w:val="000000"/>
                <w:sz w:val="24"/>
                <w:szCs w:val="24"/>
              </w:rPr>
            </w:pPr>
            <w:hyperlink r:id="rId8">
              <w:r>
                <w:rPr>
                  <w:color w:val="0000FF"/>
                  <w:sz w:val="24"/>
                  <w:szCs w:val="24"/>
                  <w:u w:val="single"/>
                </w:rPr>
                <w:t>finansingh@gmail.com</w:t>
              </w:r>
            </w:hyperlink>
          </w:p>
        </w:tc>
        <w:tc>
          <w:tcPr>
            <w:tcW w:w="4698" w:type="dxa"/>
            <w:gridSpan w:val="2"/>
            <w:tcBorders>
              <w:top w:val="single" w:sz="18" w:space="0" w:color="000000"/>
              <w:left w:val="single" w:sz="18" w:space="0" w:color="000000"/>
              <w:bottom w:val="single" w:sz="18" w:space="0" w:color="000000"/>
            </w:tcBorders>
          </w:tcPr>
          <w:p w:rsidR="001022D1" w:rsidRDefault="00590D1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rsidR="001022D1" w:rsidRDefault="00590D16">
            <w:pPr>
              <w:pBdr>
                <w:top w:val="nil"/>
                <w:left w:val="nil"/>
                <w:bottom w:val="nil"/>
                <w:right w:val="nil"/>
                <w:between w:val="nil"/>
              </w:pBdr>
              <w:rPr>
                <w:rFonts w:ascii="Arial" w:eastAsia="Arial" w:hAnsi="Arial" w:cs="Arial"/>
                <w:color w:val="000000"/>
                <w:sz w:val="24"/>
                <w:szCs w:val="24"/>
              </w:rPr>
            </w:pPr>
            <w:hyperlink r:id="rId9">
              <w:r>
                <w:rPr>
                  <w:rFonts w:ascii="Arial" w:eastAsia="Arial" w:hAnsi="Arial" w:cs="Arial"/>
                  <w:color w:val="0000FF"/>
                  <w:sz w:val="24"/>
                  <w:szCs w:val="24"/>
                  <w:u w:val="single"/>
                </w:rPr>
                <w:t>www.canbudcorp.com</w:t>
              </w:r>
            </w:hyperlink>
          </w:p>
        </w:tc>
      </w:tr>
    </w:tbl>
    <w:p w:rsidR="001022D1" w:rsidRDefault="001022D1">
      <w:pPr>
        <w:pBdr>
          <w:top w:val="nil"/>
          <w:left w:val="nil"/>
          <w:bottom w:val="nil"/>
          <w:right w:val="nil"/>
          <w:between w:val="nil"/>
        </w:pBdr>
        <w:spacing w:before="240"/>
        <w:rPr>
          <w:color w:val="000000"/>
          <w:sz w:val="24"/>
          <w:szCs w:val="24"/>
        </w:rPr>
      </w:pPr>
    </w:p>
    <w:sectPr w:rsidR="001022D1">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90D16">
      <w:r>
        <w:separator/>
      </w:r>
    </w:p>
  </w:endnote>
  <w:endnote w:type="continuationSeparator" w:id="0">
    <w:p w:rsidR="00000000" w:rsidRDefault="0059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2D1" w:rsidRDefault="001022D1">
    <w:pPr>
      <w:pBdr>
        <w:top w:val="nil"/>
        <w:left w:val="nil"/>
        <w:bottom w:val="nil"/>
        <w:right w:val="nil"/>
        <w:between w:val="nil"/>
      </w:pBdr>
      <w:tabs>
        <w:tab w:val="center" w:pos="4320"/>
        <w:tab w:val="right" w:pos="8640"/>
        <w:tab w:val="center" w:pos="4680"/>
        <w:tab w:val="right" w:pos="9360"/>
      </w:tabs>
      <w:rPr>
        <w:b/>
        <w:color w:val="000000"/>
      </w:rPr>
    </w:pPr>
  </w:p>
  <w:p w:rsidR="001022D1" w:rsidRDefault="00590D16">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-152399</wp:posOffset>
              </wp:positionV>
              <wp:extent cx="5920739" cy="69849"/>
              <wp:effectExtent l="0" t="0" r="0" b="0"/>
              <wp:wrapNone/>
              <wp:docPr id="15" name=""/>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rsidR="001022D1" w:rsidRDefault="00590D16">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rsidR="001022D1" w:rsidRDefault="00590D16">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2D1" w:rsidRDefault="001022D1">
    <w:pPr>
      <w:pBdr>
        <w:top w:val="nil"/>
        <w:left w:val="nil"/>
        <w:bottom w:val="nil"/>
        <w:right w:val="nil"/>
        <w:between w:val="nil"/>
      </w:pBdr>
      <w:tabs>
        <w:tab w:val="center" w:pos="4320"/>
        <w:tab w:val="right" w:pos="8640"/>
        <w:tab w:val="center" w:pos="4680"/>
        <w:tab w:val="right" w:pos="9360"/>
      </w:tabs>
      <w:rPr>
        <w:b/>
        <w:color w:val="000000"/>
      </w:rPr>
    </w:pPr>
  </w:p>
  <w:p w:rsidR="001022D1" w:rsidRDefault="00590D16">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-152399</wp:posOffset>
              </wp:positionV>
              <wp:extent cx="5920739" cy="69849"/>
              <wp:effectExtent l="0" t="0" r="0" b="0"/>
              <wp:wrapNone/>
              <wp:docPr id="16" name=""/>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rsidR="001022D1" w:rsidRDefault="00590D16">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rsidR="001022D1" w:rsidRDefault="00590D16">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90D16">
      <w:r>
        <w:separator/>
      </w:r>
    </w:p>
  </w:footnote>
  <w:footnote w:type="continuationSeparator" w:id="0">
    <w:p w:rsidR="00000000" w:rsidRDefault="0059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2D1" w:rsidRDefault="00590D1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1022D1" w:rsidRDefault="001022D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2D1" w:rsidRDefault="001022D1">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098C"/>
    <w:multiLevelType w:val="multilevel"/>
    <w:tmpl w:val="FFFFFFFF"/>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5425644"/>
    <w:multiLevelType w:val="multilevel"/>
    <w:tmpl w:val="FFFFFFFF"/>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0E61D94"/>
    <w:multiLevelType w:val="multilevel"/>
    <w:tmpl w:val="FFFFFFFF"/>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8F82F8A"/>
    <w:multiLevelType w:val="multilevel"/>
    <w:tmpl w:val="FFFFFFFF"/>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7A67908"/>
    <w:multiLevelType w:val="multilevel"/>
    <w:tmpl w:val="FFFFFFFF"/>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D1"/>
    <w:rsid w:val="001022D1"/>
    <w:rsid w:val="00590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4D22D189-1B35-3347-B25D-7C8C39AF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nansingh@gmail.com"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www.canbudcorp.com" TargetMode="Externa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png" /></Relationships>
</file>

<file path=word/_rels/footer2.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Robert Tjandra</cp:lastModifiedBy>
  <cp:revision>2</cp:revision>
  <dcterms:created xsi:type="dcterms:W3CDTF">2021-10-06T17:45:00Z</dcterms:created>
  <dcterms:modified xsi:type="dcterms:W3CDTF">2021-10-06T17:45:00Z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