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77777777"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Name of Listed Issuer: Canbud Distribution Corporation</w:t>
      </w:r>
      <w:proofErr w:type="gramStart"/>
      <w:r>
        <w:rPr>
          <w:rFonts w:ascii="Arial" w:eastAsia="Arial" w:hAnsi="Arial" w:cs="Arial"/>
          <w:color w:val="000000"/>
          <w:sz w:val="24"/>
          <w:szCs w:val="24"/>
        </w:rPr>
        <w:t>_(</w:t>
      </w:r>
      <w:proofErr w:type="gramEnd"/>
      <w:r>
        <w:rPr>
          <w:rFonts w:ascii="Arial" w:eastAsia="Arial" w:hAnsi="Arial" w:cs="Arial"/>
          <w:color w:val="000000"/>
          <w:sz w:val="24"/>
          <w:szCs w:val="24"/>
        </w:rPr>
        <w:t>the “Issuer”).</w:t>
      </w:r>
    </w:p>
    <w:p w14:paraId="0A3425DF"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Trading Symbol: CBDX</w:t>
      </w:r>
    </w:p>
    <w:p w14:paraId="0D9D7F3B" w14:textId="2A721193"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Pr>
          <w:rFonts w:ascii="Arial" w:eastAsia="Arial" w:hAnsi="Arial" w:cs="Arial"/>
          <w:sz w:val="24"/>
          <w:szCs w:val="24"/>
        </w:rPr>
        <w:t>15</w:t>
      </w:r>
      <w:r w:rsidR="00D44A19">
        <w:rPr>
          <w:rFonts w:ascii="Arial" w:eastAsia="Arial" w:hAnsi="Arial" w:cs="Arial"/>
          <w:sz w:val="24"/>
          <w:szCs w:val="24"/>
        </w:rPr>
        <w:t>9</w:t>
      </w:r>
      <w:r>
        <w:rPr>
          <w:rFonts w:ascii="Arial" w:eastAsia="Arial" w:hAnsi="Arial" w:cs="Arial"/>
          <w:sz w:val="24"/>
          <w:szCs w:val="24"/>
        </w:rPr>
        <w:t>,1</w:t>
      </w:r>
      <w:r w:rsidR="00D44A19">
        <w:rPr>
          <w:rFonts w:ascii="Arial" w:eastAsia="Arial" w:hAnsi="Arial" w:cs="Arial"/>
          <w:sz w:val="24"/>
          <w:szCs w:val="24"/>
        </w:rPr>
        <w:t>01</w:t>
      </w:r>
      <w:r>
        <w:rPr>
          <w:rFonts w:ascii="Arial" w:eastAsia="Arial" w:hAnsi="Arial" w:cs="Arial"/>
          <w:sz w:val="24"/>
          <w:szCs w:val="24"/>
        </w:rPr>
        <w:t xml:space="preserve">,493 </w:t>
      </w:r>
    </w:p>
    <w:p w14:paraId="6E26BC25" w14:textId="7A55DFC9"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Date: </w:t>
      </w:r>
      <w:r w:rsidR="00360A38">
        <w:rPr>
          <w:rFonts w:ascii="Arial" w:eastAsia="Arial" w:hAnsi="Arial" w:cs="Arial"/>
          <w:sz w:val="24"/>
          <w:szCs w:val="24"/>
        </w:rPr>
        <w:t>December</w:t>
      </w:r>
      <w:r>
        <w:rPr>
          <w:rFonts w:ascii="Arial" w:eastAsia="Arial" w:hAnsi="Arial" w:cs="Arial"/>
          <w:color w:val="000000"/>
          <w:sz w:val="24"/>
          <w:szCs w:val="24"/>
        </w:rPr>
        <w:t xml:space="preserve"> </w:t>
      </w:r>
      <w:r>
        <w:rPr>
          <w:rFonts w:ascii="Arial" w:eastAsia="Arial" w:hAnsi="Arial" w:cs="Arial"/>
          <w:sz w:val="24"/>
          <w:szCs w:val="24"/>
        </w:rPr>
        <w:t>0</w:t>
      </w:r>
      <w:r w:rsidR="00360A38">
        <w:rPr>
          <w:rFonts w:ascii="Arial" w:eastAsia="Arial" w:hAnsi="Arial" w:cs="Arial"/>
          <w:sz w:val="24"/>
          <w:szCs w:val="24"/>
        </w:rPr>
        <w:t>6</w:t>
      </w:r>
      <w:r>
        <w:rPr>
          <w:rFonts w:ascii="Arial" w:eastAsia="Arial" w:hAnsi="Arial" w:cs="Arial"/>
          <w:color w:val="000000"/>
          <w:sz w:val="24"/>
          <w:szCs w:val="24"/>
        </w:rPr>
        <w:t xml:space="preserve">, 2021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360A38">
        <w:rPr>
          <w:rFonts w:ascii="Arial" w:eastAsia="Arial" w:hAnsi="Arial" w:cs="Arial"/>
          <w:color w:val="000000"/>
          <w:sz w:val="24"/>
          <w:szCs w:val="24"/>
        </w:rPr>
        <w:t>Novem</w:t>
      </w:r>
      <w:r>
        <w:rPr>
          <w:rFonts w:ascii="Arial" w:eastAsia="Arial" w:hAnsi="Arial" w:cs="Arial"/>
          <w:sz w:val="24"/>
          <w:szCs w:val="24"/>
        </w:rPr>
        <w:t>ber</w:t>
      </w:r>
      <w:r>
        <w:rPr>
          <w:rFonts w:ascii="Arial" w:eastAsia="Arial" w:hAnsi="Arial" w:cs="Arial"/>
          <w:color w:val="000000"/>
          <w:sz w:val="24"/>
          <w:szCs w:val="24"/>
        </w:rPr>
        <w:t xml:space="preserve"> 2021</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eastAsia="Arial" w:hAnsi="Arial" w:cs="Arial"/>
          <w:color w:val="000000"/>
          <w:sz w:val="24"/>
          <w:szCs w:val="24"/>
        </w:rPr>
        <w:t>date</w:t>
      </w:r>
      <w:proofErr w:type="gramEnd"/>
      <w:r>
        <w:rPr>
          <w:rFonts w:ascii="Arial" w:eastAsia="Arial" w:hAnsi="Arial" w:cs="Arial"/>
          <w:color w:val="000000"/>
          <w:sz w:val="24"/>
          <w:szCs w:val="24"/>
        </w:rPr>
        <w:t xml:space="preserv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w:t>
      </w:r>
      <w:proofErr w:type="gramStart"/>
      <w:r>
        <w:rPr>
          <w:rFonts w:ascii="Arial" w:eastAsia="Arial" w:hAnsi="Arial" w:cs="Arial"/>
          <w:color w:val="000000"/>
          <w:sz w:val="24"/>
          <w:szCs w:val="24"/>
        </w:rPr>
        <w:t>balanced</w:t>
      </w:r>
      <w:proofErr w:type="gramEnd"/>
      <w:r>
        <w:rPr>
          <w:rFonts w:ascii="Arial" w:eastAsia="Arial" w:hAnsi="Arial" w:cs="Arial"/>
          <w:color w:val="000000"/>
          <w:sz w:val="24"/>
          <w:szCs w:val="24"/>
        </w:rPr>
        <w:t xml:space="preserve">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32327002" w14:textId="4648314F" w:rsidR="00360A38" w:rsidRPr="00360A38" w:rsidRDefault="004E4DBA" w:rsidP="00360A38">
      <w:pPr>
        <w:pStyle w:val="ListParagraph"/>
        <w:numPr>
          <w:ilvl w:val="0"/>
          <w:numId w:val="6"/>
        </w:numPr>
        <w:pBdr>
          <w:top w:val="nil"/>
          <w:left w:val="nil"/>
          <w:bottom w:val="nil"/>
          <w:right w:val="nil"/>
          <w:between w:val="nil"/>
        </w:pBdr>
        <w:spacing w:before="120"/>
        <w:jc w:val="both"/>
        <w:rPr>
          <w:rFonts w:ascii="Arial" w:eastAsia="Arial" w:hAnsi="Arial" w:cs="Arial"/>
          <w:color w:val="000000"/>
          <w:sz w:val="24"/>
          <w:szCs w:val="24"/>
        </w:rPr>
      </w:pPr>
      <w:r w:rsidRPr="00360A38">
        <w:rPr>
          <w:rFonts w:ascii="Arial" w:eastAsia="Arial" w:hAnsi="Arial" w:cs="Arial"/>
          <w:color w:val="000000"/>
          <w:sz w:val="24"/>
          <w:szCs w:val="24"/>
        </w:rPr>
        <w:t xml:space="preserve">The </w:t>
      </w:r>
      <w:r w:rsidR="00D44A19" w:rsidRPr="00360A38">
        <w:rPr>
          <w:rFonts w:ascii="Arial" w:eastAsia="Arial" w:hAnsi="Arial" w:cs="Arial"/>
          <w:color w:val="000000"/>
          <w:sz w:val="24"/>
          <w:szCs w:val="24"/>
        </w:rPr>
        <w:t xml:space="preserve">Company continues to work towards completing the definitive agreement to acquire Steep Hill Labs Inc.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00B636B3" w14:textId="62568000" w:rsidR="00B95DDF" w:rsidRPr="00360A38" w:rsidRDefault="004E4DBA" w:rsidP="00360A38">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Management is currently actively involved in business development.</w:t>
      </w:r>
      <w:r w:rsidR="00B95DDF">
        <w:rPr>
          <w:rFonts w:ascii="Arial" w:eastAsia="Arial" w:hAnsi="Arial" w:cs="Arial"/>
          <w:color w:val="000000"/>
          <w:sz w:val="24"/>
          <w:szCs w:val="24"/>
        </w:rPr>
        <w:t xml:space="preserve"> </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1E79CF34"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Pr="00360A38">
        <w:rPr>
          <w:rFonts w:ascii="Arial" w:eastAsia="Arial" w:hAnsi="Arial" w:cs="Arial"/>
          <w:color w:val="000000"/>
          <w:sz w:val="24"/>
          <w:szCs w:val="24"/>
        </w:rPr>
        <w:t xml:space="preserv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2A6775AC" w:rsidR="003C18DC" w:rsidRPr="00360A38"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w:t>
      </w:r>
      <w:proofErr w:type="gramStart"/>
      <w:r w:rsidRPr="00360A38">
        <w:rPr>
          <w:rFonts w:ascii="Arial" w:eastAsia="Arial" w:hAnsi="Arial" w:cs="Arial"/>
          <w:color w:val="000000"/>
          <w:sz w:val="24"/>
          <w:szCs w:val="24"/>
        </w:rPr>
        <w:t>relationship..</w:t>
      </w:r>
      <w:proofErr w:type="gramEnd"/>
    </w:p>
    <w:p w14:paraId="66F0F05F" w14:textId="77777777" w:rsidR="003C18DC" w:rsidRDefault="004E4DBA">
      <w:pPr>
        <w:numPr>
          <w:ilvl w:val="0"/>
          <w:numId w:val="2"/>
        </w:numPr>
        <w:shd w:val="clear" w:color="auto" w:fill="FFFFFF"/>
        <w:spacing w:line="432" w:lineRule="auto"/>
        <w:rPr>
          <w:color w:val="1D2228"/>
          <w:sz w:val="24"/>
          <w:szCs w:val="24"/>
        </w:rPr>
      </w:pPr>
      <w:r>
        <w:rPr>
          <w:rFonts w:ascii="Arial" w:eastAsia="Arial" w:hAnsi="Arial" w:cs="Arial"/>
          <w:color w:val="1D2228"/>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99F268C" w14:textId="77777777" w:rsidR="003C18DC" w:rsidRDefault="003C18DC">
      <w:pPr>
        <w:pBdr>
          <w:top w:val="nil"/>
          <w:left w:val="nil"/>
          <w:bottom w:val="nil"/>
          <w:right w:val="nil"/>
          <w:between w:val="nil"/>
        </w:pBdr>
        <w:spacing w:before="120"/>
        <w:ind w:left="1080"/>
        <w:jc w:val="both"/>
        <w:rPr>
          <w:rFonts w:ascii="Arial" w:eastAsia="Arial" w:hAnsi="Arial" w:cs="Arial"/>
          <w:sz w:val="24"/>
          <w:szCs w:val="24"/>
        </w:rPr>
      </w:pPr>
    </w:p>
    <w:p w14:paraId="39966F0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labour disputes and resolutions of those disputes if applicable.</w:t>
      </w:r>
    </w:p>
    <w:p w14:paraId="5B2D17EF"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Nil</w:t>
      </w:r>
    </w:p>
    <w:p w14:paraId="6BFC09DB"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F131530"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518C1D27"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08B9D9C7"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360A38">
        <w:rPr>
          <w:rFonts w:ascii="Arial" w:eastAsia="Arial" w:hAnsi="Arial" w:cs="Arial"/>
          <w:sz w:val="24"/>
          <w:szCs w:val="24"/>
        </w:rPr>
        <w:t>Decem</w:t>
      </w:r>
      <w:r w:rsidR="00E54172">
        <w:rPr>
          <w:rFonts w:ascii="Arial" w:eastAsia="Arial" w:hAnsi="Arial" w:cs="Arial"/>
          <w:sz w:val="24"/>
          <w:szCs w:val="24"/>
        </w:rPr>
        <w:t>ber</w:t>
      </w:r>
      <w:r>
        <w:rPr>
          <w:rFonts w:ascii="Arial" w:eastAsia="Arial" w:hAnsi="Arial" w:cs="Arial"/>
          <w:color w:val="000000"/>
          <w:sz w:val="24"/>
          <w:szCs w:val="24"/>
        </w:rPr>
        <w:t xml:space="preserve"> </w:t>
      </w:r>
      <w:r>
        <w:rPr>
          <w:rFonts w:ascii="Arial" w:eastAsia="Arial" w:hAnsi="Arial" w:cs="Arial"/>
          <w:sz w:val="24"/>
          <w:szCs w:val="24"/>
        </w:rPr>
        <w:t>0</w:t>
      </w:r>
      <w:r w:rsidR="00360A38">
        <w:rPr>
          <w:rFonts w:ascii="Arial" w:eastAsia="Arial" w:hAnsi="Arial" w:cs="Arial"/>
          <w:sz w:val="24"/>
          <w:szCs w:val="24"/>
        </w:rPr>
        <w:t>6</w:t>
      </w:r>
      <w:r>
        <w:rPr>
          <w:rFonts w:ascii="Arial" w:eastAsia="Arial" w:hAnsi="Arial" w:cs="Arial"/>
          <w:color w:val="000000"/>
          <w:sz w:val="24"/>
          <w:szCs w:val="24"/>
        </w:rPr>
        <w:t>, 2021</w:t>
      </w:r>
    </w:p>
    <w:p w14:paraId="194FAB12" w14:textId="77777777"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t>Mukesh (Steve) Singh</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77777777"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Chief Executive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77777777" w:rsidR="003C18DC" w:rsidRDefault="004E4DBA">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Canbud Distribution Corp.</w:t>
            </w:r>
          </w:p>
        </w:tc>
        <w:tc>
          <w:tcPr>
            <w:tcW w:w="1800" w:type="dxa"/>
            <w:tcBorders>
              <w:top w:val="single" w:sz="18" w:space="0" w:color="000000"/>
              <w:left w:val="single" w:sz="18" w:space="0" w:color="000000"/>
              <w:bottom w:val="nil"/>
              <w:right w:val="single" w:sz="18" w:space="0" w:color="000000"/>
            </w:tcBorders>
          </w:tcPr>
          <w:p w14:paraId="2A06AD19"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5D2B4F61" w14:textId="77777777" w:rsidR="003C18DC" w:rsidRDefault="003C18DC">
            <w:pPr>
              <w:pBdr>
                <w:top w:val="nil"/>
                <w:left w:val="nil"/>
                <w:bottom w:val="nil"/>
                <w:right w:val="nil"/>
                <w:between w:val="nil"/>
              </w:pBdr>
              <w:rPr>
                <w:rFonts w:ascii="Arial" w:eastAsia="Arial" w:hAnsi="Arial" w:cs="Arial"/>
                <w:color w:val="000000"/>
                <w:sz w:val="24"/>
                <w:szCs w:val="24"/>
              </w:rPr>
            </w:pPr>
          </w:p>
          <w:p w14:paraId="61911806" w14:textId="711A8E4B" w:rsidR="003C18DC" w:rsidRDefault="00360A38">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November</w:t>
            </w:r>
            <w:r w:rsidR="004E4DBA">
              <w:rPr>
                <w:rFonts w:ascii="Arial" w:eastAsia="Arial" w:hAnsi="Arial" w:cs="Arial"/>
                <w:sz w:val="24"/>
                <w:szCs w:val="24"/>
              </w:rPr>
              <w:t xml:space="preserve"> </w:t>
            </w:r>
            <w:r w:rsidR="004E4DBA">
              <w:rPr>
                <w:rFonts w:ascii="Arial" w:eastAsia="Arial" w:hAnsi="Arial" w:cs="Arial"/>
                <w:color w:val="000000"/>
                <w:sz w:val="24"/>
                <w:szCs w:val="24"/>
              </w:rPr>
              <w:t>2021</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0C48A103" w:rsidR="003C18DC" w:rsidRDefault="00360A3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December 06</w:t>
            </w:r>
            <w:r w:rsidR="004E4DBA">
              <w:rPr>
                <w:rFonts w:ascii="Arial" w:eastAsia="Arial" w:hAnsi="Arial" w:cs="Arial"/>
                <w:color w:val="000000"/>
                <w:sz w:val="24"/>
                <w:szCs w:val="24"/>
              </w:rPr>
              <w:t>, 2021</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Mukesh (Steve) Singh</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CEO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( 647</w:t>
            </w:r>
            <w:proofErr w:type="gramEnd"/>
            <w:r>
              <w:rPr>
                <w:rFonts w:ascii="Arial" w:eastAsia="Arial" w:hAnsi="Arial" w:cs="Arial"/>
                <w:color w:val="000000"/>
                <w:sz w:val="24"/>
                <w:szCs w:val="24"/>
              </w:rPr>
              <w:t xml:space="preserve"> ) 889 2470</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77777777" w:rsidR="003C18DC" w:rsidRDefault="008B0896">
            <w:pPr>
              <w:pBdr>
                <w:top w:val="nil"/>
                <w:left w:val="nil"/>
                <w:bottom w:val="nil"/>
                <w:right w:val="nil"/>
                <w:between w:val="nil"/>
              </w:pBdr>
              <w:rPr>
                <w:rFonts w:ascii="Arial" w:eastAsia="Arial" w:hAnsi="Arial" w:cs="Arial"/>
                <w:color w:val="000000"/>
                <w:sz w:val="24"/>
                <w:szCs w:val="24"/>
              </w:rPr>
            </w:pPr>
            <w:hyperlink r:id="rId8">
              <w:r w:rsidR="004E4DBA">
                <w:rPr>
                  <w:color w:val="0000FF"/>
                  <w:sz w:val="24"/>
                  <w:szCs w:val="24"/>
                  <w:u w:val="single"/>
                </w:rPr>
                <w:t>finansingh@gmail.com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777777" w:rsidR="003C18DC" w:rsidRDefault="008B0896">
            <w:pPr>
              <w:pBdr>
                <w:top w:val="nil"/>
                <w:left w:val="nil"/>
                <w:bottom w:val="nil"/>
                <w:right w:val="nil"/>
                <w:between w:val="nil"/>
              </w:pBdr>
              <w:rPr>
                <w:rFonts w:ascii="Arial" w:eastAsia="Arial" w:hAnsi="Arial" w:cs="Arial"/>
                <w:color w:val="000000"/>
                <w:sz w:val="24"/>
                <w:szCs w:val="24"/>
              </w:rPr>
            </w:pPr>
            <w:hyperlink r:id="rId9">
              <w:r w:rsidR="004E4DBA">
                <w:rPr>
                  <w:rFonts w:ascii="Arial" w:eastAsia="Arial" w:hAnsi="Arial" w:cs="Arial"/>
                  <w:color w:val="0000FF"/>
                  <w:sz w:val="24"/>
                  <w:szCs w:val="24"/>
                  <w:u w:val="single"/>
                </w:rPr>
                <w:t>www.canbudcorp.com</w:t>
              </w:r>
            </w:hyperlink>
          </w:p>
        </w:tc>
      </w:tr>
    </w:tbl>
    <w:p w14:paraId="6E2B3546" w14:textId="77777777" w:rsidR="003C18DC" w:rsidRDefault="003C18DC" w:rsidP="00360A38">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5957" w14:textId="77777777" w:rsidR="008B0896" w:rsidRDefault="008B0896">
      <w:r>
        <w:separator/>
      </w:r>
    </w:p>
  </w:endnote>
  <w:endnote w:type="continuationSeparator" w:id="0">
    <w:p w14:paraId="6F6D9A3E" w14:textId="77777777" w:rsidR="008B0896" w:rsidRDefault="008B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B678" w14:textId="77777777" w:rsidR="008B0896" w:rsidRDefault="008B0896">
      <w:r>
        <w:separator/>
      </w:r>
    </w:p>
  </w:footnote>
  <w:footnote w:type="continuationSeparator" w:id="0">
    <w:p w14:paraId="27CAF3D8" w14:textId="77777777" w:rsidR="008B0896" w:rsidRDefault="008B0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360A38"/>
    <w:rsid w:val="003C18DC"/>
    <w:rsid w:val="004024FF"/>
    <w:rsid w:val="004E4DBA"/>
    <w:rsid w:val="0050067D"/>
    <w:rsid w:val="008B0896"/>
    <w:rsid w:val="00B95DDF"/>
    <w:rsid w:val="00D44A19"/>
    <w:rsid w:val="00DA07D3"/>
    <w:rsid w:val="00DE29AE"/>
    <w:rsid w:val="00E54172"/>
    <w:rsid w:val="00FB12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inansingh@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budcor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Raj Ravindran</cp:lastModifiedBy>
  <cp:revision>3</cp:revision>
  <dcterms:created xsi:type="dcterms:W3CDTF">2021-12-06T15:36:00Z</dcterms:created>
  <dcterms:modified xsi:type="dcterms:W3CDTF">2021-12-06T15:46:00Z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