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69D1179C"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E90EA5" w:rsidRPr="00E90EA5">
        <w:rPr>
          <w:rFonts w:ascii="Arial" w:hAnsi="Arial" w:cs="Arial"/>
          <w:color w:val="000000"/>
          <w:sz w:val="22"/>
          <w:szCs w:val="22"/>
          <w:lang w:val="en-US"/>
        </w:rPr>
        <w:t>317,750,840.9238</w:t>
      </w:r>
      <w:r w:rsidR="003C4F54">
        <w:rPr>
          <w:rFonts w:ascii="Arial" w:hAnsi="Arial" w:cs="Arial"/>
          <w:color w:val="000000"/>
          <w:sz w:val="22"/>
          <w:szCs w:val="22"/>
        </w:rPr>
        <w:t xml:space="preserve"> </w:t>
      </w:r>
      <w:r w:rsidR="00BA1174" w:rsidRPr="00793E2F">
        <w:rPr>
          <w:rFonts w:ascii="Arial" w:hAnsi="Arial" w:cs="Arial"/>
          <w:color w:val="000000"/>
          <w:sz w:val="22"/>
          <w:szCs w:val="22"/>
        </w:rPr>
        <w:t>Class A subordinate voting shares</w:t>
      </w:r>
      <w:r w:rsidR="00E003CF">
        <w:rPr>
          <w:rFonts w:ascii="Arial" w:hAnsi="Arial" w:cs="Arial"/>
          <w:color w:val="000000"/>
          <w:sz w:val="22"/>
          <w:szCs w:val="22"/>
        </w:rPr>
        <w:t xml:space="preserve"> (“</w:t>
      </w:r>
      <w:r w:rsidR="00E003CF" w:rsidRPr="00E2017F">
        <w:rPr>
          <w:rFonts w:ascii="Arial" w:hAnsi="Arial" w:cs="Arial"/>
          <w:b/>
          <w:bCs/>
          <w:color w:val="000000"/>
          <w:sz w:val="22"/>
          <w:szCs w:val="22"/>
        </w:rPr>
        <w:t>SV Shares</w:t>
      </w:r>
      <w:r w:rsidR="00E003CF">
        <w:rPr>
          <w:rFonts w:ascii="Arial" w:hAnsi="Arial" w:cs="Arial"/>
          <w:color w:val="000000"/>
          <w:sz w:val="22"/>
          <w:szCs w:val="22"/>
        </w:rPr>
        <w:t>”)</w:t>
      </w:r>
      <w:r w:rsidR="00577204" w:rsidRPr="00793E2F">
        <w:rPr>
          <w:rFonts w:ascii="Arial" w:hAnsi="Arial" w:cs="Arial"/>
          <w:color w:val="000000"/>
          <w:sz w:val="22"/>
          <w:szCs w:val="22"/>
        </w:rPr>
        <w:t xml:space="preserve"> </w:t>
      </w:r>
    </w:p>
    <w:p w14:paraId="77D28D7A" w14:textId="229368AD"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734CDC">
        <w:rPr>
          <w:rFonts w:ascii="Arial" w:hAnsi="Arial" w:cs="Arial"/>
          <w:color w:val="000000"/>
          <w:sz w:val="22"/>
          <w:szCs w:val="22"/>
        </w:rPr>
        <w:t>August 4</w:t>
      </w:r>
      <w:r w:rsidR="007C4F7F" w:rsidRPr="00C22493">
        <w:rPr>
          <w:rFonts w:ascii="Arial" w:hAnsi="Arial" w:cs="Arial"/>
          <w:color w:val="000000"/>
          <w:sz w:val="22"/>
          <w:szCs w:val="22"/>
        </w:rPr>
        <w:t>,</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31A77" w:rsidRPr="00793E2F">
        <w:rPr>
          <w:rFonts w:ascii="Arial" w:hAnsi="Arial" w:cs="Arial"/>
          <w:color w:val="000000"/>
          <w:sz w:val="22"/>
          <w:szCs w:val="22"/>
        </w:rPr>
        <w:t>2</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The sequence of questions must not be altered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38B8835B" w14:textId="64F00ADB" w:rsidR="00B34ED6" w:rsidRDefault="00731561" w:rsidP="002D563E">
      <w:pPr>
        <w:pStyle w:val="List"/>
        <w:numPr>
          <w:ilvl w:val="0"/>
          <w:numId w:val="33"/>
        </w:numPr>
        <w:ind w:left="1800"/>
        <w:jc w:val="both"/>
        <w:rPr>
          <w:rFonts w:ascii="Arial" w:hAnsi="Arial" w:cs="Arial"/>
          <w:sz w:val="22"/>
          <w:szCs w:val="22"/>
          <w:lang w:val="en-US"/>
        </w:rPr>
      </w:pPr>
      <w:r w:rsidRPr="00B34ED6">
        <w:rPr>
          <w:rFonts w:ascii="Arial" w:hAnsi="Arial" w:cs="Arial"/>
          <w:sz w:val="22"/>
          <w:szCs w:val="22"/>
          <w:lang w:val="en-US"/>
        </w:rPr>
        <w:t xml:space="preserve">On </w:t>
      </w:r>
      <w:r w:rsidR="00B34ED6" w:rsidRPr="00B34ED6">
        <w:rPr>
          <w:rFonts w:ascii="Arial" w:hAnsi="Arial" w:cs="Arial"/>
          <w:sz w:val="22"/>
          <w:szCs w:val="22"/>
          <w:lang w:val="en-US"/>
        </w:rPr>
        <w:t>July</w:t>
      </w:r>
      <w:r w:rsidRPr="00B34ED6">
        <w:rPr>
          <w:rFonts w:ascii="Arial" w:hAnsi="Arial" w:cs="Arial"/>
          <w:sz w:val="22"/>
          <w:szCs w:val="22"/>
          <w:lang w:val="en-US"/>
        </w:rPr>
        <w:t xml:space="preserve"> 1, 2022, the Issuer </w:t>
      </w:r>
      <w:r w:rsidR="00925120" w:rsidRPr="00B34ED6">
        <w:rPr>
          <w:rFonts w:ascii="Arial" w:hAnsi="Arial" w:cs="Arial"/>
          <w:sz w:val="22"/>
          <w:szCs w:val="22"/>
          <w:lang w:val="en-US"/>
        </w:rPr>
        <w:t xml:space="preserve">announced </w:t>
      </w:r>
      <w:r w:rsidR="000A59B9" w:rsidRPr="00B34ED6">
        <w:rPr>
          <w:rFonts w:ascii="Arial" w:hAnsi="Arial" w:cs="Arial"/>
          <w:sz w:val="22"/>
          <w:szCs w:val="22"/>
          <w:lang w:val="en-US"/>
        </w:rPr>
        <w:t xml:space="preserve">the opening </w:t>
      </w:r>
      <w:r w:rsidR="00B34ED6" w:rsidRPr="00793E2F">
        <w:rPr>
          <w:rFonts w:ascii="Arial" w:hAnsi="Arial" w:cs="Arial"/>
          <w:sz w:val="22"/>
          <w:szCs w:val="22"/>
          <w:lang w:val="en-US"/>
        </w:rPr>
        <w:t xml:space="preserve">of </w:t>
      </w:r>
      <w:r w:rsidR="00B34ED6" w:rsidRPr="00165A4A">
        <w:rPr>
          <w:rFonts w:ascii="Arial" w:hAnsi="Arial" w:cs="Arial"/>
          <w:sz w:val="22"/>
          <w:szCs w:val="22"/>
          <w:lang w:val="en-US"/>
        </w:rPr>
        <w:t xml:space="preserve">MÜV </w:t>
      </w:r>
      <w:r w:rsidR="00B34ED6">
        <w:rPr>
          <w:rFonts w:ascii="Arial" w:hAnsi="Arial" w:cs="Arial"/>
          <w:sz w:val="22"/>
          <w:szCs w:val="22"/>
          <w:lang w:val="en-US"/>
        </w:rPr>
        <w:t>Tamarac, the Issuer’s 49</w:t>
      </w:r>
      <w:r w:rsidR="00B34ED6" w:rsidRPr="00B34ED6">
        <w:rPr>
          <w:rFonts w:ascii="Arial" w:hAnsi="Arial" w:cs="Arial"/>
          <w:sz w:val="22"/>
          <w:szCs w:val="22"/>
          <w:vertAlign w:val="superscript"/>
          <w:lang w:val="en-US"/>
        </w:rPr>
        <w:t>th</w:t>
      </w:r>
      <w:r w:rsidR="00B34ED6">
        <w:rPr>
          <w:rFonts w:ascii="Arial" w:hAnsi="Arial" w:cs="Arial"/>
          <w:sz w:val="22"/>
          <w:szCs w:val="22"/>
          <w:lang w:val="en-US"/>
        </w:rPr>
        <w:t xml:space="preserve"> Florida location and </w:t>
      </w:r>
      <w:r w:rsidR="00B34ED6" w:rsidRPr="00165A4A">
        <w:rPr>
          <w:rFonts w:ascii="Arial" w:hAnsi="Arial" w:cs="Arial"/>
          <w:sz w:val="22"/>
          <w:szCs w:val="22"/>
          <w:lang w:val="en-US"/>
        </w:rPr>
        <w:t xml:space="preserve"> </w:t>
      </w:r>
      <w:r w:rsidR="00707E17" w:rsidRPr="00541ACF">
        <w:rPr>
          <w:rFonts w:ascii="Arial" w:hAnsi="Arial" w:cs="Arial"/>
          <w:sz w:val="22"/>
          <w:szCs w:val="22"/>
          <w:lang w:val="en-US"/>
        </w:rPr>
        <w:t>10</w:t>
      </w:r>
      <w:r w:rsidR="00707E17">
        <w:rPr>
          <w:rFonts w:ascii="Arial" w:hAnsi="Arial" w:cs="Arial"/>
          <w:sz w:val="22"/>
          <w:szCs w:val="22"/>
          <w:lang w:val="en-US"/>
        </w:rPr>
        <w:t>2</w:t>
      </w:r>
      <w:r w:rsidR="00707E17" w:rsidRPr="00707E17">
        <w:rPr>
          <w:rFonts w:ascii="Arial" w:hAnsi="Arial" w:cs="Arial"/>
          <w:sz w:val="22"/>
          <w:szCs w:val="22"/>
          <w:vertAlign w:val="superscript"/>
          <w:lang w:val="en-US"/>
        </w:rPr>
        <w:t>nd</w:t>
      </w:r>
      <w:r w:rsidR="00707E17">
        <w:rPr>
          <w:rFonts w:ascii="Arial" w:hAnsi="Arial" w:cs="Arial"/>
          <w:sz w:val="22"/>
          <w:szCs w:val="22"/>
          <w:lang w:val="en-US"/>
        </w:rPr>
        <w:t xml:space="preserve"> </w:t>
      </w:r>
      <w:r w:rsidR="00707E17" w:rsidRPr="00541ACF">
        <w:rPr>
          <w:rFonts w:ascii="Arial" w:hAnsi="Arial" w:cs="Arial"/>
          <w:sz w:val="22"/>
          <w:szCs w:val="22"/>
          <w:lang w:val="en-US"/>
        </w:rPr>
        <w:t>dispensary location affiliated with the Issuer nationwide</w:t>
      </w:r>
      <w:r w:rsidR="00707E17" w:rsidRPr="00165A4A">
        <w:rPr>
          <w:rFonts w:ascii="Arial" w:hAnsi="Arial" w:cs="Arial"/>
          <w:sz w:val="22"/>
          <w:szCs w:val="22"/>
          <w:lang w:val="en-US"/>
        </w:rPr>
        <w:t>. </w:t>
      </w:r>
      <w:r w:rsidR="0036240F" w:rsidRPr="00165A4A">
        <w:rPr>
          <w:rFonts w:ascii="Arial" w:hAnsi="Arial" w:cs="Arial"/>
          <w:sz w:val="22"/>
          <w:szCs w:val="22"/>
          <w:lang w:val="en-US"/>
        </w:rPr>
        <w:t xml:space="preserve">MÜV </w:t>
      </w:r>
      <w:r w:rsidR="0036240F">
        <w:rPr>
          <w:rFonts w:ascii="Arial" w:hAnsi="Arial" w:cs="Arial"/>
          <w:sz w:val="22"/>
          <w:szCs w:val="22"/>
          <w:lang w:val="en-US"/>
        </w:rPr>
        <w:t>Tamarac</w:t>
      </w:r>
      <w:r w:rsidR="0036240F" w:rsidRPr="0036240F">
        <w:rPr>
          <w:rFonts w:ascii="Arial" w:hAnsi="Arial" w:cs="Arial"/>
          <w:sz w:val="22"/>
          <w:szCs w:val="22"/>
          <w:lang w:val="en-US"/>
        </w:rPr>
        <w:t xml:space="preserve"> </w:t>
      </w:r>
      <w:r w:rsidR="0036240F">
        <w:rPr>
          <w:rFonts w:ascii="Arial" w:hAnsi="Arial" w:cs="Arial"/>
          <w:sz w:val="22"/>
          <w:szCs w:val="22"/>
          <w:lang w:val="en-US"/>
        </w:rPr>
        <w:t xml:space="preserve">is the Issuer’s second dispensary in </w:t>
      </w:r>
      <w:r w:rsidR="0036240F" w:rsidRPr="0036240F">
        <w:rPr>
          <w:rFonts w:ascii="Arial" w:hAnsi="Arial" w:cs="Arial"/>
          <w:sz w:val="22"/>
          <w:szCs w:val="22"/>
          <w:lang w:val="en-US"/>
        </w:rPr>
        <w:t>Broward county, the second most populous county in Florida</w:t>
      </w:r>
      <w:r w:rsidR="0036240F">
        <w:rPr>
          <w:rFonts w:ascii="Arial" w:hAnsi="Arial" w:cs="Arial"/>
          <w:sz w:val="22"/>
          <w:szCs w:val="22"/>
          <w:lang w:val="en-US"/>
        </w:rPr>
        <w:t xml:space="preserve">.  </w:t>
      </w:r>
      <w:r w:rsidR="00185910" w:rsidRPr="00793E2F">
        <w:rPr>
          <w:rFonts w:ascii="Arial" w:hAnsi="Arial" w:cs="Arial"/>
          <w:sz w:val="22"/>
          <w:szCs w:val="22"/>
        </w:rPr>
        <w:t xml:space="preserve">The </w:t>
      </w:r>
      <w:r w:rsidR="00185910"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 formulations in EnCaps™ capsules, tinctures, 72-hour transdermal patches and transdermal gels</w:t>
      </w:r>
      <w:r w:rsidR="00185910">
        <w:rPr>
          <w:rFonts w:ascii="Arial" w:hAnsi="Arial" w:cs="Arial"/>
          <w:color w:val="000000"/>
          <w:sz w:val="22"/>
          <w:szCs w:val="22"/>
        </w:rPr>
        <w:t>.</w:t>
      </w:r>
    </w:p>
    <w:p w14:paraId="3E83128E" w14:textId="67DD5D0E" w:rsidR="008F1BD5" w:rsidRPr="00314EA7" w:rsidRDefault="008F1BD5" w:rsidP="008F1BD5">
      <w:pPr>
        <w:pStyle w:val="List"/>
        <w:numPr>
          <w:ilvl w:val="0"/>
          <w:numId w:val="33"/>
        </w:numPr>
        <w:ind w:left="1800"/>
        <w:jc w:val="both"/>
        <w:rPr>
          <w:rFonts w:ascii="Arial" w:hAnsi="Arial" w:cs="Arial"/>
          <w:sz w:val="22"/>
          <w:szCs w:val="22"/>
          <w:lang w:val="en-US"/>
        </w:rPr>
      </w:pPr>
      <w:r w:rsidRPr="00B34ED6">
        <w:rPr>
          <w:rFonts w:ascii="Arial" w:hAnsi="Arial" w:cs="Arial"/>
          <w:sz w:val="22"/>
          <w:szCs w:val="22"/>
          <w:lang w:val="en-US"/>
        </w:rPr>
        <w:t xml:space="preserve">On July </w:t>
      </w:r>
      <w:r w:rsidR="00FB0B62">
        <w:rPr>
          <w:rFonts w:ascii="Arial" w:hAnsi="Arial" w:cs="Arial"/>
          <w:sz w:val="22"/>
          <w:szCs w:val="22"/>
          <w:lang w:val="en-US"/>
        </w:rPr>
        <w:t>8</w:t>
      </w:r>
      <w:r w:rsidRPr="00B34ED6">
        <w:rPr>
          <w:rFonts w:ascii="Arial" w:hAnsi="Arial" w:cs="Arial"/>
          <w:sz w:val="22"/>
          <w:szCs w:val="22"/>
          <w:lang w:val="en-US"/>
        </w:rPr>
        <w:t xml:space="preserve">, 2022, the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sidR="00E0780B">
        <w:rPr>
          <w:rFonts w:ascii="Arial" w:hAnsi="Arial" w:cs="Arial"/>
          <w:sz w:val="22"/>
          <w:szCs w:val="22"/>
          <w:lang w:val="en-US"/>
        </w:rPr>
        <w:t xml:space="preserve">Fort Myers Cypress and </w:t>
      </w:r>
      <w:r w:rsidR="00E0780B" w:rsidRPr="00165A4A">
        <w:rPr>
          <w:rFonts w:ascii="Arial" w:hAnsi="Arial" w:cs="Arial"/>
          <w:sz w:val="22"/>
          <w:szCs w:val="22"/>
          <w:lang w:val="en-US"/>
        </w:rPr>
        <w:t>MÜV</w:t>
      </w:r>
      <w:r w:rsidR="00E0780B">
        <w:rPr>
          <w:rFonts w:ascii="Arial" w:hAnsi="Arial" w:cs="Arial"/>
          <w:sz w:val="22"/>
          <w:szCs w:val="22"/>
          <w:lang w:val="en-US"/>
        </w:rPr>
        <w:t xml:space="preserve"> Sarasota Main</w:t>
      </w:r>
      <w:r>
        <w:rPr>
          <w:rFonts w:ascii="Arial" w:hAnsi="Arial" w:cs="Arial"/>
          <w:sz w:val="22"/>
          <w:szCs w:val="22"/>
          <w:lang w:val="en-US"/>
        </w:rPr>
        <w:t xml:space="preserve">, the Issuer’s </w:t>
      </w:r>
      <w:r w:rsidR="00E0780B">
        <w:rPr>
          <w:rFonts w:ascii="Arial" w:hAnsi="Arial" w:cs="Arial"/>
          <w:sz w:val="22"/>
          <w:szCs w:val="22"/>
          <w:lang w:val="en-US"/>
        </w:rPr>
        <w:t>50</w:t>
      </w:r>
      <w:r w:rsidRPr="00B34ED6">
        <w:rPr>
          <w:rFonts w:ascii="Arial" w:hAnsi="Arial" w:cs="Arial"/>
          <w:sz w:val="22"/>
          <w:szCs w:val="22"/>
          <w:vertAlign w:val="superscript"/>
          <w:lang w:val="en-US"/>
        </w:rPr>
        <w:t>th</w:t>
      </w:r>
      <w:r>
        <w:rPr>
          <w:rFonts w:ascii="Arial" w:hAnsi="Arial" w:cs="Arial"/>
          <w:sz w:val="22"/>
          <w:szCs w:val="22"/>
          <w:lang w:val="en-US"/>
        </w:rPr>
        <w:t xml:space="preserve"> </w:t>
      </w:r>
      <w:r w:rsidR="00E0780B">
        <w:rPr>
          <w:rFonts w:ascii="Arial" w:hAnsi="Arial" w:cs="Arial"/>
          <w:sz w:val="22"/>
          <w:szCs w:val="22"/>
          <w:lang w:val="en-US"/>
        </w:rPr>
        <w:t>and 51</w:t>
      </w:r>
      <w:r w:rsidR="00E0780B" w:rsidRPr="00E0780B">
        <w:rPr>
          <w:rFonts w:ascii="Arial" w:hAnsi="Arial" w:cs="Arial"/>
          <w:sz w:val="22"/>
          <w:szCs w:val="22"/>
          <w:vertAlign w:val="superscript"/>
          <w:lang w:val="en-US"/>
        </w:rPr>
        <w:t>st</w:t>
      </w:r>
      <w:r w:rsidR="00E0780B">
        <w:rPr>
          <w:rFonts w:ascii="Arial" w:hAnsi="Arial" w:cs="Arial"/>
          <w:sz w:val="22"/>
          <w:szCs w:val="22"/>
          <w:lang w:val="en-US"/>
        </w:rPr>
        <w:t xml:space="preserve"> </w:t>
      </w:r>
      <w:r>
        <w:rPr>
          <w:rFonts w:ascii="Arial" w:hAnsi="Arial" w:cs="Arial"/>
          <w:sz w:val="22"/>
          <w:szCs w:val="22"/>
          <w:lang w:val="en-US"/>
        </w:rPr>
        <w:t>Florida location</w:t>
      </w:r>
      <w:r w:rsidR="00E0780B">
        <w:rPr>
          <w:rFonts w:ascii="Arial" w:hAnsi="Arial" w:cs="Arial"/>
          <w:sz w:val="22"/>
          <w:szCs w:val="22"/>
          <w:lang w:val="en-US"/>
        </w:rPr>
        <w:t>s</w:t>
      </w:r>
      <w:r>
        <w:rPr>
          <w:rFonts w:ascii="Arial" w:hAnsi="Arial" w:cs="Arial"/>
          <w:sz w:val="22"/>
          <w:szCs w:val="22"/>
          <w:lang w:val="en-US"/>
        </w:rPr>
        <w:t xml:space="preserve"> and </w:t>
      </w:r>
      <w:r w:rsidRPr="00165A4A">
        <w:rPr>
          <w:rFonts w:ascii="Arial" w:hAnsi="Arial" w:cs="Arial"/>
          <w:sz w:val="22"/>
          <w:szCs w:val="22"/>
          <w:lang w:val="en-US"/>
        </w:rPr>
        <w:t xml:space="preserve"> </w:t>
      </w:r>
      <w:r w:rsidRPr="00541ACF">
        <w:rPr>
          <w:rFonts w:ascii="Arial" w:hAnsi="Arial" w:cs="Arial"/>
          <w:sz w:val="22"/>
          <w:szCs w:val="22"/>
          <w:lang w:val="en-US"/>
        </w:rPr>
        <w:t>10</w:t>
      </w:r>
      <w:r w:rsidR="00E0780B">
        <w:rPr>
          <w:rFonts w:ascii="Arial" w:hAnsi="Arial" w:cs="Arial"/>
          <w:sz w:val="22"/>
          <w:szCs w:val="22"/>
          <w:lang w:val="en-US"/>
        </w:rPr>
        <w:t>3</w:t>
      </w:r>
      <w:r w:rsidR="00E0780B">
        <w:rPr>
          <w:rFonts w:ascii="Arial" w:hAnsi="Arial" w:cs="Arial"/>
          <w:sz w:val="22"/>
          <w:szCs w:val="22"/>
          <w:vertAlign w:val="superscript"/>
          <w:lang w:val="en-US"/>
        </w:rPr>
        <w:t>r</w:t>
      </w:r>
      <w:r w:rsidRPr="00707E17">
        <w:rPr>
          <w:rFonts w:ascii="Arial" w:hAnsi="Arial" w:cs="Arial"/>
          <w:sz w:val="22"/>
          <w:szCs w:val="22"/>
          <w:vertAlign w:val="superscript"/>
          <w:lang w:val="en-US"/>
        </w:rPr>
        <w:t>d</w:t>
      </w:r>
      <w:r>
        <w:rPr>
          <w:rFonts w:ascii="Arial" w:hAnsi="Arial" w:cs="Arial"/>
          <w:sz w:val="22"/>
          <w:szCs w:val="22"/>
          <w:lang w:val="en-US"/>
        </w:rPr>
        <w:t xml:space="preserve"> </w:t>
      </w:r>
      <w:r w:rsidR="00E0780B">
        <w:rPr>
          <w:rFonts w:ascii="Arial" w:hAnsi="Arial" w:cs="Arial"/>
          <w:sz w:val="22"/>
          <w:szCs w:val="22"/>
          <w:lang w:val="en-US"/>
        </w:rPr>
        <w:t>and 104</w:t>
      </w:r>
      <w:r w:rsidR="00E0780B" w:rsidRPr="00E0780B">
        <w:rPr>
          <w:rFonts w:ascii="Arial" w:hAnsi="Arial" w:cs="Arial"/>
          <w:sz w:val="22"/>
          <w:szCs w:val="22"/>
          <w:vertAlign w:val="superscript"/>
          <w:lang w:val="en-US"/>
        </w:rPr>
        <w:t>th</w:t>
      </w:r>
      <w:r w:rsidR="00E0780B">
        <w:rPr>
          <w:rFonts w:ascii="Arial" w:hAnsi="Arial" w:cs="Arial"/>
          <w:sz w:val="22"/>
          <w:szCs w:val="22"/>
          <w:lang w:val="en-US"/>
        </w:rPr>
        <w:t xml:space="preserve"> </w:t>
      </w:r>
      <w:r w:rsidRPr="00541ACF">
        <w:rPr>
          <w:rFonts w:ascii="Arial" w:hAnsi="Arial" w:cs="Arial"/>
          <w:sz w:val="22"/>
          <w:szCs w:val="22"/>
          <w:lang w:val="en-US"/>
        </w:rPr>
        <w:t>dispensary location</w:t>
      </w:r>
      <w:r w:rsidR="00E0780B">
        <w:rPr>
          <w:rFonts w:ascii="Arial" w:hAnsi="Arial" w:cs="Arial"/>
          <w:sz w:val="22"/>
          <w:szCs w:val="22"/>
          <w:lang w:val="en-US"/>
        </w:rPr>
        <w:t>s</w:t>
      </w:r>
      <w:r w:rsidRPr="00541ACF">
        <w:rPr>
          <w:rFonts w:ascii="Arial" w:hAnsi="Arial" w:cs="Arial"/>
          <w:sz w:val="22"/>
          <w:szCs w:val="22"/>
          <w:lang w:val="en-US"/>
        </w:rPr>
        <w:t xml:space="preserve"> affiliated with the Issuer nationwide</w:t>
      </w:r>
      <w:r w:rsidRPr="00165A4A">
        <w:rPr>
          <w:rFonts w:ascii="Arial" w:hAnsi="Arial" w:cs="Arial"/>
          <w:sz w:val="22"/>
          <w:szCs w:val="22"/>
          <w:lang w:val="en-US"/>
        </w:rPr>
        <w:t>.</w:t>
      </w:r>
      <w:r>
        <w:rPr>
          <w:rFonts w:ascii="Arial" w:hAnsi="Arial" w:cs="Arial"/>
          <w:sz w:val="22"/>
          <w:szCs w:val="22"/>
          <w:lang w:val="en-US"/>
        </w:rPr>
        <w:t xml:space="preserve"> </w:t>
      </w:r>
      <w:r w:rsidRPr="00793E2F">
        <w:rPr>
          <w:rFonts w:ascii="Arial" w:hAnsi="Arial" w:cs="Arial"/>
          <w:sz w:val="22"/>
          <w:szCs w:val="22"/>
        </w:rPr>
        <w:lastRenderedPageBreak/>
        <w:t xml:space="preserve">The </w:t>
      </w:r>
      <w:r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 formulations in EnCaps™ capsules, tinctures, 72-hour transdermal patches and transdermal gels</w:t>
      </w:r>
      <w:r>
        <w:rPr>
          <w:rFonts w:ascii="Arial" w:hAnsi="Arial" w:cs="Arial"/>
          <w:color w:val="000000"/>
          <w:sz w:val="22"/>
          <w:szCs w:val="22"/>
        </w:rPr>
        <w:t>.</w:t>
      </w:r>
    </w:p>
    <w:p w14:paraId="2BC5E5DC" w14:textId="7AC62DB3" w:rsidR="00314EA7" w:rsidRDefault="00314EA7" w:rsidP="008F1BD5">
      <w:pPr>
        <w:pStyle w:val="List"/>
        <w:numPr>
          <w:ilvl w:val="0"/>
          <w:numId w:val="33"/>
        </w:numPr>
        <w:ind w:left="1800"/>
        <w:jc w:val="both"/>
        <w:rPr>
          <w:rFonts w:ascii="Arial" w:hAnsi="Arial" w:cs="Arial"/>
          <w:sz w:val="22"/>
          <w:szCs w:val="22"/>
          <w:lang w:val="en-US"/>
        </w:rPr>
      </w:pPr>
      <w:r>
        <w:rPr>
          <w:rFonts w:ascii="Arial" w:hAnsi="Arial" w:cs="Arial"/>
          <w:color w:val="000000"/>
          <w:sz w:val="22"/>
          <w:szCs w:val="22"/>
        </w:rPr>
        <w:t>On July 11, 2022, Richard Tarapchak commenced employment with a</w:t>
      </w:r>
      <w:r w:rsidR="00BB58A1">
        <w:rPr>
          <w:rFonts w:ascii="Arial" w:hAnsi="Arial" w:cs="Arial"/>
          <w:color w:val="000000"/>
          <w:sz w:val="22"/>
          <w:szCs w:val="22"/>
        </w:rPr>
        <w:t xml:space="preserve"> subsidiary</w:t>
      </w:r>
      <w:r>
        <w:rPr>
          <w:rFonts w:ascii="Arial" w:hAnsi="Arial" w:cs="Arial"/>
          <w:color w:val="000000"/>
          <w:sz w:val="22"/>
          <w:szCs w:val="22"/>
        </w:rPr>
        <w:t xml:space="preserve"> of the Issuer and began serving as the Issuer’s </w:t>
      </w:r>
      <w:r w:rsidR="00E033CC">
        <w:rPr>
          <w:rFonts w:ascii="Arial" w:hAnsi="Arial" w:cs="Arial"/>
          <w:color w:val="000000"/>
          <w:sz w:val="22"/>
          <w:szCs w:val="22"/>
        </w:rPr>
        <w:t>Executive Vice President, Finance – Corporate Controller.</w:t>
      </w:r>
      <w:r w:rsidR="00084B44">
        <w:rPr>
          <w:rFonts w:ascii="Arial" w:hAnsi="Arial" w:cs="Arial"/>
          <w:color w:val="000000"/>
          <w:sz w:val="22"/>
          <w:szCs w:val="22"/>
        </w:rPr>
        <w:t xml:space="preserve">  Mr. Tarapchak serves as the Issuer’s chief accounting officer in such role.</w:t>
      </w:r>
    </w:p>
    <w:p w14:paraId="4D68978E" w14:textId="5112194F" w:rsidR="00057160" w:rsidRDefault="00B61161" w:rsidP="003410C6">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 xml:space="preserve">On July 14, 2022, the Issuer </w:t>
      </w:r>
      <w:r w:rsidRPr="00B34ED6">
        <w:rPr>
          <w:rFonts w:ascii="Arial" w:hAnsi="Arial" w:cs="Arial"/>
          <w:sz w:val="22"/>
          <w:szCs w:val="22"/>
          <w:lang w:val="en-US"/>
        </w:rPr>
        <w:t xml:space="preserve">announced the opening </w:t>
      </w:r>
      <w:r w:rsidRPr="00793E2F">
        <w:rPr>
          <w:rFonts w:ascii="Arial" w:hAnsi="Arial" w:cs="Arial"/>
          <w:sz w:val="22"/>
          <w:szCs w:val="22"/>
          <w:lang w:val="en-US"/>
        </w:rPr>
        <w:t>of</w:t>
      </w:r>
      <w:r>
        <w:rPr>
          <w:rFonts w:ascii="Arial" w:hAnsi="Arial" w:cs="Arial"/>
          <w:sz w:val="22"/>
          <w:szCs w:val="22"/>
          <w:lang w:val="en-US"/>
        </w:rPr>
        <w:t xml:space="preserve"> Zen Leaf Wheeling, the Issuer’s third dispensary in West Virginia and 105</w:t>
      </w:r>
      <w:r w:rsidRPr="00B61161">
        <w:rPr>
          <w:rFonts w:ascii="Arial" w:hAnsi="Arial" w:cs="Arial"/>
          <w:sz w:val="22"/>
          <w:szCs w:val="22"/>
          <w:vertAlign w:val="superscript"/>
          <w:lang w:val="en-US"/>
        </w:rPr>
        <w:t>th</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sidR="008B0E73">
        <w:rPr>
          <w:rFonts w:ascii="Arial" w:hAnsi="Arial" w:cs="Arial"/>
          <w:sz w:val="22"/>
          <w:szCs w:val="22"/>
          <w:lang w:val="en-US"/>
        </w:rPr>
        <w:t xml:space="preserve">.  Zen Leaf Wheeling is the first </w:t>
      </w:r>
      <w:r w:rsidR="00D21ACB">
        <w:rPr>
          <w:rFonts w:ascii="Arial" w:hAnsi="Arial" w:cs="Arial"/>
          <w:sz w:val="22"/>
          <w:szCs w:val="22"/>
          <w:lang w:val="en-US"/>
        </w:rPr>
        <w:t xml:space="preserve">medical cannabis dispensary located in Wheeling, West Virginia.  </w:t>
      </w:r>
      <w:r w:rsidR="00D21ACB" w:rsidRPr="00D21ACB">
        <w:rPr>
          <w:rFonts w:ascii="Arial" w:hAnsi="Arial" w:cs="Arial"/>
          <w:sz w:val="22"/>
          <w:szCs w:val="22"/>
          <w:lang w:val="en-US"/>
        </w:rPr>
        <w:t>Zen Leaf Wheeling offer</w:t>
      </w:r>
      <w:r w:rsidR="00614B71">
        <w:rPr>
          <w:rFonts w:ascii="Arial" w:hAnsi="Arial" w:cs="Arial"/>
          <w:sz w:val="22"/>
          <w:szCs w:val="22"/>
          <w:lang w:val="en-US"/>
        </w:rPr>
        <w:t>s</w:t>
      </w:r>
      <w:r w:rsidR="00D21ACB" w:rsidRPr="00D21ACB">
        <w:rPr>
          <w:rFonts w:ascii="Arial" w:hAnsi="Arial" w:cs="Arial"/>
          <w:sz w:val="22"/>
          <w:szCs w:val="22"/>
          <w:lang w:val="en-US"/>
        </w:rPr>
        <w:t xml:space="preserve"> a variety of cannabis therapeutics, including flower, topicals, edibles, and vapes.</w:t>
      </w:r>
    </w:p>
    <w:p w14:paraId="0B2110BA" w14:textId="27759ED8" w:rsidR="00B856A3" w:rsidRPr="00C62509" w:rsidRDefault="00B856A3" w:rsidP="003410C6">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On July 15, 2022,</w:t>
      </w:r>
      <w:r w:rsidR="0036374C">
        <w:rPr>
          <w:rFonts w:ascii="Arial" w:hAnsi="Arial" w:cs="Arial"/>
          <w:sz w:val="22"/>
          <w:szCs w:val="22"/>
          <w:lang w:val="en-US"/>
        </w:rPr>
        <w:t xml:space="preserve"> </w:t>
      </w:r>
      <w:r w:rsidR="0036374C" w:rsidRPr="00B34ED6">
        <w:rPr>
          <w:rFonts w:ascii="Arial" w:hAnsi="Arial" w:cs="Arial"/>
          <w:sz w:val="22"/>
          <w:szCs w:val="22"/>
          <w:lang w:val="en-US"/>
        </w:rPr>
        <w:t xml:space="preserve">the Issuer announced the opening </w:t>
      </w:r>
      <w:r w:rsidR="0036374C" w:rsidRPr="00793E2F">
        <w:rPr>
          <w:rFonts w:ascii="Arial" w:hAnsi="Arial" w:cs="Arial"/>
          <w:sz w:val="22"/>
          <w:szCs w:val="22"/>
          <w:lang w:val="en-US"/>
        </w:rPr>
        <w:t xml:space="preserve">of </w:t>
      </w:r>
      <w:r w:rsidR="0036374C" w:rsidRPr="00165A4A">
        <w:rPr>
          <w:rFonts w:ascii="Arial" w:hAnsi="Arial" w:cs="Arial"/>
          <w:sz w:val="22"/>
          <w:szCs w:val="22"/>
          <w:lang w:val="en-US"/>
        </w:rPr>
        <w:t xml:space="preserve">MÜV </w:t>
      </w:r>
      <w:r w:rsidR="000F0CD0">
        <w:rPr>
          <w:rFonts w:ascii="Arial" w:hAnsi="Arial" w:cs="Arial"/>
          <w:sz w:val="22"/>
          <w:szCs w:val="22"/>
          <w:lang w:val="en-US"/>
        </w:rPr>
        <w:t>Sebring</w:t>
      </w:r>
      <w:r w:rsidR="0036374C">
        <w:rPr>
          <w:rFonts w:ascii="Arial" w:hAnsi="Arial" w:cs="Arial"/>
          <w:sz w:val="22"/>
          <w:szCs w:val="22"/>
          <w:lang w:val="en-US"/>
        </w:rPr>
        <w:t>, the Issuer’s 5</w:t>
      </w:r>
      <w:r w:rsidR="000F0CD0">
        <w:rPr>
          <w:rFonts w:ascii="Arial" w:hAnsi="Arial" w:cs="Arial"/>
          <w:sz w:val="22"/>
          <w:szCs w:val="22"/>
          <w:lang w:val="en-US"/>
        </w:rPr>
        <w:t>2</w:t>
      </w:r>
      <w:r w:rsidR="000F0CD0" w:rsidRPr="000F0CD0">
        <w:rPr>
          <w:rFonts w:ascii="Arial" w:hAnsi="Arial" w:cs="Arial"/>
          <w:sz w:val="22"/>
          <w:szCs w:val="22"/>
          <w:vertAlign w:val="superscript"/>
          <w:lang w:val="en-US"/>
        </w:rPr>
        <w:t>nd</w:t>
      </w:r>
      <w:r w:rsidR="000F0CD0">
        <w:rPr>
          <w:rFonts w:ascii="Arial" w:hAnsi="Arial" w:cs="Arial"/>
          <w:sz w:val="22"/>
          <w:szCs w:val="22"/>
          <w:lang w:val="en-US"/>
        </w:rPr>
        <w:t xml:space="preserve"> </w:t>
      </w:r>
      <w:r w:rsidR="0036374C">
        <w:rPr>
          <w:rFonts w:ascii="Arial" w:hAnsi="Arial" w:cs="Arial"/>
          <w:sz w:val="22"/>
          <w:szCs w:val="22"/>
          <w:lang w:val="en-US"/>
        </w:rPr>
        <w:t xml:space="preserve">Florida location and </w:t>
      </w:r>
      <w:r w:rsidR="0036374C" w:rsidRPr="00165A4A">
        <w:rPr>
          <w:rFonts w:ascii="Arial" w:hAnsi="Arial" w:cs="Arial"/>
          <w:sz w:val="22"/>
          <w:szCs w:val="22"/>
          <w:lang w:val="en-US"/>
        </w:rPr>
        <w:t xml:space="preserve"> </w:t>
      </w:r>
      <w:r w:rsidR="000F0CD0">
        <w:rPr>
          <w:rFonts w:ascii="Arial" w:hAnsi="Arial" w:cs="Arial"/>
          <w:sz w:val="22"/>
          <w:szCs w:val="22"/>
          <w:lang w:val="en-US"/>
        </w:rPr>
        <w:t>106</w:t>
      </w:r>
      <w:r w:rsidR="0036374C" w:rsidRPr="00E0780B">
        <w:rPr>
          <w:rFonts w:ascii="Arial" w:hAnsi="Arial" w:cs="Arial"/>
          <w:sz w:val="22"/>
          <w:szCs w:val="22"/>
          <w:vertAlign w:val="superscript"/>
          <w:lang w:val="en-US"/>
        </w:rPr>
        <w:t>th</w:t>
      </w:r>
      <w:r w:rsidR="0036374C">
        <w:rPr>
          <w:rFonts w:ascii="Arial" w:hAnsi="Arial" w:cs="Arial"/>
          <w:sz w:val="22"/>
          <w:szCs w:val="22"/>
          <w:lang w:val="en-US"/>
        </w:rPr>
        <w:t xml:space="preserve"> </w:t>
      </w:r>
      <w:r w:rsidR="0036374C" w:rsidRPr="00541ACF">
        <w:rPr>
          <w:rFonts w:ascii="Arial" w:hAnsi="Arial" w:cs="Arial"/>
          <w:sz w:val="22"/>
          <w:szCs w:val="22"/>
          <w:lang w:val="en-US"/>
        </w:rPr>
        <w:t>dispensary location affiliated with the Issuer nationwide</w:t>
      </w:r>
      <w:r w:rsidR="0036374C" w:rsidRPr="00165A4A">
        <w:rPr>
          <w:rFonts w:ascii="Arial" w:hAnsi="Arial" w:cs="Arial"/>
          <w:sz w:val="22"/>
          <w:szCs w:val="22"/>
          <w:lang w:val="en-US"/>
        </w:rPr>
        <w:t>.</w:t>
      </w:r>
      <w:r w:rsidR="000F0CD0">
        <w:rPr>
          <w:rFonts w:ascii="Arial" w:hAnsi="Arial" w:cs="Arial"/>
          <w:sz w:val="22"/>
          <w:szCs w:val="22"/>
          <w:lang w:val="en-US"/>
        </w:rPr>
        <w:t xml:space="preserve">  </w:t>
      </w:r>
      <w:r w:rsidR="000F0CD0" w:rsidRPr="00165A4A">
        <w:rPr>
          <w:rFonts w:ascii="Arial" w:hAnsi="Arial" w:cs="Arial"/>
          <w:sz w:val="22"/>
          <w:szCs w:val="22"/>
          <w:lang w:val="en-US"/>
        </w:rPr>
        <w:t xml:space="preserve">MÜV </w:t>
      </w:r>
      <w:r w:rsidR="000F0CD0">
        <w:rPr>
          <w:rFonts w:ascii="Arial" w:hAnsi="Arial" w:cs="Arial"/>
          <w:sz w:val="22"/>
          <w:szCs w:val="22"/>
          <w:lang w:val="en-US"/>
        </w:rPr>
        <w:t xml:space="preserve">Sebring is the Issuer’s first dispensary location in the </w:t>
      </w:r>
      <w:r w:rsidR="00A61354">
        <w:rPr>
          <w:rFonts w:ascii="Arial" w:hAnsi="Arial" w:cs="Arial"/>
          <w:sz w:val="22"/>
          <w:szCs w:val="22"/>
          <w:lang w:val="en-US"/>
        </w:rPr>
        <w:t>Florida Heartland region</w:t>
      </w:r>
      <w:r w:rsidR="000F0CD0">
        <w:rPr>
          <w:rFonts w:ascii="Arial" w:hAnsi="Arial" w:cs="Arial"/>
          <w:sz w:val="22"/>
          <w:szCs w:val="22"/>
          <w:lang w:val="en-US"/>
        </w:rPr>
        <w:t>.</w:t>
      </w:r>
      <w:r w:rsidR="0036374C">
        <w:rPr>
          <w:rFonts w:ascii="Arial" w:hAnsi="Arial" w:cs="Arial"/>
          <w:sz w:val="22"/>
          <w:szCs w:val="22"/>
          <w:lang w:val="en-US"/>
        </w:rPr>
        <w:t xml:space="preserve"> </w:t>
      </w:r>
      <w:r w:rsidR="0036374C" w:rsidRPr="00793E2F">
        <w:rPr>
          <w:rFonts w:ascii="Arial" w:hAnsi="Arial" w:cs="Arial"/>
          <w:sz w:val="22"/>
          <w:szCs w:val="22"/>
        </w:rPr>
        <w:t xml:space="preserve">The </w:t>
      </w:r>
      <w:r w:rsidR="0036374C"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 formulations in EnCaps™ capsules, tinctures, 72-hour transdermal patches and transdermal gels</w:t>
      </w:r>
      <w:r w:rsidR="0036374C">
        <w:rPr>
          <w:rFonts w:ascii="Arial" w:hAnsi="Arial" w:cs="Arial"/>
          <w:color w:val="000000"/>
          <w:sz w:val="22"/>
          <w:szCs w:val="22"/>
        </w:rPr>
        <w:t>.</w:t>
      </w:r>
    </w:p>
    <w:p w14:paraId="42177A40" w14:textId="57E25A24" w:rsidR="006D6881" w:rsidRPr="00D962AB" w:rsidRDefault="00BC31F2" w:rsidP="00D962AB">
      <w:pPr>
        <w:pStyle w:val="List"/>
        <w:numPr>
          <w:ilvl w:val="0"/>
          <w:numId w:val="33"/>
        </w:numPr>
        <w:ind w:left="1800"/>
        <w:jc w:val="both"/>
        <w:rPr>
          <w:rFonts w:ascii="Arial" w:hAnsi="Arial" w:cs="Arial"/>
          <w:sz w:val="22"/>
          <w:szCs w:val="22"/>
          <w:lang w:val="en-US"/>
        </w:rPr>
      </w:pPr>
      <w:r w:rsidRPr="00D962AB">
        <w:rPr>
          <w:rFonts w:ascii="Arial" w:hAnsi="Arial" w:cs="Arial"/>
          <w:sz w:val="22"/>
          <w:szCs w:val="22"/>
          <w:lang w:val="en-US"/>
        </w:rPr>
        <w:t xml:space="preserve">On July </w:t>
      </w:r>
      <w:r w:rsidR="006D6881" w:rsidRPr="00D962AB">
        <w:rPr>
          <w:rFonts w:ascii="Arial" w:hAnsi="Arial" w:cs="Arial"/>
          <w:sz w:val="22"/>
          <w:szCs w:val="22"/>
          <w:lang w:val="en-US"/>
        </w:rPr>
        <w:t>27</w:t>
      </w:r>
      <w:r w:rsidRPr="00D962AB">
        <w:rPr>
          <w:rFonts w:ascii="Arial" w:hAnsi="Arial" w:cs="Arial"/>
          <w:sz w:val="22"/>
          <w:szCs w:val="22"/>
          <w:lang w:val="en-US"/>
        </w:rPr>
        <w:t xml:space="preserve">, 2022, the Issuer filed </w:t>
      </w:r>
      <w:r w:rsidR="00F85F53" w:rsidRPr="00D962AB">
        <w:rPr>
          <w:rFonts w:ascii="Arial" w:hAnsi="Arial" w:cs="Arial"/>
          <w:sz w:val="22"/>
          <w:szCs w:val="22"/>
          <w:lang w:val="en-US"/>
        </w:rPr>
        <w:t>a Form 8-K</w:t>
      </w:r>
      <w:r w:rsidR="0071110C">
        <w:rPr>
          <w:rFonts w:ascii="Arial" w:hAnsi="Arial" w:cs="Arial"/>
          <w:sz w:val="22"/>
          <w:szCs w:val="22"/>
          <w:lang w:val="en-US"/>
        </w:rPr>
        <w:t xml:space="preserve"> (the “</w:t>
      </w:r>
      <w:r w:rsidR="0071110C" w:rsidRPr="0071110C">
        <w:rPr>
          <w:rFonts w:ascii="Arial" w:hAnsi="Arial" w:cs="Arial"/>
          <w:b/>
          <w:bCs/>
          <w:sz w:val="22"/>
          <w:szCs w:val="22"/>
          <w:lang w:val="en-US"/>
        </w:rPr>
        <w:t>July 8-K</w:t>
      </w:r>
      <w:r w:rsidR="0071110C">
        <w:rPr>
          <w:rFonts w:ascii="Arial" w:hAnsi="Arial" w:cs="Arial"/>
          <w:sz w:val="22"/>
          <w:szCs w:val="22"/>
          <w:lang w:val="en-US"/>
        </w:rPr>
        <w:t>”)</w:t>
      </w:r>
      <w:r w:rsidR="00F85F53" w:rsidRPr="00D962AB">
        <w:rPr>
          <w:rFonts w:ascii="Arial" w:hAnsi="Arial" w:cs="Arial"/>
          <w:sz w:val="22"/>
          <w:szCs w:val="22"/>
          <w:lang w:val="en-US"/>
        </w:rPr>
        <w:t xml:space="preserve"> with the US Securities and Exchange Commission </w:t>
      </w:r>
      <w:r w:rsidR="002A1044" w:rsidRPr="00D962AB">
        <w:rPr>
          <w:rFonts w:ascii="Arial" w:hAnsi="Arial" w:cs="Arial"/>
          <w:sz w:val="22"/>
          <w:szCs w:val="22"/>
          <w:lang w:val="en-US"/>
        </w:rPr>
        <w:t>(the “</w:t>
      </w:r>
      <w:r w:rsidR="002A1044" w:rsidRPr="00D962AB">
        <w:rPr>
          <w:rFonts w:ascii="Arial" w:hAnsi="Arial" w:cs="Arial"/>
          <w:b/>
          <w:bCs/>
          <w:sz w:val="22"/>
          <w:szCs w:val="22"/>
          <w:lang w:val="en-US"/>
        </w:rPr>
        <w:t>SEC</w:t>
      </w:r>
      <w:r w:rsidR="002A1044" w:rsidRPr="00D962AB">
        <w:rPr>
          <w:rFonts w:ascii="Arial" w:hAnsi="Arial" w:cs="Arial"/>
          <w:sz w:val="22"/>
          <w:szCs w:val="22"/>
          <w:lang w:val="en-US"/>
        </w:rPr>
        <w:t xml:space="preserve">”) </w:t>
      </w:r>
      <w:r w:rsidR="00F85F53" w:rsidRPr="00D962AB">
        <w:rPr>
          <w:rFonts w:ascii="Arial" w:hAnsi="Arial" w:cs="Arial"/>
          <w:sz w:val="22"/>
          <w:szCs w:val="22"/>
          <w:lang w:val="en-US"/>
        </w:rPr>
        <w:t xml:space="preserve">announcing that the Issuer’s </w:t>
      </w:r>
      <w:r w:rsidR="006D6881" w:rsidRPr="00D962AB">
        <w:rPr>
          <w:rFonts w:ascii="Arial" w:hAnsi="Arial" w:cs="Arial"/>
          <w:sz w:val="22"/>
          <w:szCs w:val="22"/>
          <w:lang w:val="en-US"/>
        </w:rPr>
        <w:t>Audit Committee of the Board of Directors</w:t>
      </w:r>
      <w:r w:rsidR="008533C6">
        <w:rPr>
          <w:rFonts w:ascii="Arial" w:hAnsi="Arial" w:cs="Arial"/>
          <w:sz w:val="22"/>
          <w:szCs w:val="22"/>
          <w:lang w:val="en-US"/>
        </w:rPr>
        <w:t>,</w:t>
      </w:r>
      <w:r w:rsidR="006D6881" w:rsidRPr="00D962AB">
        <w:rPr>
          <w:rFonts w:ascii="Arial" w:hAnsi="Arial" w:cs="Arial"/>
          <w:sz w:val="22"/>
          <w:szCs w:val="22"/>
          <w:lang w:val="en-US"/>
        </w:rPr>
        <w:t xml:space="preserve"> in consultation with the Issuer’s management, determined that the Issuer will be required to restate each of the previously issued financial statements set forth below (collectively, the “</w:t>
      </w:r>
      <w:r w:rsidR="006D6881" w:rsidRPr="00D962AB">
        <w:rPr>
          <w:rFonts w:ascii="Arial" w:hAnsi="Arial" w:cs="Arial"/>
          <w:b/>
          <w:bCs/>
          <w:sz w:val="22"/>
          <w:szCs w:val="22"/>
          <w:lang w:val="en-US"/>
        </w:rPr>
        <w:t>Prior Period Financials</w:t>
      </w:r>
      <w:r w:rsidR="006D6881" w:rsidRPr="00D962AB">
        <w:rPr>
          <w:rFonts w:ascii="Arial" w:hAnsi="Arial" w:cs="Arial"/>
          <w:sz w:val="22"/>
          <w:szCs w:val="22"/>
          <w:lang w:val="en-US"/>
        </w:rPr>
        <w:t>”), all of which should therefore no longer be relied upon</w:t>
      </w:r>
      <w:r w:rsidR="00D962AB" w:rsidRPr="00D962AB">
        <w:rPr>
          <w:rFonts w:ascii="Arial" w:hAnsi="Arial" w:cs="Arial"/>
          <w:sz w:val="22"/>
          <w:szCs w:val="22"/>
          <w:lang w:val="en-US"/>
        </w:rPr>
        <w:t xml:space="preserve">, and all related disclosures, previously furnished or filed reports, related earnings releases, investor presentations or similar communications of the </w:t>
      </w:r>
      <w:r w:rsidR="00D962AB">
        <w:rPr>
          <w:rFonts w:ascii="Arial" w:hAnsi="Arial" w:cs="Arial"/>
          <w:sz w:val="22"/>
          <w:szCs w:val="22"/>
          <w:lang w:val="en-US"/>
        </w:rPr>
        <w:t>Issuer</w:t>
      </w:r>
      <w:r w:rsidR="00D962AB" w:rsidRPr="00D962AB">
        <w:rPr>
          <w:rFonts w:ascii="Arial" w:hAnsi="Arial" w:cs="Arial"/>
          <w:sz w:val="22"/>
          <w:szCs w:val="22"/>
          <w:lang w:val="en-US"/>
        </w:rPr>
        <w:t xml:space="preserve"> describing the </w:t>
      </w:r>
      <w:r w:rsidR="00D962AB">
        <w:rPr>
          <w:rFonts w:ascii="Arial" w:hAnsi="Arial" w:cs="Arial"/>
          <w:sz w:val="22"/>
          <w:szCs w:val="22"/>
          <w:lang w:val="en-US"/>
        </w:rPr>
        <w:t>Issuer</w:t>
      </w:r>
      <w:r w:rsidR="00D962AB" w:rsidRPr="00D962AB">
        <w:rPr>
          <w:rFonts w:ascii="Arial" w:hAnsi="Arial" w:cs="Arial"/>
          <w:sz w:val="22"/>
          <w:szCs w:val="22"/>
          <w:lang w:val="en-US"/>
        </w:rPr>
        <w:t>’s financial results in connection with the Prior Period</w:t>
      </w:r>
      <w:r w:rsidR="00D962AB">
        <w:rPr>
          <w:rFonts w:ascii="Arial" w:hAnsi="Arial" w:cs="Arial"/>
          <w:sz w:val="22"/>
          <w:szCs w:val="22"/>
          <w:lang w:val="en-US"/>
        </w:rPr>
        <w:t xml:space="preserve"> </w:t>
      </w:r>
      <w:r w:rsidR="00D962AB" w:rsidRPr="00D962AB">
        <w:rPr>
          <w:rFonts w:ascii="Arial" w:hAnsi="Arial" w:cs="Arial"/>
          <w:sz w:val="22"/>
          <w:szCs w:val="22"/>
          <w:lang w:val="en-US"/>
        </w:rPr>
        <w:t>Financials should no longer be relied upon.</w:t>
      </w:r>
    </w:p>
    <w:p w14:paraId="7656567D" w14:textId="25E830EB" w:rsidR="00954014" w:rsidRPr="00954014" w:rsidRDefault="00954014" w:rsidP="00C30213">
      <w:pPr>
        <w:pStyle w:val="List"/>
        <w:numPr>
          <w:ilvl w:val="0"/>
          <w:numId w:val="34"/>
        </w:numPr>
        <w:contextualSpacing/>
        <w:jc w:val="both"/>
        <w:rPr>
          <w:rFonts w:ascii="Arial" w:hAnsi="Arial" w:cs="Arial"/>
          <w:sz w:val="22"/>
          <w:szCs w:val="22"/>
        </w:rPr>
      </w:pPr>
      <w:r>
        <w:rPr>
          <w:rFonts w:ascii="Arial" w:hAnsi="Arial" w:cs="Arial"/>
          <w:sz w:val="22"/>
          <w:szCs w:val="22"/>
        </w:rPr>
        <w:t>Issuer</w:t>
      </w:r>
      <w:r w:rsidRPr="00954014">
        <w:rPr>
          <w:rFonts w:ascii="Arial" w:hAnsi="Arial" w:cs="Arial"/>
          <w:sz w:val="22"/>
          <w:szCs w:val="22"/>
        </w:rPr>
        <w:t>’s Unaudited Condensed Interim Consolidated Financial Statements for the Quarter Ended March 31,</w:t>
      </w:r>
      <w:r>
        <w:rPr>
          <w:rFonts w:ascii="Arial" w:hAnsi="Arial" w:cs="Arial"/>
          <w:sz w:val="22"/>
          <w:szCs w:val="22"/>
        </w:rPr>
        <w:t xml:space="preserve"> </w:t>
      </w:r>
      <w:r w:rsidRPr="00954014">
        <w:rPr>
          <w:rFonts w:ascii="Arial" w:hAnsi="Arial" w:cs="Arial"/>
          <w:sz w:val="22"/>
          <w:szCs w:val="22"/>
        </w:rPr>
        <w:t>2021, filed in Canada on the System for Electronic Document Analysis and Retrieval (“</w:t>
      </w:r>
      <w:r w:rsidRPr="00954014">
        <w:rPr>
          <w:rFonts w:ascii="Arial" w:hAnsi="Arial" w:cs="Arial"/>
          <w:b/>
          <w:bCs/>
          <w:sz w:val="22"/>
          <w:szCs w:val="22"/>
        </w:rPr>
        <w:t>SEDAR</w:t>
      </w:r>
      <w:r w:rsidRPr="00954014">
        <w:rPr>
          <w:rFonts w:ascii="Arial" w:hAnsi="Arial" w:cs="Arial"/>
          <w:sz w:val="22"/>
          <w:szCs w:val="22"/>
        </w:rPr>
        <w:t>”) on May 18, 2021, as amended on April 26, 2022;</w:t>
      </w:r>
    </w:p>
    <w:p w14:paraId="7D898435" w14:textId="587330BB" w:rsidR="00954014" w:rsidRPr="00954014" w:rsidRDefault="00954014" w:rsidP="00C30213">
      <w:pPr>
        <w:pStyle w:val="List"/>
        <w:numPr>
          <w:ilvl w:val="0"/>
          <w:numId w:val="34"/>
        </w:numPr>
        <w:contextualSpacing/>
        <w:jc w:val="both"/>
        <w:rPr>
          <w:rFonts w:ascii="Arial" w:hAnsi="Arial" w:cs="Arial"/>
          <w:sz w:val="22"/>
          <w:szCs w:val="22"/>
        </w:rPr>
      </w:pPr>
      <w:r>
        <w:rPr>
          <w:rFonts w:ascii="Arial" w:hAnsi="Arial" w:cs="Arial"/>
          <w:sz w:val="22"/>
          <w:szCs w:val="22"/>
        </w:rPr>
        <w:t>Issuer</w:t>
      </w:r>
      <w:r w:rsidRPr="00954014">
        <w:rPr>
          <w:rFonts w:ascii="Arial" w:hAnsi="Arial" w:cs="Arial"/>
          <w:sz w:val="22"/>
          <w:szCs w:val="22"/>
        </w:rPr>
        <w:t>’s Unaudited Condensed Interim Consolidated Financial Statements for the Quarter Ended June 30,</w:t>
      </w:r>
      <w:r>
        <w:rPr>
          <w:rFonts w:ascii="Arial" w:hAnsi="Arial" w:cs="Arial"/>
          <w:sz w:val="22"/>
          <w:szCs w:val="22"/>
        </w:rPr>
        <w:t xml:space="preserve"> </w:t>
      </w:r>
      <w:r w:rsidRPr="00954014">
        <w:rPr>
          <w:rFonts w:ascii="Arial" w:hAnsi="Arial" w:cs="Arial"/>
          <w:sz w:val="22"/>
          <w:szCs w:val="22"/>
        </w:rPr>
        <w:t>2021, filed in Canada on SEDAR on August 10, 2021, as amended on April 26, 2022;</w:t>
      </w:r>
    </w:p>
    <w:p w14:paraId="22315C90" w14:textId="4CABBCB0" w:rsidR="00954014" w:rsidRPr="00954014" w:rsidRDefault="00954014" w:rsidP="00C30213">
      <w:pPr>
        <w:pStyle w:val="List"/>
        <w:numPr>
          <w:ilvl w:val="0"/>
          <w:numId w:val="34"/>
        </w:numPr>
        <w:contextualSpacing/>
        <w:jc w:val="both"/>
        <w:rPr>
          <w:rFonts w:ascii="Arial" w:hAnsi="Arial" w:cs="Arial"/>
          <w:sz w:val="22"/>
          <w:szCs w:val="22"/>
        </w:rPr>
      </w:pPr>
      <w:r>
        <w:rPr>
          <w:rFonts w:ascii="Arial" w:hAnsi="Arial" w:cs="Arial"/>
          <w:sz w:val="22"/>
          <w:szCs w:val="22"/>
        </w:rPr>
        <w:t>Issuer</w:t>
      </w:r>
      <w:r w:rsidRPr="00954014">
        <w:rPr>
          <w:rFonts w:ascii="Arial" w:hAnsi="Arial" w:cs="Arial"/>
          <w:sz w:val="22"/>
          <w:szCs w:val="22"/>
        </w:rPr>
        <w:t>’s Unaudited Condensed Interim Consolidated Financial Statements for the Quarter Ended September</w:t>
      </w:r>
      <w:r>
        <w:rPr>
          <w:rFonts w:ascii="Arial" w:hAnsi="Arial" w:cs="Arial"/>
          <w:sz w:val="22"/>
          <w:szCs w:val="22"/>
        </w:rPr>
        <w:t xml:space="preserve"> </w:t>
      </w:r>
      <w:r w:rsidRPr="00954014">
        <w:rPr>
          <w:rFonts w:ascii="Arial" w:hAnsi="Arial" w:cs="Arial"/>
          <w:sz w:val="22"/>
          <w:szCs w:val="22"/>
        </w:rPr>
        <w:t>30, 2021, filed in Canada on SEDAR on November 16, 2021, as amended on April 26, 2022;</w:t>
      </w:r>
    </w:p>
    <w:p w14:paraId="2A68D6C0" w14:textId="57023AEB" w:rsidR="00954014" w:rsidRPr="00954014" w:rsidRDefault="00954014" w:rsidP="00C30213">
      <w:pPr>
        <w:pStyle w:val="List"/>
        <w:numPr>
          <w:ilvl w:val="0"/>
          <w:numId w:val="34"/>
        </w:numPr>
        <w:contextualSpacing/>
        <w:jc w:val="both"/>
        <w:rPr>
          <w:rFonts w:ascii="Arial" w:hAnsi="Arial" w:cs="Arial"/>
          <w:sz w:val="22"/>
          <w:szCs w:val="22"/>
        </w:rPr>
      </w:pPr>
      <w:r>
        <w:rPr>
          <w:rFonts w:ascii="Arial" w:hAnsi="Arial" w:cs="Arial"/>
          <w:sz w:val="22"/>
          <w:szCs w:val="22"/>
        </w:rPr>
        <w:t>Issuer</w:t>
      </w:r>
      <w:r w:rsidRPr="00954014">
        <w:rPr>
          <w:rFonts w:ascii="Arial" w:hAnsi="Arial" w:cs="Arial"/>
          <w:sz w:val="22"/>
          <w:szCs w:val="22"/>
        </w:rPr>
        <w:t xml:space="preserve">’s Unaudited Interim Condensed Consolidated Financial Statements for the Quarter Ended March 31, 2022, set forth in the </w:t>
      </w:r>
      <w:r>
        <w:rPr>
          <w:rFonts w:ascii="Arial" w:hAnsi="Arial" w:cs="Arial"/>
          <w:sz w:val="22"/>
          <w:szCs w:val="22"/>
        </w:rPr>
        <w:t>Issuer</w:t>
      </w:r>
      <w:r w:rsidRPr="00954014">
        <w:rPr>
          <w:rFonts w:ascii="Arial" w:hAnsi="Arial" w:cs="Arial"/>
          <w:sz w:val="22"/>
          <w:szCs w:val="22"/>
        </w:rPr>
        <w:t xml:space="preserve">’s Registration Statement on Form 10 filed with the </w:t>
      </w:r>
      <w:r>
        <w:rPr>
          <w:rFonts w:ascii="Arial" w:hAnsi="Arial" w:cs="Arial"/>
          <w:sz w:val="22"/>
          <w:szCs w:val="22"/>
        </w:rPr>
        <w:t xml:space="preserve">SEC </w:t>
      </w:r>
      <w:r w:rsidRPr="00954014">
        <w:rPr>
          <w:rFonts w:ascii="Arial" w:hAnsi="Arial" w:cs="Arial"/>
          <w:sz w:val="22"/>
          <w:szCs w:val="22"/>
        </w:rPr>
        <w:t>on April 26, 2022, and amended on June 17, 2022 (the “</w:t>
      </w:r>
      <w:r w:rsidRPr="00954014">
        <w:rPr>
          <w:rFonts w:ascii="Arial" w:hAnsi="Arial" w:cs="Arial"/>
          <w:b/>
          <w:bCs/>
          <w:sz w:val="22"/>
          <w:szCs w:val="22"/>
        </w:rPr>
        <w:t>Form 10</w:t>
      </w:r>
      <w:r w:rsidRPr="00954014">
        <w:rPr>
          <w:rFonts w:ascii="Arial" w:hAnsi="Arial" w:cs="Arial"/>
          <w:sz w:val="22"/>
          <w:szCs w:val="22"/>
        </w:rPr>
        <w:t>”) and filed in Canada on SEDAR on June 17, 2022; and</w:t>
      </w:r>
    </w:p>
    <w:p w14:paraId="7CF7CFB2" w14:textId="1555F449" w:rsidR="00954014" w:rsidRDefault="00954014" w:rsidP="00C30213">
      <w:pPr>
        <w:pStyle w:val="List"/>
        <w:numPr>
          <w:ilvl w:val="0"/>
          <w:numId w:val="34"/>
        </w:numPr>
        <w:contextualSpacing/>
        <w:jc w:val="both"/>
        <w:rPr>
          <w:rFonts w:ascii="Arial" w:hAnsi="Arial" w:cs="Arial"/>
          <w:sz w:val="22"/>
          <w:szCs w:val="22"/>
          <w:lang w:val="en-US"/>
        </w:rPr>
      </w:pPr>
      <w:r w:rsidRPr="00954014">
        <w:rPr>
          <w:rFonts w:ascii="Arial" w:hAnsi="Arial" w:cs="Arial"/>
          <w:sz w:val="22"/>
          <w:szCs w:val="22"/>
        </w:rPr>
        <w:lastRenderedPageBreak/>
        <w:t>Issuer’s Audited Consolidated Financial Statements for the Year Ended December 31, 2021, set forth in th</w:t>
      </w:r>
      <w:r>
        <w:rPr>
          <w:rFonts w:ascii="Arial" w:hAnsi="Arial" w:cs="Arial"/>
          <w:sz w:val="22"/>
          <w:szCs w:val="22"/>
        </w:rPr>
        <w:t xml:space="preserve">e </w:t>
      </w:r>
      <w:r w:rsidRPr="00954014">
        <w:rPr>
          <w:rFonts w:ascii="Arial" w:hAnsi="Arial" w:cs="Arial"/>
          <w:sz w:val="22"/>
          <w:szCs w:val="22"/>
          <w:lang w:val="en-US"/>
        </w:rPr>
        <w:t>Form 10 and filed in Canada on SEDAR on May 2, 2022.</w:t>
      </w:r>
      <w:r w:rsidR="00F85F53" w:rsidRPr="00954014">
        <w:rPr>
          <w:rFonts w:ascii="Arial" w:hAnsi="Arial" w:cs="Arial"/>
          <w:sz w:val="22"/>
          <w:szCs w:val="22"/>
          <w:lang w:val="en-US"/>
        </w:rPr>
        <w:t xml:space="preserve"> </w:t>
      </w:r>
    </w:p>
    <w:p w14:paraId="637A15C3" w14:textId="66C28FC3" w:rsidR="00D92644" w:rsidRPr="00A822A4" w:rsidRDefault="00B961A6" w:rsidP="00D92644">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 xml:space="preserve">On July 28, 2022, </w:t>
      </w:r>
      <w:r w:rsidRPr="00B34ED6">
        <w:rPr>
          <w:rFonts w:ascii="Arial" w:hAnsi="Arial" w:cs="Arial"/>
          <w:sz w:val="22"/>
          <w:szCs w:val="22"/>
          <w:lang w:val="en-US"/>
        </w:rPr>
        <w:t xml:space="preserve">the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Pr>
          <w:rFonts w:ascii="Arial" w:hAnsi="Arial" w:cs="Arial"/>
          <w:sz w:val="22"/>
          <w:szCs w:val="22"/>
          <w:lang w:val="en-US"/>
        </w:rPr>
        <w:t>Port Charlotte, the Issuer’s 53</w:t>
      </w:r>
      <w:r w:rsidRPr="000F0CD0">
        <w:rPr>
          <w:rFonts w:ascii="Arial" w:hAnsi="Arial" w:cs="Arial"/>
          <w:sz w:val="22"/>
          <w:szCs w:val="22"/>
          <w:vertAlign w:val="superscript"/>
          <w:lang w:val="en-US"/>
        </w:rPr>
        <w:t>nd</w:t>
      </w:r>
      <w:r>
        <w:rPr>
          <w:rFonts w:ascii="Arial" w:hAnsi="Arial" w:cs="Arial"/>
          <w:sz w:val="22"/>
          <w:szCs w:val="22"/>
          <w:lang w:val="en-US"/>
        </w:rPr>
        <w:t xml:space="preserve"> Florida location and </w:t>
      </w:r>
      <w:r w:rsidRPr="00165A4A">
        <w:rPr>
          <w:rFonts w:ascii="Arial" w:hAnsi="Arial" w:cs="Arial"/>
          <w:sz w:val="22"/>
          <w:szCs w:val="22"/>
          <w:lang w:val="en-US"/>
        </w:rPr>
        <w:t xml:space="preserve"> </w:t>
      </w:r>
      <w:r>
        <w:rPr>
          <w:rFonts w:ascii="Arial" w:hAnsi="Arial" w:cs="Arial"/>
          <w:sz w:val="22"/>
          <w:szCs w:val="22"/>
          <w:lang w:val="en-US"/>
        </w:rPr>
        <w:t>107</w:t>
      </w:r>
      <w:r w:rsidRPr="00E0780B">
        <w:rPr>
          <w:rFonts w:ascii="Arial" w:hAnsi="Arial" w:cs="Arial"/>
          <w:sz w:val="22"/>
          <w:szCs w:val="22"/>
          <w:vertAlign w:val="superscript"/>
          <w:lang w:val="en-US"/>
        </w:rPr>
        <w:t>th</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Pr>
          <w:rFonts w:ascii="Arial" w:hAnsi="Arial" w:cs="Arial"/>
          <w:sz w:val="22"/>
          <w:szCs w:val="22"/>
          <w:lang w:val="en-US"/>
        </w:rPr>
        <w:t xml:space="preserve">.  </w:t>
      </w:r>
      <w:r w:rsidRPr="00793E2F">
        <w:rPr>
          <w:rFonts w:ascii="Arial" w:hAnsi="Arial" w:cs="Arial"/>
          <w:sz w:val="22"/>
          <w:szCs w:val="22"/>
        </w:rPr>
        <w:t xml:space="preserve">The </w:t>
      </w:r>
      <w:r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 formulations in EnCaps™ capsules, tinctures, 72-hour transdermal patches and transdermal gels</w:t>
      </w:r>
      <w:r>
        <w:rPr>
          <w:rFonts w:ascii="Arial" w:hAnsi="Arial" w:cs="Arial"/>
          <w:color w:val="000000"/>
          <w:sz w:val="22"/>
          <w:szCs w:val="22"/>
        </w:rPr>
        <w:t>.</w:t>
      </w:r>
    </w:p>
    <w:p w14:paraId="007BC432" w14:textId="62207389" w:rsidR="00A822A4" w:rsidRDefault="00A822A4" w:rsidP="00D92644">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 xml:space="preserve">On July 28, 2022, </w:t>
      </w:r>
      <w:r w:rsidRPr="00B34ED6">
        <w:rPr>
          <w:rFonts w:ascii="Arial" w:hAnsi="Arial" w:cs="Arial"/>
          <w:sz w:val="22"/>
          <w:szCs w:val="22"/>
          <w:lang w:val="en-US"/>
        </w:rPr>
        <w:t>the Issuer announced</w:t>
      </w:r>
      <w:r w:rsidR="00FA2EFD">
        <w:rPr>
          <w:rFonts w:ascii="Arial" w:hAnsi="Arial" w:cs="Arial"/>
          <w:sz w:val="22"/>
          <w:szCs w:val="22"/>
          <w:lang w:val="en-US"/>
        </w:rPr>
        <w:t xml:space="preserve"> </w:t>
      </w:r>
      <w:r w:rsidR="00FA2EFD" w:rsidRPr="00FA2EFD">
        <w:rPr>
          <w:rFonts w:ascii="Arial" w:hAnsi="Arial" w:cs="Arial"/>
          <w:sz w:val="22"/>
          <w:szCs w:val="22"/>
          <w:lang w:val="en-US"/>
        </w:rPr>
        <w:t>that its Zen Leaf Neptune dispensary in New Jersey has received all required approvals from municipal and state officials to commence adult use sales. Verano offers a wide range of premium cannabis products sold at its Zen Leaf New Jersey locations, including concentrates, edibles, vaporizers and flower. </w:t>
      </w:r>
    </w:p>
    <w:p w14:paraId="7BF90A7A" w14:textId="77777777" w:rsidR="00490F11" w:rsidRPr="00793E2F" w:rsidRDefault="00490F11" w:rsidP="00490F11">
      <w:pPr>
        <w:pStyle w:val="ListParagraph"/>
        <w:rPr>
          <w:rFonts w:ascii="Arial" w:hAnsi="Arial" w:cs="Arial"/>
          <w:sz w:val="22"/>
          <w:szCs w:val="22"/>
        </w:rPr>
      </w:pP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1D894F91"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t>The Issuer is a vertically</w:t>
      </w:r>
      <w:r w:rsidR="001D42ED">
        <w:rPr>
          <w:rFonts w:ascii="Arial" w:hAnsi="Arial" w:cs="Arial"/>
          <w:sz w:val="22"/>
          <w:szCs w:val="22"/>
          <w:lang w:val="en-US"/>
        </w:rPr>
        <w:t xml:space="preserve"> </w:t>
      </w:r>
      <w:r w:rsidRPr="00793E2F">
        <w:rPr>
          <w:rFonts w:ascii="Arial" w:hAnsi="Arial" w:cs="Arial"/>
          <w:sz w:val="22"/>
          <w:szCs w:val="22"/>
          <w:lang w:val="en-US"/>
        </w:rPr>
        <w:t xml:space="preserve">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and MÜV</w:t>
      </w:r>
      <w:r w:rsidR="00E40B49" w:rsidRPr="00793E2F">
        <w:rPr>
          <w:rFonts w:ascii="Arial" w:hAnsi="Arial" w:cs="Arial"/>
          <w:sz w:val="22"/>
          <w:szCs w:val="22"/>
        </w:rPr>
        <w:t>™</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Zen Leaf™ and MÜV™, among others, delivering a superior cannabis shopping experience in both medical and adult-use markets. </w:t>
      </w:r>
      <w:r w:rsidRPr="00793E2F">
        <w:rPr>
          <w:rFonts w:ascii="Arial" w:hAnsi="Arial" w:cs="Arial"/>
          <w:sz w:val="22"/>
          <w:szCs w:val="22"/>
          <w:lang w:val="en-US"/>
        </w:rPr>
        <w:t xml:space="preserve">The Issuer’s portfolio encompasses </w:t>
      </w:r>
      <w:r w:rsidR="00654900">
        <w:rPr>
          <w:rFonts w:ascii="Arial" w:hAnsi="Arial" w:cs="Arial"/>
          <w:sz w:val="22"/>
          <w:szCs w:val="22"/>
          <w:lang w:val="en-US"/>
        </w:rPr>
        <w:t xml:space="preserve">14 </w:t>
      </w:r>
      <w:r w:rsidR="00654900" w:rsidRPr="00793E2F">
        <w:rPr>
          <w:rFonts w:ascii="Arial" w:hAnsi="Arial" w:cs="Arial"/>
          <w:sz w:val="22"/>
          <w:szCs w:val="22"/>
          <w:lang w:val="en-US"/>
        </w:rPr>
        <w:t xml:space="preserve">U.S. </w:t>
      </w:r>
      <w:r w:rsidR="00654900">
        <w:rPr>
          <w:rFonts w:ascii="Arial" w:hAnsi="Arial" w:cs="Arial"/>
          <w:sz w:val="22"/>
          <w:szCs w:val="22"/>
          <w:lang w:val="en-US"/>
        </w:rPr>
        <w:t xml:space="preserve">states, with </w:t>
      </w:r>
      <w:r w:rsidR="00F95C47">
        <w:rPr>
          <w:rFonts w:ascii="Arial" w:hAnsi="Arial" w:cs="Arial"/>
          <w:sz w:val="22"/>
          <w:szCs w:val="22"/>
          <w:lang w:val="en-US"/>
        </w:rPr>
        <w:t>active operations in 13</w:t>
      </w:r>
      <w:r w:rsidRPr="00793E2F">
        <w:rPr>
          <w:rFonts w:ascii="Arial" w:hAnsi="Arial" w:cs="Arial"/>
          <w:sz w:val="22"/>
          <w:szCs w:val="22"/>
          <w:lang w:val="en-US"/>
        </w:rPr>
        <w:t xml:space="preserve"> U.S. States</w:t>
      </w:r>
      <w:r w:rsidR="0037175D">
        <w:rPr>
          <w:rFonts w:ascii="Arial" w:hAnsi="Arial" w:cs="Arial"/>
          <w:sz w:val="22"/>
          <w:szCs w:val="22"/>
          <w:lang w:val="en-US"/>
        </w:rPr>
        <w:t>,</w:t>
      </w:r>
      <w:r w:rsidR="00E67615" w:rsidRPr="00793E2F">
        <w:rPr>
          <w:rFonts w:ascii="Arial" w:hAnsi="Arial" w:cs="Arial"/>
          <w:sz w:val="22"/>
          <w:szCs w:val="22"/>
          <w:lang w:val="en-US"/>
        </w:rPr>
        <w:t xml:space="preserve"> </w:t>
      </w:r>
      <w:r w:rsidR="00654900">
        <w:rPr>
          <w:rFonts w:ascii="Arial" w:hAnsi="Arial" w:cs="Arial"/>
          <w:sz w:val="22"/>
          <w:szCs w:val="22"/>
          <w:lang w:val="en-US"/>
        </w:rPr>
        <w:t>and</w:t>
      </w:r>
      <w:r w:rsidR="00E67615" w:rsidRPr="00793E2F">
        <w:rPr>
          <w:rFonts w:ascii="Arial" w:hAnsi="Arial" w:cs="Arial"/>
          <w:sz w:val="22"/>
          <w:szCs w:val="22"/>
          <w:lang w:val="en-US"/>
        </w:rPr>
        <w:t xml:space="preserve"> </w:t>
      </w:r>
      <w:r w:rsidR="00563AD3">
        <w:rPr>
          <w:rFonts w:ascii="Arial" w:hAnsi="Arial" w:cs="Arial"/>
          <w:sz w:val="22"/>
          <w:szCs w:val="22"/>
          <w:lang w:val="en-US"/>
        </w:rPr>
        <w:t>107</w:t>
      </w:r>
      <w:r w:rsidR="00E67615" w:rsidRPr="00793E2F">
        <w:rPr>
          <w:rFonts w:ascii="Arial" w:hAnsi="Arial" w:cs="Arial"/>
          <w:sz w:val="22"/>
          <w:szCs w:val="22"/>
          <w:lang w:val="en-US"/>
        </w:rPr>
        <w:t xml:space="preserve"> retail dispensaries and 13 cultivation and </w:t>
      </w:r>
      <w:r w:rsidRPr="00793E2F">
        <w:rPr>
          <w:rFonts w:ascii="Arial" w:hAnsi="Arial" w:cs="Arial"/>
          <w:sz w:val="22"/>
          <w:szCs w:val="22"/>
          <w:lang w:val="en-US"/>
        </w:rPr>
        <w:t xml:space="preserve">production facilities comprising </w:t>
      </w:r>
      <w:r w:rsidR="00037809" w:rsidRPr="00793E2F">
        <w:rPr>
          <w:rFonts w:ascii="Arial" w:hAnsi="Arial" w:cs="Arial"/>
          <w:sz w:val="22"/>
          <w:szCs w:val="22"/>
          <w:lang w:val="en-US"/>
        </w:rPr>
        <w:t xml:space="preserve">over 1,000,000 </w:t>
      </w:r>
      <w:r w:rsidRPr="00793E2F">
        <w:rPr>
          <w:rFonts w:ascii="Arial" w:hAnsi="Arial" w:cs="Arial"/>
          <w:sz w:val="22"/>
          <w:szCs w:val="22"/>
          <w:lang w:val="en-US"/>
        </w:rPr>
        <w:t>square feet</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433862" w14:textId="0BBEA49F" w:rsidR="00640E94" w:rsidRPr="00793E2F" w:rsidRDefault="00CE3CFE" w:rsidP="00CE3CFE">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r w:rsidR="003F54D0" w:rsidRPr="00793E2F">
        <w:rPr>
          <w:rFonts w:ascii="Arial" w:hAnsi="Arial" w:cs="Arial"/>
          <w:sz w:val="22"/>
          <w:szCs w:val="22"/>
        </w:rPr>
        <w:t xml:space="preserve"> </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41D11D4F"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BB3CEC" w:rsidRPr="00793E2F">
        <w:rPr>
          <w:rFonts w:ascii="Arial" w:hAnsi="Arial" w:cs="Arial"/>
          <w:sz w:val="22"/>
          <w:szCs w:val="22"/>
        </w:rPr>
        <w:t>Not applicable.</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5C3ECDC" w14:textId="49B44744" w:rsidR="0037175D" w:rsidRDefault="002A5B20" w:rsidP="00CE3CFE">
      <w:pPr>
        <w:pStyle w:val="List"/>
        <w:spacing w:before="120"/>
        <w:ind w:left="360" w:firstLine="0"/>
        <w:jc w:val="both"/>
        <w:rPr>
          <w:rFonts w:ascii="Arial" w:hAnsi="Arial" w:cs="Arial"/>
          <w:sz w:val="22"/>
          <w:szCs w:val="22"/>
        </w:rPr>
      </w:pPr>
      <w:r w:rsidRPr="00793E2F">
        <w:rPr>
          <w:rFonts w:ascii="Arial" w:hAnsi="Arial" w:cs="Arial"/>
          <w:sz w:val="22"/>
          <w:szCs w:val="22"/>
        </w:rPr>
        <w:lastRenderedPageBreak/>
        <w:tab/>
      </w:r>
      <w:r w:rsidRPr="00793E2F">
        <w:rPr>
          <w:rFonts w:ascii="Arial" w:hAnsi="Arial" w:cs="Arial"/>
          <w:sz w:val="22"/>
          <w:szCs w:val="22"/>
        </w:rPr>
        <w:tab/>
      </w:r>
      <w:r w:rsidR="00BB58A1" w:rsidRPr="00BB58A1">
        <w:rPr>
          <w:rFonts w:ascii="Arial" w:hAnsi="Arial" w:cs="Arial"/>
          <w:sz w:val="22"/>
          <w:szCs w:val="22"/>
        </w:rPr>
        <w:t xml:space="preserve"> </w:t>
      </w:r>
      <w:r w:rsidR="00BB58A1">
        <w:rPr>
          <w:rFonts w:ascii="Arial" w:hAnsi="Arial" w:cs="Arial"/>
          <w:sz w:val="22"/>
          <w:szCs w:val="22"/>
        </w:rPr>
        <w:t xml:space="preserve">On </w:t>
      </w:r>
      <w:r w:rsidR="00A32B83">
        <w:rPr>
          <w:rFonts w:ascii="Arial" w:hAnsi="Arial" w:cs="Arial"/>
          <w:sz w:val="22"/>
          <w:szCs w:val="22"/>
        </w:rPr>
        <w:t xml:space="preserve">the scheduled maturity date of </w:t>
      </w:r>
      <w:r w:rsidR="00BB58A1">
        <w:rPr>
          <w:rFonts w:ascii="Arial" w:hAnsi="Arial" w:cs="Arial"/>
          <w:sz w:val="22"/>
          <w:szCs w:val="22"/>
        </w:rPr>
        <w:t xml:space="preserve">July 11, 2022, the Issuer repaid in full all outstanding </w:t>
      </w:r>
      <w:r w:rsidR="00A32B83">
        <w:rPr>
          <w:rFonts w:ascii="Arial" w:hAnsi="Arial" w:cs="Arial"/>
          <w:sz w:val="22"/>
          <w:szCs w:val="22"/>
        </w:rPr>
        <w:t xml:space="preserve">obligations </w:t>
      </w:r>
      <w:r w:rsidR="00BB58A1">
        <w:rPr>
          <w:rFonts w:ascii="Arial" w:hAnsi="Arial" w:cs="Arial"/>
          <w:sz w:val="22"/>
          <w:szCs w:val="22"/>
        </w:rPr>
        <w:t>related to a loan with 100 Mile Fund, LLC</w:t>
      </w:r>
      <w:r w:rsidR="00A32B83">
        <w:rPr>
          <w:rFonts w:ascii="Arial" w:hAnsi="Arial" w:cs="Arial"/>
          <w:sz w:val="22"/>
          <w:szCs w:val="22"/>
        </w:rPr>
        <w:t xml:space="preserve"> and the credit facility was cancelled in accordance with its terms.</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37B13C" w14:textId="5B758105" w:rsidR="0037175D" w:rsidRDefault="0041544A" w:rsidP="0014545B">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70703AE2" w:rsidR="00C44022" w:rsidRDefault="00E67615" w:rsidP="00C44022">
      <w:pPr>
        <w:pStyle w:val="List"/>
        <w:spacing w:before="120"/>
        <w:ind w:left="1440" w:firstLine="0"/>
        <w:jc w:val="both"/>
        <w:rPr>
          <w:rFonts w:ascii="Arial" w:hAnsi="Arial" w:cs="Arial"/>
          <w:sz w:val="22"/>
          <w:szCs w:val="22"/>
          <w:lang w:val="en-US"/>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sidR="00A560FD">
        <w:rPr>
          <w:rFonts w:ascii="Arial" w:hAnsi="Arial" w:cs="Arial"/>
          <w:sz w:val="22"/>
          <w:szCs w:val="22"/>
          <w:lang w:val="en-US"/>
        </w:rPr>
        <w:t>July</w:t>
      </w:r>
      <w:r w:rsidRPr="00793E2F">
        <w:rPr>
          <w:rFonts w:ascii="Arial" w:hAnsi="Arial" w:cs="Arial"/>
          <w:sz w:val="22"/>
          <w:szCs w:val="22"/>
          <w:lang w:val="en-US"/>
        </w:rPr>
        <w:t xml:space="preserve"> 2022 the Issuer </w:t>
      </w:r>
      <w:r w:rsidR="00203D4C" w:rsidRPr="00793E2F">
        <w:rPr>
          <w:rFonts w:ascii="Arial" w:hAnsi="Arial" w:cs="Arial"/>
          <w:sz w:val="22"/>
          <w:szCs w:val="22"/>
          <w:lang w:val="en-US"/>
        </w:rPr>
        <w:t>opened medical dispensar</w:t>
      </w:r>
      <w:r w:rsidR="00B210DD">
        <w:rPr>
          <w:rFonts w:ascii="Arial" w:hAnsi="Arial" w:cs="Arial"/>
          <w:sz w:val="22"/>
          <w:szCs w:val="22"/>
          <w:lang w:val="en-US"/>
        </w:rPr>
        <w:t>ies</w:t>
      </w:r>
      <w:r w:rsidR="00203D4C" w:rsidRPr="00793E2F">
        <w:rPr>
          <w:rFonts w:ascii="Arial" w:hAnsi="Arial" w:cs="Arial"/>
          <w:sz w:val="22"/>
          <w:szCs w:val="22"/>
          <w:lang w:val="en-US"/>
        </w:rPr>
        <w:t xml:space="preserve"> in</w:t>
      </w:r>
      <w:r w:rsidR="00A560FD">
        <w:rPr>
          <w:rFonts w:ascii="Arial" w:hAnsi="Arial" w:cs="Arial"/>
          <w:sz w:val="22"/>
          <w:szCs w:val="22"/>
          <w:lang w:val="en-US"/>
        </w:rPr>
        <w:t xml:space="preserve"> Tamarac, Fort Myers, Sarasota</w:t>
      </w:r>
      <w:r w:rsidR="00054A58">
        <w:rPr>
          <w:rFonts w:ascii="Arial" w:hAnsi="Arial" w:cs="Arial"/>
          <w:sz w:val="22"/>
          <w:szCs w:val="22"/>
          <w:lang w:val="en-US"/>
        </w:rPr>
        <w:t xml:space="preserve">, </w:t>
      </w:r>
      <w:r w:rsidR="00A560FD">
        <w:rPr>
          <w:rFonts w:ascii="Arial" w:hAnsi="Arial" w:cs="Arial"/>
          <w:sz w:val="22"/>
          <w:szCs w:val="22"/>
          <w:lang w:val="en-US"/>
        </w:rPr>
        <w:t>Sebring</w:t>
      </w:r>
      <w:r w:rsidR="00054A58">
        <w:rPr>
          <w:rFonts w:ascii="Arial" w:hAnsi="Arial" w:cs="Arial"/>
          <w:sz w:val="22"/>
          <w:szCs w:val="22"/>
          <w:lang w:val="en-US"/>
        </w:rPr>
        <w:t xml:space="preserve"> and Port Charlotte</w:t>
      </w:r>
      <w:r w:rsidR="00A560FD">
        <w:rPr>
          <w:rFonts w:ascii="Arial" w:hAnsi="Arial" w:cs="Arial"/>
          <w:sz w:val="22"/>
          <w:szCs w:val="22"/>
          <w:lang w:val="en-US"/>
        </w:rPr>
        <w:t>,</w:t>
      </w:r>
      <w:r w:rsidR="006D5006">
        <w:rPr>
          <w:rFonts w:ascii="Arial" w:hAnsi="Arial" w:cs="Arial"/>
          <w:sz w:val="22"/>
          <w:szCs w:val="22"/>
          <w:lang w:val="en-US"/>
        </w:rPr>
        <w:t xml:space="preserve"> Florida</w:t>
      </w:r>
      <w:r w:rsidR="00A560FD">
        <w:rPr>
          <w:rFonts w:ascii="Arial" w:hAnsi="Arial" w:cs="Arial"/>
          <w:sz w:val="22"/>
          <w:szCs w:val="22"/>
          <w:lang w:val="en-US"/>
        </w:rPr>
        <w:t>, and Wheeling, West Virginia</w:t>
      </w:r>
      <w:r w:rsidR="00C44022" w:rsidRPr="00793E2F">
        <w:rPr>
          <w:rFonts w:ascii="Arial" w:hAnsi="Arial" w:cs="Arial"/>
          <w:sz w:val="22"/>
          <w:szCs w:val="22"/>
          <w:lang w:val="en-US"/>
        </w:rPr>
        <w:t>.</w:t>
      </w:r>
      <w:r w:rsidR="00203D4C" w:rsidRPr="00793E2F">
        <w:rPr>
          <w:rFonts w:ascii="Arial" w:hAnsi="Arial" w:cs="Arial"/>
          <w:sz w:val="22"/>
          <w:szCs w:val="22"/>
          <w:lang w:val="en-US"/>
        </w:rPr>
        <w:t xml:space="preserve">  The Issuer expects to attract new customers at these </w:t>
      </w:r>
      <w:r w:rsidR="00054A58">
        <w:rPr>
          <w:rFonts w:ascii="Arial" w:hAnsi="Arial" w:cs="Arial"/>
          <w:sz w:val="22"/>
          <w:szCs w:val="22"/>
          <w:lang w:val="en-US"/>
        </w:rPr>
        <w:t>six</w:t>
      </w:r>
      <w:r w:rsidR="007C0D91">
        <w:rPr>
          <w:rFonts w:ascii="Arial" w:hAnsi="Arial" w:cs="Arial"/>
          <w:sz w:val="22"/>
          <w:szCs w:val="22"/>
          <w:lang w:val="en-US"/>
        </w:rPr>
        <w:t xml:space="preserve"> </w:t>
      </w:r>
      <w:r w:rsidR="00203D4C" w:rsidRPr="00793E2F">
        <w:rPr>
          <w:rFonts w:ascii="Arial" w:hAnsi="Arial" w:cs="Arial"/>
          <w:sz w:val="22"/>
          <w:szCs w:val="22"/>
          <w:lang w:val="en-US"/>
        </w:rPr>
        <w:t>new locations.</w:t>
      </w:r>
    </w:p>
    <w:p w14:paraId="6C383514" w14:textId="66C26FDC" w:rsidR="00054A58" w:rsidRPr="00793E2F" w:rsidRDefault="00054A58" w:rsidP="00C44022">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Pr>
          <w:rFonts w:ascii="Arial" w:hAnsi="Arial" w:cs="Arial"/>
          <w:sz w:val="22"/>
          <w:szCs w:val="22"/>
          <w:lang w:val="en-US"/>
        </w:rPr>
        <w:t>July</w:t>
      </w:r>
      <w:r w:rsidRPr="00793E2F">
        <w:rPr>
          <w:rFonts w:ascii="Arial" w:hAnsi="Arial" w:cs="Arial"/>
          <w:sz w:val="22"/>
          <w:szCs w:val="22"/>
          <w:lang w:val="en-US"/>
        </w:rPr>
        <w:t xml:space="preserve"> 2022 the Issuer</w:t>
      </w:r>
      <w:r>
        <w:rPr>
          <w:rFonts w:ascii="Arial" w:hAnsi="Arial" w:cs="Arial"/>
          <w:sz w:val="22"/>
          <w:szCs w:val="22"/>
          <w:lang w:val="en-US"/>
        </w:rPr>
        <w:t xml:space="preserve"> </w:t>
      </w:r>
      <w:r w:rsidRPr="00FA2EFD">
        <w:rPr>
          <w:rFonts w:ascii="Arial" w:hAnsi="Arial" w:cs="Arial"/>
          <w:sz w:val="22"/>
          <w:szCs w:val="22"/>
          <w:lang w:val="en-US"/>
        </w:rPr>
        <w:t>received all required approvals from municipal and state officials to commence adult use sales</w:t>
      </w:r>
      <w:r>
        <w:rPr>
          <w:rFonts w:ascii="Arial" w:hAnsi="Arial" w:cs="Arial"/>
          <w:sz w:val="22"/>
          <w:szCs w:val="22"/>
          <w:lang w:val="en-US"/>
        </w:rPr>
        <w:t xml:space="preserve"> a</w:t>
      </w:r>
      <w:r w:rsidRPr="00FA2EFD">
        <w:rPr>
          <w:rFonts w:ascii="Arial" w:hAnsi="Arial" w:cs="Arial"/>
          <w:sz w:val="22"/>
          <w:szCs w:val="22"/>
          <w:lang w:val="en-US"/>
        </w:rPr>
        <w:t>t</w:t>
      </w:r>
      <w:r>
        <w:rPr>
          <w:rFonts w:ascii="Arial" w:hAnsi="Arial" w:cs="Arial"/>
          <w:sz w:val="22"/>
          <w:szCs w:val="22"/>
          <w:lang w:val="en-US"/>
        </w:rPr>
        <w:t xml:space="preserve"> it</w:t>
      </w:r>
      <w:r w:rsidRPr="00FA2EFD">
        <w:rPr>
          <w:rFonts w:ascii="Arial" w:hAnsi="Arial" w:cs="Arial"/>
          <w:sz w:val="22"/>
          <w:szCs w:val="22"/>
          <w:lang w:val="en-US"/>
        </w:rPr>
        <w:t>s Zen Leaf Neptune dispensary in New Jersey</w:t>
      </w:r>
      <w:r>
        <w:rPr>
          <w:rFonts w:ascii="Arial" w:hAnsi="Arial" w:cs="Arial"/>
          <w:sz w:val="22"/>
          <w:szCs w:val="22"/>
          <w:lang w:val="en-US"/>
        </w:rPr>
        <w:t xml:space="preserve">. </w:t>
      </w:r>
      <w:r w:rsidRPr="00793E2F">
        <w:rPr>
          <w:rFonts w:ascii="Arial" w:hAnsi="Arial" w:cs="Arial"/>
          <w:sz w:val="22"/>
          <w:szCs w:val="22"/>
          <w:lang w:val="en-US"/>
        </w:rPr>
        <w:t>The Issuer expects to attract new</w:t>
      </w:r>
      <w:r>
        <w:rPr>
          <w:rFonts w:ascii="Arial" w:hAnsi="Arial" w:cs="Arial"/>
          <w:sz w:val="22"/>
          <w:szCs w:val="22"/>
          <w:lang w:val="en-US"/>
        </w:rPr>
        <w:t xml:space="preserve"> adult-use</w:t>
      </w:r>
      <w:r w:rsidRPr="00793E2F">
        <w:rPr>
          <w:rFonts w:ascii="Arial" w:hAnsi="Arial" w:cs="Arial"/>
          <w:sz w:val="22"/>
          <w:szCs w:val="22"/>
          <w:lang w:val="en-US"/>
        </w:rPr>
        <w:t xml:space="preserve"> customers at th</w:t>
      </w:r>
      <w:r>
        <w:rPr>
          <w:rFonts w:ascii="Arial" w:hAnsi="Arial" w:cs="Arial"/>
          <w:sz w:val="22"/>
          <w:szCs w:val="22"/>
          <w:lang w:val="en-US"/>
        </w:rPr>
        <w:t xml:space="preserve">is </w:t>
      </w:r>
      <w:r w:rsidRPr="00793E2F">
        <w:rPr>
          <w:rFonts w:ascii="Arial" w:hAnsi="Arial" w:cs="Arial"/>
          <w:sz w:val="22"/>
          <w:szCs w:val="22"/>
          <w:lang w:val="en-US"/>
        </w:rPr>
        <w:t>location.</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334F960F" w:rsidR="002A5B20" w:rsidRPr="00793E2F" w:rsidRDefault="002A5B20" w:rsidP="002A5B20">
      <w:pPr>
        <w:pStyle w:val="List"/>
        <w:spacing w:before="120"/>
        <w:ind w:left="720" w:firstLine="0"/>
        <w:jc w:val="both"/>
        <w:rPr>
          <w:rFonts w:ascii="Arial" w:hAnsi="Arial" w:cs="Arial"/>
          <w:sz w:val="22"/>
          <w:szCs w:val="22"/>
        </w:rPr>
      </w:pPr>
      <w:r w:rsidRPr="00793E2F">
        <w:rPr>
          <w:rFonts w:ascii="Arial" w:hAnsi="Arial" w:cs="Arial"/>
          <w:sz w:val="22"/>
          <w:szCs w:val="22"/>
        </w:rPr>
        <w:tab/>
      </w:r>
      <w:r w:rsidR="00D330A6" w:rsidRPr="00793E2F">
        <w:rPr>
          <w:rFonts w:ascii="Arial" w:hAnsi="Arial" w:cs="Arial"/>
          <w:sz w:val="22"/>
          <w:szCs w:val="22"/>
        </w:rPr>
        <w:t>Not applicable.</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4F93D46A" w:rsidR="00432A5E" w:rsidRPr="00793E2F" w:rsidRDefault="00017057" w:rsidP="00017057">
      <w:pPr>
        <w:pStyle w:val="List"/>
        <w:keepNext/>
        <w:keepLines/>
        <w:spacing w:before="120"/>
        <w:ind w:left="1440" w:firstLine="0"/>
        <w:jc w:val="both"/>
        <w:rPr>
          <w:rFonts w:ascii="Arial" w:hAnsi="Arial" w:cs="Arial"/>
          <w:sz w:val="22"/>
          <w:szCs w:val="22"/>
        </w:rPr>
      </w:pPr>
      <w:bookmarkStart w:id="5" w:name="_Hlk68532297"/>
      <w:r w:rsidRPr="00793E2F">
        <w:rPr>
          <w:rFonts w:ascii="Arial" w:hAnsi="Arial" w:cs="Arial"/>
          <w:sz w:val="22"/>
          <w:szCs w:val="22"/>
        </w:rPr>
        <w:t>As set forth in Part 1 above,</w:t>
      </w:r>
      <w:r w:rsidRPr="00793E2F">
        <w:rPr>
          <w:rFonts w:ascii="Arial" w:hAnsi="Arial" w:cs="Arial"/>
          <w:sz w:val="22"/>
          <w:szCs w:val="22"/>
          <w:lang w:val="en-US"/>
        </w:rPr>
        <w:t xml:space="preserve"> </w:t>
      </w:r>
      <w:r>
        <w:rPr>
          <w:rFonts w:ascii="Arial" w:hAnsi="Arial" w:cs="Arial"/>
          <w:sz w:val="22"/>
          <w:szCs w:val="22"/>
          <w:lang w:val="en-US"/>
        </w:rPr>
        <w:t xml:space="preserve">on </w:t>
      </w:r>
      <w:r w:rsidRPr="00222320">
        <w:rPr>
          <w:rFonts w:ascii="Arial" w:hAnsi="Arial" w:cs="Arial"/>
          <w:sz w:val="22"/>
          <w:szCs w:val="22"/>
        </w:rPr>
        <w:t xml:space="preserve">July 11, 2022, Richard Tarapchak commenced employment with </w:t>
      </w:r>
      <w:r w:rsidR="00AA3BB1">
        <w:rPr>
          <w:rFonts w:ascii="Arial" w:hAnsi="Arial" w:cs="Arial"/>
          <w:sz w:val="22"/>
          <w:szCs w:val="22"/>
        </w:rPr>
        <w:t>a subsidiary</w:t>
      </w:r>
      <w:r w:rsidRPr="00222320">
        <w:rPr>
          <w:rFonts w:ascii="Arial" w:hAnsi="Arial" w:cs="Arial"/>
          <w:sz w:val="22"/>
          <w:szCs w:val="22"/>
        </w:rPr>
        <w:t xml:space="preserve"> of the Issuer and began serving as the Issuer’s Executive Vice President, Finance – Corporate Controller.</w:t>
      </w:r>
      <w:r>
        <w:rPr>
          <w:rFonts w:ascii="Arial" w:hAnsi="Arial" w:cs="Arial"/>
          <w:sz w:val="22"/>
          <w:szCs w:val="22"/>
        </w:rPr>
        <w:t xml:space="preserve">  </w:t>
      </w:r>
      <w:r>
        <w:rPr>
          <w:rFonts w:ascii="Arial" w:hAnsi="Arial" w:cs="Arial"/>
          <w:color w:val="000000"/>
          <w:sz w:val="22"/>
          <w:szCs w:val="22"/>
        </w:rPr>
        <w:t>Mr. Tarapchak serves as the Issuer’s chief accounting officer in such role.</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3D824ECA" w:rsidR="00432A5E" w:rsidRPr="00793E2F" w:rsidRDefault="002A5B20" w:rsidP="00D17DB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531222" w14:textId="3FDBE225" w:rsidR="00BF1FF5" w:rsidRPr="00793E2F" w:rsidRDefault="008D5FA3" w:rsidP="001A13E4">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6CD56CCF" w14:textId="6944000C" w:rsidR="00E83127"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640AD8DC" w:rsidR="00C44022" w:rsidRPr="00793E2F" w:rsidRDefault="00C44022" w:rsidP="00C44022">
      <w:pPr>
        <w:pStyle w:val="List"/>
        <w:spacing w:before="120"/>
        <w:ind w:left="720" w:firstLine="0"/>
        <w:jc w:val="both"/>
        <w:rPr>
          <w:rFonts w:ascii="Arial" w:hAnsi="Arial" w:cs="Arial"/>
          <w:sz w:val="22"/>
          <w:szCs w:val="22"/>
        </w:rPr>
      </w:pPr>
      <w:r w:rsidRPr="00793E2F">
        <w:rPr>
          <w:rFonts w:ascii="Arial" w:hAnsi="Arial" w:cs="Arial"/>
          <w:sz w:val="22"/>
          <w:szCs w:val="22"/>
        </w:rPr>
        <w:tab/>
      </w:r>
      <w:r w:rsidR="00AA3BB1">
        <w:rPr>
          <w:rFonts w:ascii="Arial" w:hAnsi="Arial" w:cs="Arial"/>
          <w:sz w:val="22"/>
          <w:szCs w:val="22"/>
        </w:rPr>
        <w:t>As set forth in Part 6 above, o</w:t>
      </w:r>
      <w:r w:rsidR="00C919E8">
        <w:rPr>
          <w:rFonts w:ascii="Arial" w:hAnsi="Arial" w:cs="Arial"/>
          <w:sz w:val="22"/>
          <w:szCs w:val="22"/>
        </w:rPr>
        <w:t xml:space="preserve">n July 11, 2022, the Issuer repaid in full all outstanding </w:t>
      </w:r>
      <w:r w:rsidR="00AA3BB1">
        <w:rPr>
          <w:rFonts w:ascii="Arial" w:hAnsi="Arial" w:cs="Arial"/>
          <w:sz w:val="22"/>
          <w:szCs w:val="22"/>
        </w:rPr>
        <w:t>obligations</w:t>
      </w:r>
      <w:r w:rsidR="00C919E8">
        <w:rPr>
          <w:rFonts w:ascii="Arial" w:hAnsi="Arial" w:cs="Arial"/>
          <w:sz w:val="22"/>
          <w:szCs w:val="22"/>
        </w:rPr>
        <w:t xml:space="preserve"> related to a loan with 100 Mile Fund, LLC, which had a</w:t>
      </w:r>
      <w:r w:rsidR="00AA3BB1">
        <w:rPr>
          <w:rFonts w:ascii="Arial" w:hAnsi="Arial" w:cs="Arial"/>
          <w:sz w:val="22"/>
          <w:szCs w:val="22"/>
        </w:rPr>
        <w:t>n outstanding</w:t>
      </w:r>
      <w:r w:rsidR="00C919E8">
        <w:rPr>
          <w:rFonts w:ascii="Arial" w:hAnsi="Arial" w:cs="Arial"/>
          <w:sz w:val="22"/>
          <w:szCs w:val="22"/>
        </w:rPr>
        <w:t xml:space="preserve"> </w:t>
      </w:r>
      <w:r w:rsidR="00872A7F">
        <w:rPr>
          <w:rFonts w:ascii="Arial" w:hAnsi="Arial" w:cs="Arial"/>
          <w:sz w:val="22"/>
          <w:szCs w:val="22"/>
        </w:rPr>
        <w:t>principal amount of $13,000,000</w:t>
      </w:r>
      <w:r w:rsidRPr="00793E2F">
        <w:rPr>
          <w:rFonts w:ascii="Arial" w:hAnsi="Arial" w:cs="Arial"/>
          <w:sz w:val="22"/>
          <w:szCs w:val="22"/>
        </w:rPr>
        <w:t>.</w:t>
      </w:r>
    </w:p>
    <w:p w14:paraId="7FE6C343" w14:textId="07E75C97" w:rsidR="002D191B"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p w14:paraId="7E0E546C" w14:textId="00F347F0" w:rsidR="007B6071" w:rsidRDefault="0072107E" w:rsidP="007C4F7F">
      <w:pPr>
        <w:pStyle w:val="List"/>
        <w:spacing w:before="120"/>
        <w:ind w:left="1440" w:hanging="720"/>
        <w:jc w:val="both"/>
        <w:rPr>
          <w:rFonts w:ascii="Arial" w:hAnsi="Arial" w:cs="Arial"/>
          <w:sz w:val="22"/>
          <w:szCs w:val="22"/>
        </w:rPr>
      </w:pPr>
      <w:r>
        <w:rPr>
          <w:rFonts w:ascii="Arial" w:hAnsi="Arial" w:cs="Arial"/>
          <w:sz w:val="22"/>
          <w:szCs w:val="22"/>
        </w:rPr>
        <w:tab/>
      </w: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E003CF" w:rsidRPr="00793E2F" w14:paraId="13F609EE" w14:textId="77777777" w:rsidTr="006F5948">
        <w:tc>
          <w:tcPr>
            <w:tcW w:w="1795" w:type="dxa"/>
          </w:tcPr>
          <w:p w14:paraId="6C961C41"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Security</w:t>
            </w:r>
          </w:p>
        </w:tc>
        <w:tc>
          <w:tcPr>
            <w:tcW w:w="1980" w:type="dxa"/>
          </w:tcPr>
          <w:p w14:paraId="55C6EE03"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Number Issued</w:t>
            </w:r>
          </w:p>
        </w:tc>
        <w:tc>
          <w:tcPr>
            <w:tcW w:w="2520" w:type="dxa"/>
          </w:tcPr>
          <w:p w14:paraId="4BA5C16E"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Details of Issuance</w:t>
            </w:r>
          </w:p>
        </w:tc>
        <w:tc>
          <w:tcPr>
            <w:tcW w:w="2340" w:type="dxa"/>
          </w:tcPr>
          <w:p w14:paraId="30FA78B8"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Use of Proceeds</w:t>
            </w:r>
            <w:r w:rsidRPr="00793E2F">
              <w:rPr>
                <w:rFonts w:ascii="Arial" w:hAnsi="Arial" w:cs="Arial"/>
                <w:b/>
                <w:sz w:val="22"/>
                <w:szCs w:val="22"/>
                <w:vertAlign w:val="superscript"/>
              </w:rPr>
              <w:t>(1)</w:t>
            </w:r>
          </w:p>
        </w:tc>
      </w:tr>
      <w:tr w:rsidR="00AA3C0C" w:rsidRPr="00793E2F" w14:paraId="2F3BFA3F" w14:textId="77777777" w:rsidTr="006F5948">
        <w:tc>
          <w:tcPr>
            <w:tcW w:w="1795" w:type="dxa"/>
          </w:tcPr>
          <w:p w14:paraId="0D3F3827" w14:textId="6F6848F8" w:rsidR="00AA3C0C" w:rsidRPr="00E2017F" w:rsidRDefault="00AA3C0C" w:rsidP="00AA3C0C">
            <w:pPr>
              <w:pStyle w:val="List"/>
              <w:tabs>
                <w:tab w:val="left" w:pos="360"/>
              </w:tabs>
              <w:spacing w:before="0" w:line="280" w:lineRule="exact"/>
              <w:ind w:left="0" w:firstLine="0"/>
              <w:rPr>
                <w:rFonts w:ascii="Arial" w:hAnsi="Arial" w:cs="Arial"/>
                <w:sz w:val="20"/>
              </w:rPr>
            </w:pPr>
            <w:r w:rsidRPr="00E2017F">
              <w:rPr>
                <w:rFonts w:ascii="Arial" w:hAnsi="Arial" w:cs="Arial"/>
                <w:sz w:val="20"/>
              </w:rPr>
              <w:lastRenderedPageBreak/>
              <w:t>SV Shares</w:t>
            </w:r>
          </w:p>
        </w:tc>
        <w:tc>
          <w:tcPr>
            <w:tcW w:w="1980" w:type="dxa"/>
          </w:tcPr>
          <w:p w14:paraId="4D59D974" w14:textId="3EA38953" w:rsidR="00AA3C0C" w:rsidRPr="00E2017F" w:rsidRDefault="00D277B0" w:rsidP="00AA3C0C">
            <w:pPr>
              <w:pStyle w:val="List"/>
              <w:tabs>
                <w:tab w:val="left" w:pos="360"/>
              </w:tabs>
              <w:spacing w:before="0" w:line="280" w:lineRule="exact"/>
              <w:ind w:left="0" w:firstLine="0"/>
              <w:rPr>
                <w:rFonts w:ascii="Arial" w:hAnsi="Arial" w:cs="Arial"/>
                <w:sz w:val="20"/>
              </w:rPr>
            </w:pPr>
            <w:r>
              <w:rPr>
                <w:rFonts w:ascii="Arial" w:hAnsi="Arial" w:cs="Arial"/>
                <w:sz w:val="20"/>
              </w:rPr>
              <w:t>312,150</w:t>
            </w:r>
          </w:p>
        </w:tc>
        <w:tc>
          <w:tcPr>
            <w:tcW w:w="2520" w:type="dxa"/>
          </w:tcPr>
          <w:p w14:paraId="203B6EE6" w14:textId="7ACB409A" w:rsidR="00AA3C0C" w:rsidRDefault="004F4C72" w:rsidP="00786C81">
            <w:pPr>
              <w:pStyle w:val="List"/>
              <w:tabs>
                <w:tab w:val="left" w:pos="360"/>
              </w:tabs>
              <w:spacing w:before="0" w:line="280" w:lineRule="exact"/>
              <w:ind w:left="0" w:firstLine="0"/>
              <w:rPr>
                <w:rFonts w:ascii="Arial" w:hAnsi="Arial"/>
                <w:sz w:val="20"/>
                <w:lang w:val="en-US"/>
              </w:rPr>
            </w:pPr>
            <w:r>
              <w:rPr>
                <w:rFonts w:ascii="Arial" w:hAnsi="Arial"/>
                <w:sz w:val="20"/>
                <w:lang w:val="en-US"/>
              </w:rPr>
              <w:t>I</w:t>
            </w:r>
            <w:r w:rsidRPr="004F4C72">
              <w:rPr>
                <w:rFonts w:ascii="Arial" w:hAnsi="Arial"/>
                <w:sz w:val="20"/>
                <w:lang w:val="en-US"/>
              </w:rPr>
              <w:t xml:space="preserve">ssued on </w:t>
            </w:r>
            <w:r>
              <w:rPr>
                <w:rFonts w:ascii="Arial" w:hAnsi="Arial"/>
                <w:sz w:val="20"/>
                <w:lang w:val="en-US"/>
              </w:rPr>
              <w:t>July</w:t>
            </w:r>
            <w:r w:rsidR="00B13476">
              <w:rPr>
                <w:rFonts w:ascii="Arial" w:hAnsi="Arial"/>
                <w:sz w:val="20"/>
                <w:lang w:val="en-US"/>
              </w:rPr>
              <w:t xml:space="preserve"> 4, 2022, </w:t>
            </w:r>
            <w:r w:rsidRPr="004F4C72">
              <w:rPr>
                <w:rFonts w:ascii="Arial" w:hAnsi="Arial"/>
                <w:sz w:val="20"/>
                <w:lang w:val="en-US"/>
              </w:rPr>
              <w:t>as part of performance bonuses pursuant to two employment agreements between the Issuer and an officer and a director</w:t>
            </w:r>
            <w:r w:rsidR="00AA3BB1">
              <w:rPr>
                <w:rFonts w:ascii="Arial" w:hAnsi="Arial"/>
                <w:sz w:val="20"/>
                <w:lang w:val="en-US"/>
              </w:rPr>
              <w:t>, respectively</w:t>
            </w:r>
            <w:r w:rsidRPr="004F4C72">
              <w:rPr>
                <w:rFonts w:ascii="Arial" w:hAnsi="Arial"/>
                <w:sz w:val="20"/>
                <w:lang w:val="en-US"/>
              </w:rPr>
              <w:t>.</w:t>
            </w:r>
            <w:r w:rsidR="002F58F0">
              <w:rPr>
                <w:rFonts w:ascii="Arial" w:hAnsi="Arial"/>
                <w:sz w:val="20"/>
                <w:lang w:val="en-US"/>
              </w:rPr>
              <w:t xml:space="preserve">  The issuance was </w:t>
            </w:r>
            <w:r w:rsidR="003F03B6">
              <w:rPr>
                <w:rFonts w:ascii="Arial" w:hAnsi="Arial"/>
                <w:sz w:val="20"/>
                <w:lang w:val="en-US"/>
              </w:rPr>
              <w:t>compensatory,</w:t>
            </w:r>
            <w:r w:rsidR="002F58F0">
              <w:rPr>
                <w:rFonts w:ascii="Arial" w:hAnsi="Arial"/>
                <w:sz w:val="20"/>
                <w:lang w:val="en-US"/>
              </w:rPr>
              <w:t xml:space="preserve"> and no proceeds were collected.</w:t>
            </w:r>
          </w:p>
          <w:p w14:paraId="0AF81435" w14:textId="23C38E6B" w:rsidR="00AA3BB1" w:rsidRPr="00786C81" w:rsidRDefault="00AA3BB1" w:rsidP="00786C81">
            <w:pPr>
              <w:pStyle w:val="List"/>
              <w:tabs>
                <w:tab w:val="left" w:pos="360"/>
              </w:tabs>
              <w:spacing w:before="0" w:line="280" w:lineRule="exact"/>
              <w:ind w:left="0" w:firstLine="0"/>
              <w:rPr>
                <w:rFonts w:ascii="Arial" w:hAnsi="Arial"/>
                <w:sz w:val="20"/>
              </w:rPr>
            </w:pPr>
          </w:p>
        </w:tc>
        <w:tc>
          <w:tcPr>
            <w:tcW w:w="2340" w:type="dxa"/>
          </w:tcPr>
          <w:p w14:paraId="6A2BD94B" w14:textId="34B99D81" w:rsidR="00AA3C0C" w:rsidRPr="00E2017F" w:rsidRDefault="00AA3C0C" w:rsidP="00AA3C0C">
            <w:pPr>
              <w:pStyle w:val="List"/>
              <w:tabs>
                <w:tab w:val="left" w:pos="360"/>
              </w:tabs>
              <w:spacing w:before="0" w:line="280" w:lineRule="exact"/>
              <w:ind w:left="0" w:firstLine="0"/>
              <w:rPr>
                <w:rFonts w:ascii="Arial" w:hAnsi="Arial" w:cs="Arial"/>
                <w:sz w:val="20"/>
              </w:rPr>
            </w:pPr>
            <w:r w:rsidRPr="00E2017F">
              <w:rPr>
                <w:rFonts w:ascii="Arial" w:hAnsi="Arial" w:cs="Arial"/>
                <w:sz w:val="20"/>
              </w:rPr>
              <w:t>Not applicable</w:t>
            </w:r>
          </w:p>
        </w:tc>
      </w:tr>
    </w:tbl>
    <w:p w14:paraId="3DD06F6E" w14:textId="36338D21" w:rsidR="00C43025" w:rsidRPr="00793E2F" w:rsidRDefault="00C43025" w:rsidP="007C4F7F">
      <w:pPr>
        <w:pStyle w:val="List"/>
        <w:spacing w:before="120"/>
        <w:ind w:left="1440" w:hanging="720"/>
        <w:jc w:val="both"/>
        <w:rPr>
          <w:rFonts w:ascii="Arial" w:hAnsi="Arial" w:cs="Arial"/>
          <w:sz w:val="22"/>
          <w:szCs w:val="22"/>
        </w:rPr>
      </w:pPr>
    </w:p>
    <w:p w14:paraId="2D0CC7BD" w14:textId="49E99FA5" w:rsidR="00640E94" w:rsidRPr="00793E2F" w:rsidRDefault="00D17DB0" w:rsidP="00D17DB0">
      <w:pPr>
        <w:pStyle w:val="List"/>
        <w:tabs>
          <w:tab w:val="left" w:pos="630"/>
        </w:tabs>
        <w:spacing w:before="120"/>
        <w:ind w:left="0" w:firstLine="0"/>
        <w:jc w:val="both"/>
        <w:rPr>
          <w:rFonts w:ascii="Arial" w:hAnsi="Arial" w:cs="Arial"/>
          <w:i/>
          <w:sz w:val="22"/>
          <w:szCs w:val="22"/>
        </w:rPr>
      </w:pPr>
      <w:r w:rsidRPr="00793E2F">
        <w:rPr>
          <w:rFonts w:ascii="Arial" w:hAnsi="Arial" w:cs="Arial"/>
          <w:i/>
          <w:sz w:val="22"/>
          <w:szCs w:val="22"/>
        </w:rPr>
        <w:tab/>
      </w:r>
      <w:r w:rsidRPr="00793E2F">
        <w:rPr>
          <w:rFonts w:ascii="Arial" w:hAnsi="Arial" w:cs="Arial"/>
          <w:i/>
          <w:sz w:val="22"/>
          <w:szCs w:val="22"/>
        </w:rPr>
        <w:tab/>
      </w:r>
      <w:r w:rsidR="00640E94" w:rsidRPr="00793E2F">
        <w:rPr>
          <w:rFonts w:ascii="Arial" w:hAnsi="Arial" w:cs="Arial"/>
          <w:i/>
          <w:sz w:val="22"/>
          <w:szCs w:val="22"/>
        </w:rPr>
        <w:tab/>
      </w:r>
      <w:r w:rsidRPr="00793E2F">
        <w:rPr>
          <w:rFonts w:ascii="Arial" w:hAnsi="Arial" w:cs="Arial"/>
          <w:i/>
          <w:sz w:val="22"/>
          <w:szCs w:val="22"/>
        </w:rPr>
        <w:t xml:space="preserve">(1)  </w:t>
      </w:r>
      <w:r w:rsidR="00640E94" w:rsidRPr="00793E2F">
        <w:rPr>
          <w:rFonts w:ascii="Arial" w:hAnsi="Arial" w:cs="Arial"/>
          <w:i/>
          <w:sz w:val="22"/>
          <w:szCs w:val="22"/>
        </w:rPr>
        <w:t>State aggregate proceeds and intended allocation of proceeds.</w:t>
      </w:r>
    </w:p>
    <w:p w14:paraId="229E4DF1" w14:textId="465D376C" w:rsidR="00CA7C47" w:rsidRPr="00793E2F" w:rsidRDefault="00047DD4" w:rsidP="0003129E">
      <w:pPr>
        <w:pStyle w:val="List"/>
        <w:spacing w:before="120"/>
        <w:ind w:left="1440" w:firstLine="0"/>
        <w:jc w:val="both"/>
        <w:rPr>
          <w:rFonts w:ascii="Arial" w:hAnsi="Arial" w:cs="Arial"/>
          <w:i/>
          <w:sz w:val="22"/>
          <w:szCs w:val="22"/>
        </w:rPr>
      </w:pPr>
      <w:r>
        <w:rPr>
          <w:rFonts w:ascii="Arial" w:hAnsi="Arial" w:cs="Arial"/>
          <w:i/>
          <w:sz w:val="22"/>
          <w:szCs w:val="22"/>
        </w:rPr>
        <w:t>Not applicable.</w:t>
      </w:r>
    </w:p>
    <w:p w14:paraId="2EAB7C44" w14:textId="5B6E9F42" w:rsidR="001E3FEA" w:rsidRPr="00793E2F" w:rsidRDefault="0037175D" w:rsidP="004B2B5D">
      <w:pPr>
        <w:pStyle w:val="List"/>
        <w:keepNext/>
        <w:keepLines/>
        <w:tabs>
          <w:tab w:val="left" w:pos="720"/>
          <w:tab w:val="left" w:pos="1440"/>
          <w:tab w:val="left" w:pos="2160"/>
          <w:tab w:val="left" w:pos="2880"/>
          <w:tab w:val="left" w:pos="3600"/>
          <w:tab w:val="left" w:pos="4320"/>
          <w:tab w:val="left" w:pos="5040"/>
          <w:tab w:val="left" w:pos="5760"/>
          <w:tab w:val="right" w:pos="9360"/>
        </w:tab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r w:rsidR="004B2B5D">
        <w:rPr>
          <w:rFonts w:ascii="Arial" w:hAnsi="Arial" w:cs="Arial"/>
          <w:sz w:val="22"/>
          <w:szCs w:val="22"/>
        </w:rPr>
        <w:tab/>
      </w:r>
    </w:p>
    <w:p w14:paraId="1D41B025" w14:textId="7A59E08A"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66D52E58" w14:textId="0F2E58E6" w:rsidR="002D0065" w:rsidRDefault="00222320" w:rsidP="000B706F">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w:t>
      </w:r>
      <w:r>
        <w:rPr>
          <w:rFonts w:ascii="Arial" w:hAnsi="Arial" w:cs="Arial"/>
          <w:sz w:val="22"/>
          <w:szCs w:val="22"/>
          <w:lang w:val="en-US"/>
        </w:rPr>
        <w:t xml:space="preserve">on </w:t>
      </w:r>
      <w:r w:rsidRPr="00222320">
        <w:rPr>
          <w:rFonts w:ascii="Arial" w:hAnsi="Arial" w:cs="Arial"/>
          <w:sz w:val="22"/>
          <w:szCs w:val="22"/>
        </w:rPr>
        <w:t xml:space="preserve">July 11, 2022, Richard Tarapchak commenced employment with </w:t>
      </w:r>
      <w:r w:rsidR="00AA3BB1">
        <w:rPr>
          <w:rFonts w:ascii="Arial" w:hAnsi="Arial" w:cs="Arial"/>
          <w:sz w:val="22"/>
          <w:szCs w:val="22"/>
        </w:rPr>
        <w:t>a subsidiary</w:t>
      </w:r>
      <w:r w:rsidRPr="00222320">
        <w:rPr>
          <w:rFonts w:ascii="Arial" w:hAnsi="Arial" w:cs="Arial"/>
          <w:sz w:val="22"/>
          <w:szCs w:val="22"/>
        </w:rPr>
        <w:t xml:space="preserve"> of the Issuer and began serving as the Issuer’s Executive Vice President, Finance – Corporate Controller.</w:t>
      </w:r>
      <w:r w:rsidR="00084B44">
        <w:rPr>
          <w:rFonts w:ascii="Arial" w:hAnsi="Arial" w:cs="Arial"/>
          <w:sz w:val="22"/>
          <w:szCs w:val="22"/>
        </w:rPr>
        <w:t xml:space="preserve">  </w:t>
      </w:r>
      <w:r w:rsidR="00084B44">
        <w:rPr>
          <w:rFonts w:ascii="Arial" w:hAnsi="Arial" w:cs="Arial"/>
          <w:color w:val="000000"/>
          <w:sz w:val="22"/>
          <w:szCs w:val="22"/>
        </w:rPr>
        <w:t>Mr. Tarapchak serves as the Issuer’s chief accounting officer in such role.</w:t>
      </w:r>
    </w:p>
    <w:p w14:paraId="1DC42672" w14:textId="77777777" w:rsidR="0072107E" w:rsidRPr="0072107E" w:rsidRDefault="0072107E" w:rsidP="0072107E"/>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7D071A5C" w14:textId="11AD6C23" w:rsidR="00793E2F" w:rsidRPr="00793E2F" w:rsidRDefault="00E83127"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The Issuer continues to </w:t>
      </w:r>
      <w:r w:rsidR="00F31984" w:rsidRPr="00793E2F">
        <w:rPr>
          <w:rFonts w:ascii="Arial" w:hAnsi="Arial" w:cs="Arial"/>
          <w:sz w:val="22"/>
          <w:szCs w:val="22"/>
        </w:rPr>
        <w:t>monitor the COVID-19 situation in the U.S.</w:t>
      </w:r>
      <w:r w:rsidR="00621D8B" w:rsidRPr="00793E2F">
        <w:rPr>
          <w:rFonts w:ascii="Arial" w:hAnsi="Arial" w:cs="Arial"/>
          <w:sz w:val="22"/>
          <w:szCs w:val="22"/>
        </w:rPr>
        <w:t xml:space="preserve"> </w:t>
      </w:r>
      <w:r w:rsidR="00120331" w:rsidRPr="00793E2F">
        <w:rPr>
          <w:rFonts w:ascii="Arial" w:hAnsi="Arial" w:cs="Arial"/>
          <w:sz w:val="22"/>
          <w:szCs w:val="22"/>
        </w:rPr>
        <w:t xml:space="preserve">The Issuer </w:t>
      </w:r>
      <w:r w:rsidR="00F31984" w:rsidRPr="00793E2F">
        <w:rPr>
          <w:rFonts w:ascii="Arial" w:hAnsi="Arial" w:cs="Arial"/>
          <w:sz w:val="22"/>
          <w:szCs w:val="22"/>
        </w:rPr>
        <w:t xml:space="preserve">proactively </w:t>
      </w:r>
      <w:r w:rsidRPr="00793E2F">
        <w:rPr>
          <w:rFonts w:ascii="Arial" w:hAnsi="Arial" w:cs="Arial"/>
          <w:sz w:val="22"/>
          <w:szCs w:val="22"/>
        </w:rPr>
        <w:t>modifi</w:t>
      </w:r>
      <w:r w:rsidR="00120331" w:rsidRPr="00793E2F">
        <w:rPr>
          <w:rFonts w:ascii="Arial" w:hAnsi="Arial" w:cs="Arial"/>
          <w:sz w:val="22"/>
          <w:szCs w:val="22"/>
        </w:rPr>
        <w:t>es</w:t>
      </w:r>
      <w:r w:rsidRPr="00793E2F">
        <w:rPr>
          <w:rFonts w:ascii="Arial" w:hAnsi="Arial" w:cs="Arial"/>
          <w:sz w:val="22"/>
          <w:szCs w:val="22"/>
        </w:rPr>
        <w:t xml:space="preserve"> and implement</w:t>
      </w:r>
      <w:r w:rsidR="00120331" w:rsidRPr="00793E2F">
        <w:rPr>
          <w:rFonts w:ascii="Arial" w:hAnsi="Arial" w:cs="Arial"/>
          <w:sz w:val="22"/>
          <w:szCs w:val="22"/>
        </w:rPr>
        <w:t>s</w:t>
      </w:r>
      <w:r w:rsidRPr="00793E2F">
        <w:rPr>
          <w:rFonts w:ascii="Arial" w:hAnsi="Arial" w:cs="Arial"/>
          <w:sz w:val="22"/>
          <w:szCs w:val="22"/>
        </w:rPr>
        <w:t xml:space="preserve"> </w:t>
      </w:r>
      <w:r w:rsidR="00F31984" w:rsidRPr="00793E2F">
        <w:rPr>
          <w:rFonts w:ascii="Arial" w:hAnsi="Arial" w:cs="Arial"/>
          <w:sz w:val="22"/>
          <w:szCs w:val="22"/>
        </w:rPr>
        <w:t xml:space="preserve">precautions </w:t>
      </w:r>
      <w:r w:rsidRPr="00793E2F">
        <w:rPr>
          <w:rFonts w:ascii="Arial" w:hAnsi="Arial" w:cs="Arial"/>
          <w:sz w:val="22"/>
          <w:szCs w:val="22"/>
        </w:rPr>
        <w:t xml:space="preserve">and mandates </w:t>
      </w:r>
      <w:r w:rsidR="00F31984" w:rsidRPr="00793E2F">
        <w:rPr>
          <w:rFonts w:ascii="Arial" w:hAnsi="Arial" w:cs="Arial"/>
          <w:sz w:val="22"/>
          <w:szCs w:val="22"/>
        </w:rPr>
        <w:t>to adher</w:t>
      </w:r>
      <w:r w:rsidRPr="00793E2F">
        <w:rPr>
          <w:rFonts w:ascii="Arial" w:hAnsi="Arial" w:cs="Arial"/>
          <w:sz w:val="22"/>
          <w:szCs w:val="22"/>
        </w:rPr>
        <w:t>e</w:t>
      </w:r>
      <w:r w:rsidR="00F31984" w:rsidRPr="00793E2F">
        <w:rPr>
          <w:rFonts w:ascii="Arial" w:hAnsi="Arial" w:cs="Arial"/>
          <w:sz w:val="22"/>
          <w:szCs w:val="22"/>
        </w:rPr>
        <w:t xml:space="preserve"> to </w:t>
      </w:r>
      <w:r w:rsidRPr="00793E2F">
        <w:rPr>
          <w:rFonts w:ascii="Arial" w:hAnsi="Arial" w:cs="Arial"/>
          <w:sz w:val="22"/>
          <w:szCs w:val="22"/>
        </w:rPr>
        <w:t xml:space="preserve">applicable laws </w:t>
      </w:r>
      <w:r w:rsidR="00120331" w:rsidRPr="00793E2F">
        <w:rPr>
          <w:rFonts w:ascii="Arial" w:hAnsi="Arial" w:cs="Arial"/>
          <w:sz w:val="22"/>
          <w:szCs w:val="22"/>
        </w:rPr>
        <w:t>in the geographic areas in which it</w:t>
      </w:r>
      <w:r w:rsidR="00EE396E" w:rsidRPr="00793E2F">
        <w:rPr>
          <w:rFonts w:ascii="Arial" w:hAnsi="Arial" w:cs="Arial"/>
          <w:sz w:val="22"/>
          <w:szCs w:val="22"/>
        </w:rPr>
        <w:t xml:space="preserve"> </w:t>
      </w:r>
      <w:r w:rsidR="00120331" w:rsidRPr="00793E2F">
        <w:rPr>
          <w:rFonts w:ascii="Arial" w:hAnsi="Arial" w:cs="Arial"/>
          <w:sz w:val="22"/>
          <w:szCs w:val="22"/>
        </w:rPr>
        <w:t>operate</w:t>
      </w:r>
      <w:r w:rsidR="007C0D91">
        <w:rPr>
          <w:rFonts w:ascii="Arial" w:hAnsi="Arial" w:cs="Arial"/>
          <w:sz w:val="22"/>
          <w:szCs w:val="22"/>
        </w:rPr>
        <w:t>s</w:t>
      </w:r>
      <w:r w:rsidR="00EE396E" w:rsidRPr="00793E2F">
        <w:rPr>
          <w:rFonts w:ascii="Arial" w:hAnsi="Arial" w:cs="Arial"/>
          <w:sz w:val="22"/>
          <w:szCs w:val="22"/>
        </w:rPr>
        <w:t>,</w:t>
      </w:r>
      <w:r w:rsidR="00120331" w:rsidRPr="00793E2F">
        <w:rPr>
          <w:rFonts w:ascii="Arial" w:hAnsi="Arial" w:cs="Arial"/>
          <w:sz w:val="22"/>
          <w:szCs w:val="22"/>
        </w:rPr>
        <w:t xml:space="preserve"> </w:t>
      </w:r>
      <w:r w:rsidRPr="00793E2F">
        <w:rPr>
          <w:rFonts w:ascii="Arial" w:hAnsi="Arial" w:cs="Arial"/>
          <w:sz w:val="22"/>
          <w:szCs w:val="22"/>
        </w:rPr>
        <w:t>tak</w:t>
      </w:r>
      <w:r w:rsidR="007C0D91">
        <w:rPr>
          <w:rFonts w:ascii="Arial" w:hAnsi="Arial" w:cs="Arial"/>
          <w:sz w:val="22"/>
          <w:szCs w:val="22"/>
        </w:rPr>
        <w:t>ing</w:t>
      </w:r>
      <w:r w:rsidRPr="00793E2F">
        <w:rPr>
          <w:rFonts w:ascii="Arial" w:hAnsi="Arial" w:cs="Arial"/>
          <w:sz w:val="22"/>
          <w:szCs w:val="22"/>
        </w:rPr>
        <w:t xml:space="preserve"> into account </w:t>
      </w:r>
      <w:r w:rsidR="00F31984" w:rsidRPr="00793E2F">
        <w:rPr>
          <w:rFonts w:ascii="Arial" w:hAnsi="Arial" w:cs="Arial"/>
          <w:sz w:val="22"/>
          <w:szCs w:val="22"/>
        </w:rPr>
        <w:t>public health guidance.</w:t>
      </w:r>
      <w:r w:rsidR="00723FDB" w:rsidRPr="00793E2F">
        <w:rPr>
          <w:rFonts w:ascii="Arial" w:hAnsi="Arial" w:cs="Arial"/>
          <w:sz w:val="22"/>
          <w:szCs w:val="22"/>
        </w:rPr>
        <w:t xml:space="preserve">  </w:t>
      </w:r>
    </w:p>
    <w:p w14:paraId="52341FE4" w14:textId="07F31B5E" w:rsidR="00EA0820" w:rsidRPr="00793E2F" w:rsidRDefault="00723FDB"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In addition, the Issuer is </w:t>
      </w:r>
      <w:r w:rsidR="00425683">
        <w:rPr>
          <w:rFonts w:ascii="Arial" w:hAnsi="Arial" w:cs="Arial"/>
          <w:sz w:val="22"/>
          <w:szCs w:val="22"/>
        </w:rPr>
        <w:t xml:space="preserve">actively </w:t>
      </w:r>
      <w:r w:rsidRPr="00793E2F">
        <w:rPr>
          <w:rFonts w:ascii="Arial" w:hAnsi="Arial" w:cs="Arial"/>
          <w:sz w:val="22"/>
          <w:szCs w:val="22"/>
        </w:rPr>
        <w:t xml:space="preserve">monitoring economic changes </w:t>
      </w:r>
      <w:r w:rsidR="00793E2F" w:rsidRPr="00793E2F">
        <w:rPr>
          <w:rFonts w:ascii="Arial" w:hAnsi="Arial" w:cs="Arial"/>
          <w:sz w:val="22"/>
          <w:szCs w:val="22"/>
        </w:rPr>
        <w:t xml:space="preserve">that may impact </w:t>
      </w:r>
      <w:r w:rsidRPr="00793E2F">
        <w:rPr>
          <w:rFonts w:ascii="Arial" w:hAnsi="Arial" w:cs="Arial"/>
          <w:sz w:val="22"/>
          <w:szCs w:val="22"/>
        </w:rPr>
        <w:t>its markets</w:t>
      </w:r>
      <w:r w:rsidR="004F34C8">
        <w:rPr>
          <w:rFonts w:ascii="Arial" w:hAnsi="Arial" w:cs="Arial"/>
          <w:sz w:val="22"/>
          <w:szCs w:val="22"/>
        </w:rPr>
        <w:t xml:space="preserve"> and financial performance</w:t>
      </w:r>
      <w:r w:rsidR="00793E2F" w:rsidRPr="00793E2F">
        <w:rPr>
          <w:rFonts w:ascii="Arial" w:hAnsi="Arial" w:cs="Arial"/>
          <w:sz w:val="22"/>
          <w:szCs w:val="22"/>
        </w:rPr>
        <w:t>,</w:t>
      </w:r>
      <w:r w:rsidRPr="00793E2F">
        <w:rPr>
          <w:rFonts w:ascii="Arial" w:hAnsi="Arial" w:cs="Arial"/>
          <w:sz w:val="22"/>
          <w:szCs w:val="22"/>
        </w:rPr>
        <w:t xml:space="preserve"> including inflation</w:t>
      </w:r>
      <w:r w:rsidR="00793E2F" w:rsidRPr="00793E2F">
        <w:rPr>
          <w:rFonts w:ascii="Arial" w:hAnsi="Arial" w:cs="Arial"/>
          <w:sz w:val="22"/>
          <w:szCs w:val="22"/>
        </w:rPr>
        <w:t xml:space="preserve">, rising interest rates, </w:t>
      </w:r>
      <w:r w:rsidR="004F34C8">
        <w:rPr>
          <w:rFonts w:ascii="Arial" w:hAnsi="Arial" w:cs="Arial"/>
          <w:sz w:val="22"/>
          <w:szCs w:val="22"/>
        </w:rPr>
        <w:t xml:space="preserve">supply shortages, </w:t>
      </w:r>
      <w:r w:rsidR="00793E2F" w:rsidRPr="00793E2F">
        <w:rPr>
          <w:rFonts w:ascii="Arial" w:hAnsi="Arial" w:cs="Arial"/>
          <w:sz w:val="22"/>
          <w:szCs w:val="22"/>
        </w:rPr>
        <w:t>global disruptions and volatility</w:t>
      </w:r>
      <w:r w:rsidR="00D3173F">
        <w:rPr>
          <w:rFonts w:ascii="Arial" w:hAnsi="Arial" w:cs="Arial"/>
          <w:sz w:val="22"/>
          <w:szCs w:val="22"/>
        </w:rPr>
        <w:t>,</w:t>
      </w:r>
      <w:r w:rsidR="00425683">
        <w:rPr>
          <w:rFonts w:ascii="Arial" w:hAnsi="Arial" w:cs="Arial"/>
          <w:sz w:val="22"/>
          <w:szCs w:val="22"/>
        </w:rPr>
        <w:t xml:space="preserve"> and </w:t>
      </w:r>
      <w:r w:rsidRPr="00793E2F">
        <w:rPr>
          <w:rFonts w:ascii="Arial" w:hAnsi="Arial" w:cs="Arial"/>
          <w:sz w:val="22"/>
          <w:szCs w:val="22"/>
        </w:rPr>
        <w:t>declining consumer and business confidence</w:t>
      </w:r>
      <w:r w:rsidR="00793E2F" w:rsidRPr="00793E2F">
        <w:rPr>
          <w:rFonts w:ascii="Arial" w:hAnsi="Arial" w:cs="Arial"/>
          <w:sz w:val="22"/>
          <w:szCs w:val="22"/>
        </w:rPr>
        <w:t xml:space="preserve">, all of which </w:t>
      </w:r>
      <w:r w:rsidRPr="00793E2F">
        <w:rPr>
          <w:rFonts w:ascii="Arial" w:hAnsi="Arial" w:cs="Arial"/>
          <w:sz w:val="22"/>
          <w:szCs w:val="22"/>
        </w:rPr>
        <w:t xml:space="preserve">could lead to decreased levels of consumer spending and higher costs. </w:t>
      </w:r>
      <w:r w:rsidR="00425683">
        <w:rPr>
          <w:rFonts w:ascii="Arial" w:hAnsi="Arial" w:cs="Arial"/>
          <w:sz w:val="22"/>
          <w:szCs w:val="22"/>
        </w:rPr>
        <w:t>The Issuer is taking these economic changes into account in its planning processes.</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0EB9B6A3" w:rsidR="00BC3419" w:rsidRPr="00793E2F" w:rsidRDefault="00640E94" w:rsidP="00D26435">
      <w:pPr>
        <w:pStyle w:val="BodyText"/>
        <w:tabs>
          <w:tab w:val="left" w:pos="477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E156DC">
        <w:rPr>
          <w:rFonts w:ascii="Arial" w:hAnsi="Arial" w:cs="Arial"/>
          <w:sz w:val="22"/>
          <w:szCs w:val="22"/>
        </w:rPr>
        <w:t>August 4</w:t>
      </w:r>
      <w:r w:rsidR="00AB15BE" w:rsidRPr="00793E2F">
        <w:rPr>
          <w:rFonts w:ascii="Arial" w:hAnsi="Arial" w:cs="Arial"/>
          <w:sz w:val="22"/>
          <w:szCs w:val="22"/>
        </w:rPr>
        <w:t xml:space="preserve">, </w:t>
      </w:r>
      <w:r w:rsidR="00DF0EFC" w:rsidRPr="00793E2F">
        <w:rPr>
          <w:rFonts w:ascii="Arial" w:hAnsi="Arial" w:cs="Arial"/>
          <w:sz w:val="22"/>
          <w:szCs w:val="22"/>
        </w:rPr>
        <w:t>202</w:t>
      </w:r>
      <w:r w:rsidR="00C12F91" w:rsidRPr="00793E2F">
        <w:rPr>
          <w:rFonts w:ascii="Arial" w:hAnsi="Arial" w:cs="Arial"/>
          <w:sz w:val="22"/>
          <w:szCs w:val="22"/>
        </w:rPr>
        <w:t>2</w:t>
      </w:r>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0162B5BA"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 xml:space="preserve">/s/ Darren Weiss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0D8166B1"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06CA122" w:rsidR="00897675" w:rsidRPr="00793E2F" w:rsidRDefault="00897675" w:rsidP="0005475F">
            <w:pPr>
              <w:pStyle w:val="BodyText"/>
              <w:spacing w:before="0"/>
              <w:jc w:val="both"/>
              <w:rPr>
                <w:rFonts w:ascii="Arial" w:hAnsi="Arial" w:cs="Arial"/>
                <w:sz w:val="22"/>
                <w:szCs w:val="22"/>
              </w:rPr>
            </w:pPr>
          </w:p>
          <w:p w14:paraId="113EF13D" w14:textId="7FE967FA" w:rsidR="00AE49E7" w:rsidRPr="00793E2F" w:rsidRDefault="00E156DC" w:rsidP="0005475F">
            <w:pPr>
              <w:pStyle w:val="BodyText"/>
              <w:spacing w:before="0"/>
              <w:jc w:val="both"/>
              <w:rPr>
                <w:rFonts w:ascii="Arial" w:hAnsi="Arial" w:cs="Arial"/>
                <w:sz w:val="22"/>
                <w:szCs w:val="22"/>
              </w:rPr>
            </w:pPr>
            <w:r>
              <w:rPr>
                <w:rFonts w:ascii="Arial" w:hAnsi="Arial" w:cs="Arial"/>
                <w:sz w:val="22"/>
                <w:szCs w:val="22"/>
              </w:rPr>
              <w:t xml:space="preserve">July </w:t>
            </w:r>
            <w:r w:rsidR="00577AAB">
              <w:rPr>
                <w:rFonts w:ascii="Arial" w:hAnsi="Arial" w:cs="Arial"/>
                <w:sz w:val="22"/>
                <w:szCs w:val="22"/>
              </w:rPr>
              <w:t>3</w:t>
            </w:r>
            <w:r>
              <w:rPr>
                <w:rFonts w:ascii="Arial" w:hAnsi="Arial" w:cs="Arial"/>
                <w:sz w:val="22"/>
                <w:szCs w:val="22"/>
              </w:rPr>
              <w:t>1</w:t>
            </w:r>
            <w:r w:rsidR="00F45393" w:rsidRPr="00793E2F">
              <w:rPr>
                <w:rFonts w:ascii="Arial" w:hAnsi="Arial" w:cs="Arial"/>
                <w:sz w:val="22"/>
                <w:szCs w:val="22"/>
              </w:rPr>
              <w:t>, 2022</w:t>
            </w:r>
          </w:p>
          <w:p w14:paraId="0B5369A3" w14:textId="347BECFA" w:rsidR="00F45393" w:rsidRPr="00793E2F" w:rsidRDefault="00F45393" w:rsidP="0005475F">
            <w:pPr>
              <w:pStyle w:val="BodyText"/>
              <w:spacing w:before="0"/>
              <w:jc w:val="both"/>
              <w:rPr>
                <w:rFonts w:ascii="Arial" w:hAnsi="Arial" w:cs="Arial"/>
                <w:sz w:val="22"/>
                <w:szCs w:val="22"/>
              </w:rPr>
            </w:pP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1B27B4E5"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YY/MM/D</w:t>
            </w:r>
          </w:p>
          <w:p w14:paraId="638A1DCD" w14:textId="77777777" w:rsidR="00AE49E7" w:rsidRPr="00793E2F" w:rsidRDefault="00AE49E7" w:rsidP="0005475F">
            <w:pPr>
              <w:pStyle w:val="BodyText"/>
              <w:spacing w:before="0"/>
              <w:jc w:val="both"/>
              <w:rPr>
                <w:rFonts w:ascii="Arial" w:hAnsi="Arial" w:cs="Arial"/>
                <w:sz w:val="22"/>
                <w:szCs w:val="22"/>
              </w:rPr>
            </w:pPr>
          </w:p>
          <w:p w14:paraId="48A5FD26" w14:textId="4A6D571F"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22</w:t>
            </w:r>
            <w:r w:rsidR="00BE4852" w:rsidRPr="00793E2F">
              <w:rPr>
                <w:rFonts w:ascii="Arial" w:hAnsi="Arial" w:cs="Arial"/>
                <w:sz w:val="22"/>
                <w:szCs w:val="22"/>
              </w:rPr>
              <w:t>/</w:t>
            </w:r>
            <w:r w:rsidR="00F52FDC" w:rsidRPr="00793E2F">
              <w:rPr>
                <w:rFonts w:ascii="Arial" w:hAnsi="Arial" w:cs="Arial"/>
                <w:sz w:val="22"/>
                <w:szCs w:val="22"/>
              </w:rPr>
              <w:t>0</w:t>
            </w:r>
            <w:r w:rsidR="00E156DC">
              <w:rPr>
                <w:rFonts w:ascii="Arial" w:hAnsi="Arial" w:cs="Arial"/>
                <w:sz w:val="22"/>
                <w:szCs w:val="22"/>
              </w:rPr>
              <w:t>8</w:t>
            </w:r>
            <w:r w:rsidR="00BE4852" w:rsidRPr="00793E2F">
              <w:rPr>
                <w:rFonts w:ascii="Arial" w:hAnsi="Arial" w:cs="Arial"/>
                <w:sz w:val="22"/>
                <w:szCs w:val="22"/>
              </w:rPr>
              <w:t>/</w:t>
            </w:r>
            <w:r w:rsidR="00E156DC">
              <w:rPr>
                <w:rFonts w:ascii="Arial" w:hAnsi="Arial" w:cs="Arial"/>
                <w:sz w:val="22"/>
                <w:szCs w:val="22"/>
              </w:rPr>
              <w:t>4</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D330A6"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D330A6"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E2017F">
      <w:headerReference w:type="even" r:id="rId13"/>
      <w:footerReference w:type="even" r:id="rId14"/>
      <w:footerReference w:type="default" r:id="rId15"/>
      <w:footerReference w:type="first" r:id="rId16"/>
      <w:pgSz w:w="12240" w:h="15840" w:code="1"/>
      <w:pgMar w:top="864" w:right="1440" w:bottom="864" w:left="1440" w:header="720" w:footer="3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97EA" w14:textId="77777777" w:rsidR="00CB5DE1" w:rsidRDefault="00CB5DE1">
      <w:r>
        <w:separator/>
      </w:r>
    </w:p>
  </w:endnote>
  <w:endnote w:type="continuationSeparator" w:id="0">
    <w:p w14:paraId="3F3E373A" w14:textId="77777777" w:rsidR="00CB5DE1" w:rsidRDefault="00CB5DE1">
      <w:r>
        <w:continuationSeparator/>
      </w:r>
    </w:p>
  </w:endnote>
  <w:endnote w:type="continuationNotice" w:id="1">
    <w:p w14:paraId="41CE0605" w14:textId="77777777" w:rsidR="00CB5DE1" w:rsidRDefault="00CB5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DC39"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F33DF3" w14:textId="0FC76B82" w:rsidR="00462BA5" w:rsidRPr="005F54F1" w:rsidRDefault="006D1A06" w:rsidP="00DF4F5F">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EA15"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54A6" w14:textId="77777777" w:rsidR="00CB5DE1" w:rsidRDefault="00CB5DE1">
      <w:r>
        <w:separator/>
      </w:r>
    </w:p>
  </w:footnote>
  <w:footnote w:type="continuationSeparator" w:id="0">
    <w:p w14:paraId="3A3A8B01" w14:textId="77777777" w:rsidR="00CB5DE1" w:rsidRDefault="00CB5DE1">
      <w:r>
        <w:continuationSeparator/>
      </w:r>
    </w:p>
  </w:footnote>
  <w:footnote w:type="continuationNotice" w:id="1">
    <w:p w14:paraId="7FC03DF3" w14:textId="77777777" w:rsidR="00CB5DE1" w:rsidRDefault="00CB5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5C7942"/>
    <w:multiLevelType w:val="hybridMultilevel"/>
    <w:tmpl w:val="3BE66C76"/>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8"/>
  </w:num>
  <w:num w:numId="2" w16cid:durableId="508720568">
    <w:abstractNumId w:val="22"/>
  </w:num>
  <w:num w:numId="3" w16cid:durableId="235172145">
    <w:abstractNumId w:val="17"/>
  </w:num>
  <w:num w:numId="4" w16cid:durableId="1885630813">
    <w:abstractNumId w:val="14"/>
  </w:num>
  <w:num w:numId="5" w16cid:durableId="1224561941">
    <w:abstractNumId w:val="5"/>
  </w:num>
  <w:num w:numId="6" w16cid:durableId="1127966020">
    <w:abstractNumId w:val="24"/>
  </w:num>
  <w:num w:numId="7" w16cid:durableId="1180125983">
    <w:abstractNumId w:val="10"/>
  </w:num>
  <w:num w:numId="8" w16cid:durableId="2132431380">
    <w:abstractNumId w:val="29"/>
  </w:num>
  <w:num w:numId="9" w16cid:durableId="928544875">
    <w:abstractNumId w:val="21"/>
  </w:num>
  <w:num w:numId="10" w16cid:durableId="1585459687">
    <w:abstractNumId w:val="12"/>
  </w:num>
  <w:num w:numId="11" w16cid:durableId="2047296259">
    <w:abstractNumId w:val="15"/>
  </w:num>
  <w:num w:numId="12" w16cid:durableId="750202971">
    <w:abstractNumId w:val="16"/>
  </w:num>
  <w:num w:numId="13" w16cid:durableId="1056203637">
    <w:abstractNumId w:val="32"/>
  </w:num>
  <w:num w:numId="14" w16cid:durableId="852257229">
    <w:abstractNumId w:val="8"/>
  </w:num>
  <w:num w:numId="15" w16cid:durableId="684594410">
    <w:abstractNumId w:val="11"/>
  </w:num>
  <w:num w:numId="16" w16cid:durableId="633414816">
    <w:abstractNumId w:val="13"/>
  </w:num>
  <w:num w:numId="17" w16cid:durableId="1400515124">
    <w:abstractNumId w:val="19"/>
  </w:num>
  <w:num w:numId="18" w16cid:durableId="1502163792">
    <w:abstractNumId w:val="3"/>
  </w:num>
  <w:num w:numId="19" w16cid:durableId="228032297">
    <w:abstractNumId w:val="9"/>
  </w:num>
  <w:num w:numId="20" w16cid:durableId="465972464">
    <w:abstractNumId w:val="27"/>
  </w:num>
  <w:num w:numId="21" w16cid:durableId="1286696238">
    <w:abstractNumId w:val="1"/>
  </w:num>
  <w:num w:numId="22" w16cid:durableId="1401975397">
    <w:abstractNumId w:val="0"/>
  </w:num>
  <w:num w:numId="23" w16cid:durableId="1243837248">
    <w:abstractNumId w:val="23"/>
  </w:num>
  <w:num w:numId="24" w16cid:durableId="2083214790">
    <w:abstractNumId w:val="20"/>
  </w:num>
  <w:num w:numId="25" w16cid:durableId="768431128">
    <w:abstractNumId w:val="6"/>
  </w:num>
  <w:num w:numId="26" w16cid:durableId="2135168667">
    <w:abstractNumId w:val="30"/>
  </w:num>
  <w:num w:numId="27" w16cid:durableId="2010522533">
    <w:abstractNumId w:val="33"/>
  </w:num>
  <w:num w:numId="28" w16cid:durableId="1395004964">
    <w:abstractNumId w:val="7"/>
  </w:num>
  <w:num w:numId="29" w16cid:durableId="1425764094">
    <w:abstractNumId w:val="4"/>
  </w:num>
  <w:num w:numId="30" w16cid:durableId="1595824497">
    <w:abstractNumId w:val="2"/>
  </w:num>
  <w:num w:numId="31" w16cid:durableId="2038115433">
    <w:abstractNumId w:val="25"/>
  </w:num>
  <w:num w:numId="32" w16cid:durableId="877350550">
    <w:abstractNumId w:val="28"/>
  </w:num>
  <w:num w:numId="33" w16cid:durableId="1254438498">
    <w:abstractNumId w:val="26"/>
  </w:num>
  <w:num w:numId="34" w16cid:durableId="487744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8-3592-9895, v. 1"/>
    <w:docVar w:name="ndGeneratedStampLocation" w:val="EachPage"/>
  </w:docVars>
  <w:rsids>
    <w:rsidRoot w:val="00A47914"/>
    <w:rsid w:val="00017057"/>
    <w:rsid w:val="0001741C"/>
    <w:rsid w:val="0002366F"/>
    <w:rsid w:val="00025C8E"/>
    <w:rsid w:val="00030684"/>
    <w:rsid w:val="0003129E"/>
    <w:rsid w:val="00031A77"/>
    <w:rsid w:val="00037809"/>
    <w:rsid w:val="000400C9"/>
    <w:rsid w:val="00040162"/>
    <w:rsid w:val="000453F2"/>
    <w:rsid w:val="00047DD4"/>
    <w:rsid w:val="00050C8D"/>
    <w:rsid w:val="000544EB"/>
    <w:rsid w:val="0005475F"/>
    <w:rsid w:val="00054A58"/>
    <w:rsid w:val="00057160"/>
    <w:rsid w:val="00061B46"/>
    <w:rsid w:val="00063814"/>
    <w:rsid w:val="00067999"/>
    <w:rsid w:val="00084B44"/>
    <w:rsid w:val="0008558B"/>
    <w:rsid w:val="00094201"/>
    <w:rsid w:val="00096B06"/>
    <w:rsid w:val="00096DAA"/>
    <w:rsid w:val="000A1931"/>
    <w:rsid w:val="000A1AB1"/>
    <w:rsid w:val="000A3859"/>
    <w:rsid w:val="000A59B9"/>
    <w:rsid w:val="000B706F"/>
    <w:rsid w:val="000B739A"/>
    <w:rsid w:val="000C62CD"/>
    <w:rsid w:val="000D24BA"/>
    <w:rsid w:val="000D3801"/>
    <w:rsid w:val="000D3A4F"/>
    <w:rsid w:val="000D479B"/>
    <w:rsid w:val="000E2CC9"/>
    <w:rsid w:val="000F0CD0"/>
    <w:rsid w:val="000F105B"/>
    <w:rsid w:val="000F4142"/>
    <w:rsid w:val="00101007"/>
    <w:rsid w:val="001058F6"/>
    <w:rsid w:val="001122A0"/>
    <w:rsid w:val="00113277"/>
    <w:rsid w:val="00113597"/>
    <w:rsid w:val="00120331"/>
    <w:rsid w:val="00127EAA"/>
    <w:rsid w:val="001313A3"/>
    <w:rsid w:val="00133FE1"/>
    <w:rsid w:val="001415EB"/>
    <w:rsid w:val="00144D5F"/>
    <w:rsid w:val="0014545B"/>
    <w:rsid w:val="00146D06"/>
    <w:rsid w:val="00147FE6"/>
    <w:rsid w:val="00163CED"/>
    <w:rsid w:val="00165A4A"/>
    <w:rsid w:val="00166178"/>
    <w:rsid w:val="00185910"/>
    <w:rsid w:val="00186E65"/>
    <w:rsid w:val="00192D9D"/>
    <w:rsid w:val="001952CC"/>
    <w:rsid w:val="00195415"/>
    <w:rsid w:val="001A0F3B"/>
    <w:rsid w:val="001A13E4"/>
    <w:rsid w:val="001A2F20"/>
    <w:rsid w:val="001B5ADB"/>
    <w:rsid w:val="001D1ADE"/>
    <w:rsid w:val="001D2C35"/>
    <w:rsid w:val="001D42ED"/>
    <w:rsid w:val="001D5FC4"/>
    <w:rsid w:val="001E13A6"/>
    <w:rsid w:val="001E3D79"/>
    <w:rsid w:val="001E3FEA"/>
    <w:rsid w:val="001E475F"/>
    <w:rsid w:val="001E5FF1"/>
    <w:rsid w:val="001F1BA4"/>
    <w:rsid w:val="002005EB"/>
    <w:rsid w:val="002022B8"/>
    <w:rsid w:val="00202448"/>
    <w:rsid w:val="0020320E"/>
    <w:rsid w:val="00203D4C"/>
    <w:rsid w:val="00213C7C"/>
    <w:rsid w:val="00216EE2"/>
    <w:rsid w:val="00222320"/>
    <w:rsid w:val="002229C4"/>
    <w:rsid w:val="00222B6D"/>
    <w:rsid w:val="00230872"/>
    <w:rsid w:val="00233C70"/>
    <w:rsid w:val="002345C8"/>
    <w:rsid w:val="00243B75"/>
    <w:rsid w:val="0025387E"/>
    <w:rsid w:val="00257129"/>
    <w:rsid w:val="00257C9B"/>
    <w:rsid w:val="002624E2"/>
    <w:rsid w:val="002632E9"/>
    <w:rsid w:val="00264109"/>
    <w:rsid w:val="00277AD6"/>
    <w:rsid w:val="0028406E"/>
    <w:rsid w:val="002909D5"/>
    <w:rsid w:val="00290C79"/>
    <w:rsid w:val="00294672"/>
    <w:rsid w:val="002A0D63"/>
    <w:rsid w:val="002A1044"/>
    <w:rsid w:val="002A1580"/>
    <w:rsid w:val="002A21F5"/>
    <w:rsid w:val="002A3BBA"/>
    <w:rsid w:val="002A5B20"/>
    <w:rsid w:val="002C1DC3"/>
    <w:rsid w:val="002C234B"/>
    <w:rsid w:val="002C263E"/>
    <w:rsid w:val="002C281E"/>
    <w:rsid w:val="002C300C"/>
    <w:rsid w:val="002C6B9C"/>
    <w:rsid w:val="002D0065"/>
    <w:rsid w:val="002D153C"/>
    <w:rsid w:val="002D191B"/>
    <w:rsid w:val="002E09C4"/>
    <w:rsid w:val="002E310E"/>
    <w:rsid w:val="002F00EB"/>
    <w:rsid w:val="002F10E1"/>
    <w:rsid w:val="002F46DA"/>
    <w:rsid w:val="002F58F0"/>
    <w:rsid w:val="002F5BF6"/>
    <w:rsid w:val="00300C81"/>
    <w:rsid w:val="00302FA2"/>
    <w:rsid w:val="0030394D"/>
    <w:rsid w:val="00303EA0"/>
    <w:rsid w:val="00305399"/>
    <w:rsid w:val="00311436"/>
    <w:rsid w:val="003129DD"/>
    <w:rsid w:val="00314EA7"/>
    <w:rsid w:val="00317D2F"/>
    <w:rsid w:val="00326802"/>
    <w:rsid w:val="00330206"/>
    <w:rsid w:val="00333B20"/>
    <w:rsid w:val="0034045D"/>
    <w:rsid w:val="003410C6"/>
    <w:rsid w:val="00344AFC"/>
    <w:rsid w:val="00345484"/>
    <w:rsid w:val="00354E7E"/>
    <w:rsid w:val="00357F23"/>
    <w:rsid w:val="0036240F"/>
    <w:rsid w:val="00362D6E"/>
    <w:rsid w:val="0036374C"/>
    <w:rsid w:val="003669A9"/>
    <w:rsid w:val="0036711B"/>
    <w:rsid w:val="0037175D"/>
    <w:rsid w:val="00371A64"/>
    <w:rsid w:val="003728C1"/>
    <w:rsid w:val="0037719F"/>
    <w:rsid w:val="00380E00"/>
    <w:rsid w:val="00382E78"/>
    <w:rsid w:val="00387FA8"/>
    <w:rsid w:val="0039124D"/>
    <w:rsid w:val="00391CB3"/>
    <w:rsid w:val="003945E5"/>
    <w:rsid w:val="0039490F"/>
    <w:rsid w:val="00397874"/>
    <w:rsid w:val="003A0CDC"/>
    <w:rsid w:val="003A2569"/>
    <w:rsid w:val="003B3766"/>
    <w:rsid w:val="003B4FB0"/>
    <w:rsid w:val="003B7393"/>
    <w:rsid w:val="003C4F54"/>
    <w:rsid w:val="003C5270"/>
    <w:rsid w:val="003C7340"/>
    <w:rsid w:val="003D5047"/>
    <w:rsid w:val="003D5FD0"/>
    <w:rsid w:val="003E0101"/>
    <w:rsid w:val="003E18C7"/>
    <w:rsid w:val="003E66AC"/>
    <w:rsid w:val="003F03B6"/>
    <w:rsid w:val="003F0E38"/>
    <w:rsid w:val="003F54D0"/>
    <w:rsid w:val="00404E42"/>
    <w:rsid w:val="00410F8B"/>
    <w:rsid w:val="00414057"/>
    <w:rsid w:val="0041544A"/>
    <w:rsid w:val="00417052"/>
    <w:rsid w:val="00425683"/>
    <w:rsid w:val="00431197"/>
    <w:rsid w:val="00432A5E"/>
    <w:rsid w:val="00442E05"/>
    <w:rsid w:val="0044315C"/>
    <w:rsid w:val="00444EC7"/>
    <w:rsid w:val="00454209"/>
    <w:rsid w:val="0046113C"/>
    <w:rsid w:val="00461A11"/>
    <w:rsid w:val="00462BA5"/>
    <w:rsid w:val="00472B0B"/>
    <w:rsid w:val="004748EF"/>
    <w:rsid w:val="00477996"/>
    <w:rsid w:val="004805F3"/>
    <w:rsid w:val="00481978"/>
    <w:rsid w:val="0048372B"/>
    <w:rsid w:val="00483FAD"/>
    <w:rsid w:val="00486F75"/>
    <w:rsid w:val="00490F11"/>
    <w:rsid w:val="00493652"/>
    <w:rsid w:val="004940C3"/>
    <w:rsid w:val="004A3976"/>
    <w:rsid w:val="004A6AB9"/>
    <w:rsid w:val="004B06BB"/>
    <w:rsid w:val="004B2B5D"/>
    <w:rsid w:val="004B2CAC"/>
    <w:rsid w:val="004B349E"/>
    <w:rsid w:val="004B3759"/>
    <w:rsid w:val="004B61CC"/>
    <w:rsid w:val="004B7863"/>
    <w:rsid w:val="004B7878"/>
    <w:rsid w:val="004C35FC"/>
    <w:rsid w:val="004C5469"/>
    <w:rsid w:val="004C7B89"/>
    <w:rsid w:val="004D0944"/>
    <w:rsid w:val="004D18A9"/>
    <w:rsid w:val="004D7CD7"/>
    <w:rsid w:val="004E1DE0"/>
    <w:rsid w:val="004F34C8"/>
    <w:rsid w:val="004F4C72"/>
    <w:rsid w:val="004F6FFA"/>
    <w:rsid w:val="00500AE1"/>
    <w:rsid w:val="00500D2F"/>
    <w:rsid w:val="00506755"/>
    <w:rsid w:val="00512CC6"/>
    <w:rsid w:val="0052544A"/>
    <w:rsid w:val="00526337"/>
    <w:rsid w:val="00531B70"/>
    <w:rsid w:val="00534CAA"/>
    <w:rsid w:val="005357AF"/>
    <w:rsid w:val="0053676D"/>
    <w:rsid w:val="00536834"/>
    <w:rsid w:val="00537744"/>
    <w:rsid w:val="00540083"/>
    <w:rsid w:val="00541ACF"/>
    <w:rsid w:val="005453C8"/>
    <w:rsid w:val="00563AD3"/>
    <w:rsid w:val="00563F39"/>
    <w:rsid w:val="00565367"/>
    <w:rsid w:val="00570ABE"/>
    <w:rsid w:val="00571135"/>
    <w:rsid w:val="00577204"/>
    <w:rsid w:val="00577AAB"/>
    <w:rsid w:val="00582F92"/>
    <w:rsid w:val="005840B8"/>
    <w:rsid w:val="00587D6B"/>
    <w:rsid w:val="00590779"/>
    <w:rsid w:val="00594C11"/>
    <w:rsid w:val="00596D92"/>
    <w:rsid w:val="005A51DD"/>
    <w:rsid w:val="005A646A"/>
    <w:rsid w:val="005B6D93"/>
    <w:rsid w:val="005C1F7F"/>
    <w:rsid w:val="005C1FC7"/>
    <w:rsid w:val="005D0441"/>
    <w:rsid w:val="005D1B1C"/>
    <w:rsid w:val="005D24C0"/>
    <w:rsid w:val="005E70DE"/>
    <w:rsid w:val="005E72E0"/>
    <w:rsid w:val="005F38D7"/>
    <w:rsid w:val="005F402B"/>
    <w:rsid w:val="005F54F1"/>
    <w:rsid w:val="005F6070"/>
    <w:rsid w:val="005F6D8F"/>
    <w:rsid w:val="006057FB"/>
    <w:rsid w:val="006133B4"/>
    <w:rsid w:val="00614B71"/>
    <w:rsid w:val="00615A73"/>
    <w:rsid w:val="00615B6E"/>
    <w:rsid w:val="00615FCC"/>
    <w:rsid w:val="006174E6"/>
    <w:rsid w:val="00620E7F"/>
    <w:rsid w:val="00621D8B"/>
    <w:rsid w:val="00621F98"/>
    <w:rsid w:val="00623881"/>
    <w:rsid w:val="00626E8D"/>
    <w:rsid w:val="00627D59"/>
    <w:rsid w:val="00633ED3"/>
    <w:rsid w:val="00635E9A"/>
    <w:rsid w:val="00640E94"/>
    <w:rsid w:val="006412A1"/>
    <w:rsid w:val="00642D3F"/>
    <w:rsid w:val="00645569"/>
    <w:rsid w:val="00650AD5"/>
    <w:rsid w:val="00654900"/>
    <w:rsid w:val="00662700"/>
    <w:rsid w:val="00663591"/>
    <w:rsid w:val="00665577"/>
    <w:rsid w:val="00666125"/>
    <w:rsid w:val="006664BD"/>
    <w:rsid w:val="00666C57"/>
    <w:rsid w:val="00667281"/>
    <w:rsid w:val="0066AD9E"/>
    <w:rsid w:val="006704EB"/>
    <w:rsid w:val="00674813"/>
    <w:rsid w:val="00676249"/>
    <w:rsid w:val="00680DD0"/>
    <w:rsid w:val="00681997"/>
    <w:rsid w:val="00683848"/>
    <w:rsid w:val="006841E1"/>
    <w:rsid w:val="00686BEE"/>
    <w:rsid w:val="00692529"/>
    <w:rsid w:val="006A4AE0"/>
    <w:rsid w:val="006B0AF3"/>
    <w:rsid w:val="006B13C3"/>
    <w:rsid w:val="006B3A68"/>
    <w:rsid w:val="006B3B8F"/>
    <w:rsid w:val="006B7034"/>
    <w:rsid w:val="006D1A06"/>
    <w:rsid w:val="006D44D0"/>
    <w:rsid w:val="006D5006"/>
    <w:rsid w:val="006D6881"/>
    <w:rsid w:val="006D6AD8"/>
    <w:rsid w:val="006E7311"/>
    <w:rsid w:val="006E7F3B"/>
    <w:rsid w:val="006F0086"/>
    <w:rsid w:val="006F107A"/>
    <w:rsid w:val="006F59E2"/>
    <w:rsid w:val="007046E5"/>
    <w:rsid w:val="00707E17"/>
    <w:rsid w:val="0071029E"/>
    <w:rsid w:val="0071110C"/>
    <w:rsid w:val="00712704"/>
    <w:rsid w:val="00717B13"/>
    <w:rsid w:val="0072107E"/>
    <w:rsid w:val="00721932"/>
    <w:rsid w:val="007221BA"/>
    <w:rsid w:val="00723FDB"/>
    <w:rsid w:val="00731561"/>
    <w:rsid w:val="0073246A"/>
    <w:rsid w:val="007333BC"/>
    <w:rsid w:val="00734CDC"/>
    <w:rsid w:val="00735567"/>
    <w:rsid w:val="0073799C"/>
    <w:rsid w:val="00740EEE"/>
    <w:rsid w:val="00741D61"/>
    <w:rsid w:val="00750626"/>
    <w:rsid w:val="00752D67"/>
    <w:rsid w:val="00760BF3"/>
    <w:rsid w:val="00770B3B"/>
    <w:rsid w:val="00772BBC"/>
    <w:rsid w:val="00774F96"/>
    <w:rsid w:val="00783937"/>
    <w:rsid w:val="00786C81"/>
    <w:rsid w:val="00791F2E"/>
    <w:rsid w:val="00793E2F"/>
    <w:rsid w:val="007A07CF"/>
    <w:rsid w:val="007A399E"/>
    <w:rsid w:val="007B067F"/>
    <w:rsid w:val="007B0979"/>
    <w:rsid w:val="007B1358"/>
    <w:rsid w:val="007B6071"/>
    <w:rsid w:val="007C0D91"/>
    <w:rsid w:val="007C4F7F"/>
    <w:rsid w:val="007C61CF"/>
    <w:rsid w:val="007D1A4A"/>
    <w:rsid w:val="007D238A"/>
    <w:rsid w:val="007D5582"/>
    <w:rsid w:val="007D5689"/>
    <w:rsid w:val="007D5D47"/>
    <w:rsid w:val="007E3CE7"/>
    <w:rsid w:val="007F05AF"/>
    <w:rsid w:val="007F10EF"/>
    <w:rsid w:val="007F3525"/>
    <w:rsid w:val="007F38F5"/>
    <w:rsid w:val="008010A8"/>
    <w:rsid w:val="00804DB3"/>
    <w:rsid w:val="008075B4"/>
    <w:rsid w:val="0080789A"/>
    <w:rsid w:val="008151FA"/>
    <w:rsid w:val="00815E83"/>
    <w:rsid w:val="00831FB2"/>
    <w:rsid w:val="00843BC0"/>
    <w:rsid w:val="008458CE"/>
    <w:rsid w:val="00846BCF"/>
    <w:rsid w:val="00847BE1"/>
    <w:rsid w:val="008500ED"/>
    <w:rsid w:val="008502E3"/>
    <w:rsid w:val="00852B13"/>
    <w:rsid w:val="008533C6"/>
    <w:rsid w:val="0085697F"/>
    <w:rsid w:val="00863487"/>
    <w:rsid w:val="008665AC"/>
    <w:rsid w:val="00867593"/>
    <w:rsid w:val="00870D38"/>
    <w:rsid w:val="00872A7F"/>
    <w:rsid w:val="008849CF"/>
    <w:rsid w:val="00886D71"/>
    <w:rsid w:val="0088735F"/>
    <w:rsid w:val="00887884"/>
    <w:rsid w:val="00897675"/>
    <w:rsid w:val="008B0E73"/>
    <w:rsid w:val="008B4E8F"/>
    <w:rsid w:val="008B7E92"/>
    <w:rsid w:val="008C0CEC"/>
    <w:rsid w:val="008C26AB"/>
    <w:rsid w:val="008C2852"/>
    <w:rsid w:val="008D021E"/>
    <w:rsid w:val="008D5FA3"/>
    <w:rsid w:val="008E046B"/>
    <w:rsid w:val="008F1BD5"/>
    <w:rsid w:val="008F3A42"/>
    <w:rsid w:val="008F6E3F"/>
    <w:rsid w:val="008F78EE"/>
    <w:rsid w:val="0090147E"/>
    <w:rsid w:val="00901D54"/>
    <w:rsid w:val="00907B69"/>
    <w:rsid w:val="00910F5B"/>
    <w:rsid w:val="00922A46"/>
    <w:rsid w:val="00925120"/>
    <w:rsid w:val="00930D4D"/>
    <w:rsid w:val="00931A4D"/>
    <w:rsid w:val="009408AC"/>
    <w:rsid w:val="00943130"/>
    <w:rsid w:val="00943EDD"/>
    <w:rsid w:val="00945A31"/>
    <w:rsid w:val="009502CD"/>
    <w:rsid w:val="009533D1"/>
    <w:rsid w:val="00954014"/>
    <w:rsid w:val="009547E8"/>
    <w:rsid w:val="009619AB"/>
    <w:rsid w:val="00961F72"/>
    <w:rsid w:val="00970763"/>
    <w:rsid w:val="0097176B"/>
    <w:rsid w:val="009730DE"/>
    <w:rsid w:val="00976876"/>
    <w:rsid w:val="00976FFA"/>
    <w:rsid w:val="0098526C"/>
    <w:rsid w:val="009A0FCB"/>
    <w:rsid w:val="009A35B9"/>
    <w:rsid w:val="009B1E6C"/>
    <w:rsid w:val="009C1B62"/>
    <w:rsid w:val="009D2A0A"/>
    <w:rsid w:val="009D3294"/>
    <w:rsid w:val="009D4DC0"/>
    <w:rsid w:val="009E0546"/>
    <w:rsid w:val="009E6699"/>
    <w:rsid w:val="009F3107"/>
    <w:rsid w:val="009F46A4"/>
    <w:rsid w:val="009F59B1"/>
    <w:rsid w:val="009F6284"/>
    <w:rsid w:val="00A047CB"/>
    <w:rsid w:val="00A06D90"/>
    <w:rsid w:val="00A07BB1"/>
    <w:rsid w:val="00A11082"/>
    <w:rsid w:val="00A15457"/>
    <w:rsid w:val="00A17458"/>
    <w:rsid w:val="00A17CD1"/>
    <w:rsid w:val="00A2058A"/>
    <w:rsid w:val="00A2287C"/>
    <w:rsid w:val="00A23F26"/>
    <w:rsid w:val="00A24285"/>
    <w:rsid w:val="00A26E91"/>
    <w:rsid w:val="00A32B83"/>
    <w:rsid w:val="00A47914"/>
    <w:rsid w:val="00A54556"/>
    <w:rsid w:val="00A560FD"/>
    <w:rsid w:val="00A61354"/>
    <w:rsid w:val="00A61AEA"/>
    <w:rsid w:val="00A62DE2"/>
    <w:rsid w:val="00A64573"/>
    <w:rsid w:val="00A64E14"/>
    <w:rsid w:val="00A657F6"/>
    <w:rsid w:val="00A728BC"/>
    <w:rsid w:val="00A7733A"/>
    <w:rsid w:val="00A80B45"/>
    <w:rsid w:val="00A822A4"/>
    <w:rsid w:val="00A95228"/>
    <w:rsid w:val="00AA24C0"/>
    <w:rsid w:val="00AA3BB1"/>
    <w:rsid w:val="00AA3C0C"/>
    <w:rsid w:val="00AA43EB"/>
    <w:rsid w:val="00AB064B"/>
    <w:rsid w:val="00AB15BE"/>
    <w:rsid w:val="00AC2AE5"/>
    <w:rsid w:val="00AC4D02"/>
    <w:rsid w:val="00AD45C0"/>
    <w:rsid w:val="00AD7659"/>
    <w:rsid w:val="00AE12CD"/>
    <w:rsid w:val="00AE3BDF"/>
    <w:rsid w:val="00AE3C65"/>
    <w:rsid w:val="00AE49E7"/>
    <w:rsid w:val="00AF0809"/>
    <w:rsid w:val="00AF2252"/>
    <w:rsid w:val="00AF6022"/>
    <w:rsid w:val="00AF725C"/>
    <w:rsid w:val="00AF7388"/>
    <w:rsid w:val="00AF7CCD"/>
    <w:rsid w:val="00B002FB"/>
    <w:rsid w:val="00B00822"/>
    <w:rsid w:val="00B036F8"/>
    <w:rsid w:val="00B06961"/>
    <w:rsid w:val="00B10520"/>
    <w:rsid w:val="00B13476"/>
    <w:rsid w:val="00B151C4"/>
    <w:rsid w:val="00B210DD"/>
    <w:rsid w:val="00B23BB8"/>
    <w:rsid w:val="00B3332B"/>
    <w:rsid w:val="00B342AE"/>
    <w:rsid w:val="00B34ED6"/>
    <w:rsid w:val="00B41F6D"/>
    <w:rsid w:val="00B43E43"/>
    <w:rsid w:val="00B449B3"/>
    <w:rsid w:val="00B51643"/>
    <w:rsid w:val="00B519F1"/>
    <w:rsid w:val="00B61161"/>
    <w:rsid w:val="00B61EBC"/>
    <w:rsid w:val="00B6462C"/>
    <w:rsid w:val="00B679EA"/>
    <w:rsid w:val="00B74779"/>
    <w:rsid w:val="00B75521"/>
    <w:rsid w:val="00B81D90"/>
    <w:rsid w:val="00B82DC1"/>
    <w:rsid w:val="00B831D5"/>
    <w:rsid w:val="00B83D60"/>
    <w:rsid w:val="00B83E13"/>
    <w:rsid w:val="00B8484A"/>
    <w:rsid w:val="00B856A3"/>
    <w:rsid w:val="00B90563"/>
    <w:rsid w:val="00B961A6"/>
    <w:rsid w:val="00B973F4"/>
    <w:rsid w:val="00BA0C3F"/>
    <w:rsid w:val="00BA1174"/>
    <w:rsid w:val="00BA219A"/>
    <w:rsid w:val="00BA51FE"/>
    <w:rsid w:val="00BA7A0E"/>
    <w:rsid w:val="00BB0F89"/>
    <w:rsid w:val="00BB33A2"/>
    <w:rsid w:val="00BB3CEC"/>
    <w:rsid w:val="00BB58A1"/>
    <w:rsid w:val="00BB6E09"/>
    <w:rsid w:val="00BC1615"/>
    <w:rsid w:val="00BC31F2"/>
    <w:rsid w:val="00BC3419"/>
    <w:rsid w:val="00BC48D5"/>
    <w:rsid w:val="00BD351C"/>
    <w:rsid w:val="00BD60DD"/>
    <w:rsid w:val="00BD7397"/>
    <w:rsid w:val="00BE10C0"/>
    <w:rsid w:val="00BE2557"/>
    <w:rsid w:val="00BE2676"/>
    <w:rsid w:val="00BE4852"/>
    <w:rsid w:val="00BE5328"/>
    <w:rsid w:val="00BE6FB3"/>
    <w:rsid w:val="00BF1FF5"/>
    <w:rsid w:val="00C0550E"/>
    <w:rsid w:val="00C05AF3"/>
    <w:rsid w:val="00C068F2"/>
    <w:rsid w:val="00C12F91"/>
    <w:rsid w:val="00C14CA4"/>
    <w:rsid w:val="00C16A12"/>
    <w:rsid w:val="00C17501"/>
    <w:rsid w:val="00C20A21"/>
    <w:rsid w:val="00C22493"/>
    <w:rsid w:val="00C2332E"/>
    <w:rsid w:val="00C26679"/>
    <w:rsid w:val="00C2698B"/>
    <w:rsid w:val="00C27A18"/>
    <w:rsid w:val="00C30213"/>
    <w:rsid w:val="00C30FB6"/>
    <w:rsid w:val="00C35155"/>
    <w:rsid w:val="00C43025"/>
    <w:rsid w:val="00C44022"/>
    <w:rsid w:val="00C446F4"/>
    <w:rsid w:val="00C51F38"/>
    <w:rsid w:val="00C5231D"/>
    <w:rsid w:val="00C61140"/>
    <w:rsid w:val="00C62509"/>
    <w:rsid w:val="00C6383E"/>
    <w:rsid w:val="00C7002E"/>
    <w:rsid w:val="00C744DD"/>
    <w:rsid w:val="00C7450A"/>
    <w:rsid w:val="00C775BD"/>
    <w:rsid w:val="00C82E4A"/>
    <w:rsid w:val="00C8729B"/>
    <w:rsid w:val="00C903A8"/>
    <w:rsid w:val="00C91387"/>
    <w:rsid w:val="00C919E8"/>
    <w:rsid w:val="00C91AA4"/>
    <w:rsid w:val="00C93A1B"/>
    <w:rsid w:val="00C95A63"/>
    <w:rsid w:val="00C95A87"/>
    <w:rsid w:val="00C95AF0"/>
    <w:rsid w:val="00CA4A62"/>
    <w:rsid w:val="00CA66AA"/>
    <w:rsid w:val="00CA7C47"/>
    <w:rsid w:val="00CB29E5"/>
    <w:rsid w:val="00CB5DE1"/>
    <w:rsid w:val="00CB7CFA"/>
    <w:rsid w:val="00CB7DCE"/>
    <w:rsid w:val="00CC1ABE"/>
    <w:rsid w:val="00CC35F4"/>
    <w:rsid w:val="00CC361B"/>
    <w:rsid w:val="00CD354D"/>
    <w:rsid w:val="00CE3360"/>
    <w:rsid w:val="00CE3CFE"/>
    <w:rsid w:val="00CE736F"/>
    <w:rsid w:val="00CF38BF"/>
    <w:rsid w:val="00CF64BF"/>
    <w:rsid w:val="00CF681F"/>
    <w:rsid w:val="00D00272"/>
    <w:rsid w:val="00D01EB3"/>
    <w:rsid w:val="00D02741"/>
    <w:rsid w:val="00D02D57"/>
    <w:rsid w:val="00D047B9"/>
    <w:rsid w:val="00D10ACC"/>
    <w:rsid w:val="00D10AEE"/>
    <w:rsid w:val="00D1449F"/>
    <w:rsid w:val="00D16FC1"/>
    <w:rsid w:val="00D17DB0"/>
    <w:rsid w:val="00D21ACB"/>
    <w:rsid w:val="00D26435"/>
    <w:rsid w:val="00D277B0"/>
    <w:rsid w:val="00D30023"/>
    <w:rsid w:val="00D3173F"/>
    <w:rsid w:val="00D330A6"/>
    <w:rsid w:val="00D33505"/>
    <w:rsid w:val="00D43714"/>
    <w:rsid w:val="00D4425E"/>
    <w:rsid w:val="00D4575D"/>
    <w:rsid w:val="00D500DE"/>
    <w:rsid w:val="00D51450"/>
    <w:rsid w:val="00D541E8"/>
    <w:rsid w:val="00D570A7"/>
    <w:rsid w:val="00D60D1A"/>
    <w:rsid w:val="00D65B4F"/>
    <w:rsid w:val="00D90178"/>
    <w:rsid w:val="00D92644"/>
    <w:rsid w:val="00D95C3A"/>
    <w:rsid w:val="00D95FEC"/>
    <w:rsid w:val="00D962AB"/>
    <w:rsid w:val="00D9787B"/>
    <w:rsid w:val="00DA02F2"/>
    <w:rsid w:val="00DA130F"/>
    <w:rsid w:val="00DA5E24"/>
    <w:rsid w:val="00DB0160"/>
    <w:rsid w:val="00DB0BEB"/>
    <w:rsid w:val="00DB77B2"/>
    <w:rsid w:val="00DC28A5"/>
    <w:rsid w:val="00DC60D4"/>
    <w:rsid w:val="00DD254F"/>
    <w:rsid w:val="00DD4DBB"/>
    <w:rsid w:val="00DE01DA"/>
    <w:rsid w:val="00DE0FB8"/>
    <w:rsid w:val="00DE367F"/>
    <w:rsid w:val="00DE4A1C"/>
    <w:rsid w:val="00DE5EA2"/>
    <w:rsid w:val="00DE6733"/>
    <w:rsid w:val="00DF0C4D"/>
    <w:rsid w:val="00DF0EFC"/>
    <w:rsid w:val="00DF12C8"/>
    <w:rsid w:val="00DF4F5F"/>
    <w:rsid w:val="00DF6492"/>
    <w:rsid w:val="00E003CF"/>
    <w:rsid w:val="00E033CC"/>
    <w:rsid w:val="00E0780B"/>
    <w:rsid w:val="00E07CD1"/>
    <w:rsid w:val="00E144B9"/>
    <w:rsid w:val="00E156DC"/>
    <w:rsid w:val="00E168F9"/>
    <w:rsid w:val="00E2017F"/>
    <w:rsid w:val="00E213E7"/>
    <w:rsid w:val="00E22A03"/>
    <w:rsid w:val="00E22C75"/>
    <w:rsid w:val="00E36141"/>
    <w:rsid w:val="00E402BE"/>
    <w:rsid w:val="00E40B49"/>
    <w:rsid w:val="00E40FC6"/>
    <w:rsid w:val="00E418D2"/>
    <w:rsid w:val="00E440C2"/>
    <w:rsid w:val="00E45C54"/>
    <w:rsid w:val="00E46CDA"/>
    <w:rsid w:val="00E5257C"/>
    <w:rsid w:val="00E540FF"/>
    <w:rsid w:val="00E67615"/>
    <w:rsid w:val="00E7231A"/>
    <w:rsid w:val="00E76699"/>
    <w:rsid w:val="00E76CE9"/>
    <w:rsid w:val="00E804CF"/>
    <w:rsid w:val="00E81AB8"/>
    <w:rsid w:val="00E82045"/>
    <w:rsid w:val="00E83127"/>
    <w:rsid w:val="00E83AF0"/>
    <w:rsid w:val="00E83E58"/>
    <w:rsid w:val="00E8418B"/>
    <w:rsid w:val="00E84D81"/>
    <w:rsid w:val="00E90EA5"/>
    <w:rsid w:val="00E95AE8"/>
    <w:rsid w:val="00EA0820"/>
    <w:rsid w:val="00EA2D8C"/>
    <w:rsid w:val="00EA7A67"/>
    <w:rsid w:val="00EC04EA"/>
    <w:rsid w:val="00ED03B7"/>
    <w:rsid w:val="00ED1869"/>
    <w:rsid w:val="00ED38C3"/>
    <w:rsid w:val="00EE02ED"/>
    <w:rsid w:val="00EE247E"/>
    <w:rsid w:val="00EE396E"/>
    <w:rsid w:val="00EE6B65"/>
    <w:rsid w:val="00EF203D"/>
    <w:rsid w:val="00EF4DB5"/>
    <w:rsid w:val="00F03448"/>
    <w:rsid w:val="00F149EF"/>
    <w:rsid w:val="00F2308E"/>
    <w:rsid w:val="00F318CB"/>
    <w:rsid w:val="00F31984"/>
    <w:rsid w:val="00F40B8D"/>
    <w:rsid w:val="00F45393"/>
    <w:rsid w:val="00F47FE6"/>
    <w:rsid w:val="00F52FDC"/>
    <w:rsid w:val="00F572A3"/>
    <w:rsid w:val="00F578FF"/>
    <w:rsid w:val="00F60362"/>
    <w:rsid w:val="00F70827"/>
    <w:rsid w:val="00F70BA6"/>
    <w:rsid w:val="00F741F5"/>
    <w:rsid w:val="00F76CF2"/>
    <w:rsid w:val="00F833BD"/>
    <w:rsid w:val="00F84373"/>
    <w:rsid w:val="00F85F53"/>
    <w:rsid w:val="00F90E86"/>
    <w:rsid w:val="00F95A02"/>
    <w:rsid w:val="00F95C47"/>
    <w:rsid w:val="00FA2284"/>
    <w:rsid w:val="00FA2ECB"/>
    <w:rsid w:val="00FA2EFD"/>
    <w:rsid w:val="00FB0B62"/>
    <w:rsid w:val="00FB0C8C"/>
    <w:rsid w:val="00FB38C2"/>
    <w:rsid w:val="00FB51F8"/>
    <w:rsid w:val="00FB77B6"/>
    <w:rsid w:val="00FC1210"/>
    <w:rsid w:val="00FD0537"/>
    <w:rsid w:val="00FD4110"/>
    <w:rsid w:val="00FD5A50"/>
    <w:rsid w:val="00FE65B8"/>
    <w:rsid w:val="00FE6E2C"/>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22406571">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E1FA7-18B8-4B08-8801-6819E70C87E8}">
  <ds:schemaRefs>
    <ds:schemaRef ds:uri="http://schemas.microsoft.com/sharepoint/v3/contenttype/forms"/>
  </ds:schemaRefs>
</ds:datastoreItem>
</file>

<file path=customXml/itemProps3.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2237</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Jake Phillips</cp:lastModifiedBy>
  <cp:revision>113</cp:revision>
  <cp:lastPrinted>2022-02-04T15:12:00Z</cp:lastPrinted>
  <dcterms:created xsi:type="dcterms:W3CDTF">2022-07-06T16:57:00Z</dcterms:created>
  <dcterms:modified xsi:type="dcterms:W3CDTF">2022-08-04T22:23:00Z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4868-3592-9895</vt:lpwstr>
  </property>
</Properties>
</file>