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634A44">
        <w:rPr>
          <w:rFonts w:ascii="Arial" w:hAnsi="Arial"/>
          <w:color w:val="000000"/>
          <w:u w:val="single"/>
        </w:rPr>
        <w:t>January</w:t>
      </w:r>
      <w:r w:rsidR="00627427">
        <w:rPr>
          <w:rFonts w:ascii="Arial" w:hAnsi="Arial"/>
          <w:color w:val="000000"/>
          <w:u w:val="single"/>
        </w:rPr>
        <w:t xml:space="preserve"> 31, 201</w:t>
      </w:r>
      <w:r w:rsidR="00634A44">
        <w:rPr>
          <w:rFonts w:ascii="Arial" w:hAnsi="Arial"/>
          <w:color w:val="000000"/>
          <w:u w:val="single"/>
        </w:rPr>
        <w:t>9</w:t>
      </w:r>
      <w:r w:rsidR="001419D4">
        <w:rPr>
          <w:rFonts w:ascii="Arial" w:hAnsi="Arial"/>
          <w:color w:val="000000"/>
          <w:u w:val="single"/>
        </w:rPr>
        <w:t xml:space="preserve"> and </w:t>
      </w:r>
      <w:r w:rsidR="00634A44">
        <w:rPr>
          <w:rFonts w:ascii="Arial" w:hAnsi="Arial"/>
          <w:color w:val="000000"/>
          <w:u w:val="single"/>
        </w:rPr>
        <w:t>February 6</w:t>
      </w:r>
      <w:r w:rsidR="00627427">
        <w:rPr>
          <w:rFonts w:ascii="Arial" w:hAnsi="Arial"/>
          <w:color w:val="000000"/>
          <w:u w:val="single"/>
        </w:rPr>
        <w:t>, 2019</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634A44">
        <w:rPr>
          <w:rFonts w:ascii="Arial" w:hAnsi="Arial"/>
          <w:color w:val="000000"/>
          <w:u w:val="single"/>
        </w:rPr>
        <w:t>February 6</w:t>
      </w:r>
      <w:r w:rsidR="00627427">
        <w:rPr>
          <w:rFonts w:ascii="Arial" w:hAnsi="Arial"/>
          <w:color w:val="000000"/>
          <w:u w:val="single"/>
        </w:rPr>
        <w:t>, 2019</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97244A">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r w:rsidR="0097244A" w:rsidRPr="0097244A">
        <w:rPr>
          <w:rFonts w:ascii="Arial" w:hAnsi="Arial"/>
          <w:b/>
          <w:i/>
        </w:rPr>
        <w:t xml:space="preserve"> </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273FD" w:rsidRDefault="00D273FD" w:rsidP="00D273FD">
      <w:pPr>
        <w:pStyle w:val="List"/>
        <w:spacing w:before="120"/>
        <w:ind w:left="1440" w:firstLine="0"/>
        <w:jc w:val="both"/>
        <w:rPr>
          <w:rFonts w:ascii="Arial" w:eastAsia="Arial" w:hAnsi="Arial" w:cs="Arial"/>
          <w:b/>
          <w:bCs/>
          <w:i/>
          <w:iCs/>
        </w:rPr>
      </w:pPr>
      <w:r>
        <w:rPr>
          <w:rFonts w:ascii="Arial" w:hAnsi="Arial"/>
          <w:b/>
          <w:bCs/>
          <w:i/>
          <w:iCs/>
          <w:lang w:val="en-US"/>
        </w:rPr>
        <w:t xml:space="preserve">The Company is currently developing an open public blockchain for trusted career histories called Bizzy (formerly CareerChain).  The solution will offer the possibility for job seekers to "Apply with Bizzy" on partnered job boards and job sites hosted by staffing agencies and partnered Applicant Tracking Systems. This greatly reduces the friction in applying for jobs online, and especially from mobile phones.  The legal structure and funding to support this new product and brand is still under careful consideration to maximise the return for StartMonday shareholders. </w:t>
      </w:r>
    </w:p>
    <w:p w:rsidR="00D273FD" w:rsidRDefault="00D273FD" w:rsidP="00D273FD">
      <w:pPr>
        <w:pStyle w:val="List"/>
        <w:spacing w:before="120"/>
        <w:ind w:left="1440" w:firstLine="0"/>
        <w:jc w:val="both"/>
        <w:rPr>
          <w:rFonts w:ascii="Arial" w:eastAsia="Arial" w:hAnsi="Arial" w:cs="Arial"/>
          <w:b/>
          <w:bCs/>
          <w:i/>
          <w:iCs/>
        </w:rPr>
      </w:pPr>
      <w:r>
        <w:rPr>
          <w:rFonts w:ascii="Arial" w:hAnsi="Arial"/>
          <w:b/>
          <w:bCs/>
          <w:i/>
          <w:iCs/>
          <w:lang w:val="en-US"/>
        </w:rPr>
        <w:t>The Company has also been developing no-subscription, pay-as-you-go service for employers, launched in early September. This service adds a job promotion shopping cart that is seamlessly integrated with StartMonday’s applicant tracking system (ATS) and facilitates job posting to a large selection of popular job sites and social media channels.</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w:t>
      </w:r>
      <w:r w:rsidR="00624F1A">
        <w:rPr>
          <w:rFonts w:ascii="Arial" w:hAnsi="Arial"/>
        </w:rPr>
        <w:t>de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0208" w:rsidRPr="0032742A" w:rsidRDefault="00A43DD8" w:rsidP="004C0208">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273FD" w:rsidRDefault="00D273FD" w:rsidP="00D273FD">
      <w:pPr>
        <w:pStyle w:val="List"/>
        <w:spacing w:before="120"/>
        <w:ind w:left="1440" w:firstLine="0"/>
        <w:jc w:val="both"/>
        <w:rPr>
          <w:rFonts w:ascii="Arial" w:eastAsia="Arial" w:hAnsi="Arial" w:cs="Arial"/>
          <w:b/>
          <w:bCs/>
          <w:i/>
          <w:iCs/>
        </w:rPr>
      </w:pPr>
      <w:r>
        <w:rPr>
          <w:rFonts w:ascii="Arial" w:hAnsi="Arial"/>
          <w:b/>
          <w:bCs/>
          <w:i/>
          <w:iCs/>
          <w:lang w:val="en-US"/>
        </w:rPr>
        <w:t>The Issuer has been notified by a UK company contesting the Issuer’s UK and European trademark applications and the use of the “StartMonday” name in the UK and Europe. The Issuer’s registered trademark in the US has not been in question to date. The issuer has since been in direct contact with owners of the contesting UK company and plans to reach an agreement within the next several months. Such a resolution may include a rebranding of the Issuer’s products and web properties.</w:t>
      </w:r>
    </w:p>
    <w:p w:rsidR="00D273FD" w:rsidRDefault="00D273FD" w:rsidP="00D273FD">
      <w:pPr>
        <w:pStyle w:val="List"/>
        <w:spacing w:before="120"/>
        <w:ind w:left="1440" w:firstLine="0"/>
        <w:jc w:val="both"/>
        <w:rPr>
          <w:rFonts w:ascii="Arial" w:eastAsia="Arial" w:hAnsi="Arial" w:cs="Arial"/>
          <w:b/>
          <w:bCs/>
          <w:i/>
          <w:iCs/>
        </w:rPr>
      </w:pPr>
      <w:r>
        <w:rPr>
          <w:rFonts w:ascii="Arial" w:hAnsi="Arial"/>
          <w:b/>
          <w:bCs/>
          <w:i/>
          <w:iCs/>
          <w:lang w:val="en-US"/>
        </w:rPr>
        <w:t>The Issuer has contested the use of its „Bizzy“ trademark by a Dutch bank - Rabobank - that launched a financial product, „Rabo Bizzy“ in October 2018. The Issuer has prior use of the name in Europe and prior registration of the name in the UK in May 2018 that facilitates a Europe-wide registration of the same date. The Issuer is seeking to reach a license agreement for use of the name or resolution for Rabobank to cease using the name completely.</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833988" w:rsidP="00E738AC">
      <w:pPr>
        <w:pStyle w:val="List"/>
        <w:spacing w:before="120"/>
        <w:ind w:left="1440" w:firstLine="0"/>
        <w:jc w:val="both"/>
        <w:rPr>
          <w:rFonts w:ascii="Arial" w:hAnsi="Arial"/>
          <w:b/>
          <w:i/>
        </w:rPr>
      </w:pPr>
      <w:r w:rsidRPr="0032742A">
        <w:rPr>
          <w:rFonts w:ascii="Arial" w:hAnsi="Arial"/>
          <w:b/>
          <w:i/>
        </w:rPr>
        <w:t>None during the period</w:t>
      </w:r>
      <w:r w:rsidR="00E738AC" w:rsidRPr="0032742A">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27737C" w:rsidRPr="00BF47D6" w:rsidRDefault="0027737C" w:rsidP="00BF47D6">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F21D9" w:rsidRDefault="00B32521" w:rsidP="000F4B29">
      <w:pPr>
        <w:pStyle w:val="List"/>
        <w:spacing w:before="120"/>
        <w:ind w:left="1440" w:firstLine="0"/>
        <w:jc w:val="both"/>
        <w:rPr>
          <w:rFonts w:ascii="Arial" w:hAnsi="Arial"/>
          <w:b/>
          <w:i/>
        </w:rPr>
      </w:pPr>
      <w:r w:rsidRPr="0027737C">
        <w:rPr>
          <w:rFonts w:ascii="Arial" w:hAnsi="Arial"/>
          <w:b/>
          <w:i/>
        </w:rPr>
        <w:t>None during the period</w:t>
      </w:r>
      <w:r w:rsidR="0027737C">
        <w:rPr>
          <w:rFonts w:ascii="Arial" w:hAnsi="Arial"/>
          <w:b/>
          <w:i/>
        </w:rPr>
        <w:t>.</w:t>
      </w: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5"/>
        <w:gridCol w:w="2394"/>
        <w:gridCol w:w="2394"/>
      </w:tblGrid>
      <w:tr w:rsidR="00640E94" w:rsidTr="00D273FD">
        <w:tc>
          <w:tcPr>
            <w:tcW w:w="2093"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695"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B10FC9" w:rsidTr="00D273FD">
        <w:tc>
          <w:tcPr>
            <w:tcW w:w="2093" w:type="dxa"/>
          </w:tcPr>
          <w:p w:rsidR="00B10FC9" w:rsidRPr="00543B3E" w:rsidRDefault="00B10FC9" w:rsidP="0083356E">
            <w:pPr>
              <w:pStyle w:val="List"/>
              <w:tabs>
                <w:tab w:val="left" w:pos="360"/>
              </w:tabs>
              <w:spacing w:before="0" w:line="280" w:lineRule="exact"/>
              <w:ind w:left="0" w:firstLine="0"/>
              <w:jc w:val="both"/>
              <w:rPr>
                <w:rFonts w:ascii="Arial" w:hAnsi="Arial"/>
                <w:b/>
                <w:i/>
                <w:highlight w:val="yellow"/>
              </w:rPr>
            </w:pPr>
            <w:r>
              <w:rPr>
                <w:rFonts w:ascii="Arial" w:hAnsi="Arial"/>
                <w:b/>
                <w:i/>
              </w:rPr>
              <w:t>Stock options</w:t>
            </w:r>
          </w:p>
        </w:tc>
        <w:tc>
          <w:tcPr>
            <w:tcW w:w="2695" w:type="dxa"/>
          </w:tcPr>
          <w:p w:rsidR="00B10FC9" w:rsidRPr="00543B3E" w:rsidRDefault="00B10FC9" w:rsidP="00B10FC9">
            <w:pPr>
              <w:pStyle w:val="List"/>
              <w:tabs>
                <w:tab w:val="left" w:pos="360"/>
              </w:tabs>
              <w:spacing w:before="0" w:line="280" w:lineRule="exact"/>
              <w:ind w:left="0" w:firstLine="0"/>
              <w:jc w:val="both"/>
              <w:rPr>
                <w:rFonts w:ascii="Arial" w:hAnsi="Arial"/>
                <w:b/>
                <w:i/>
                <w:highlight w:val="yellow"/>
              </w:rPr>
            </w:pPr>
            <w:r>
              <w:rPr>
                <w:rFonts w:ascii="Arial" w:hAnsi="Arial"/>
                <w:b/>
                <w:i/>
              </w:rPr>
              <w:t>3,250,000 options issued January 25, 2019. 750,000 of these options were issued to Raymond Gibson , Director and CEO of the Company; 750,000 of these options were issued to Andrew Evans, Director and CPO of the Company; 100,000 of these options were issued to Jonathan Kestenbaum, director of the Company; 100,000 of these options were issued to Mike Thome, CFO of the Company; and the balance were issued  to emplyees, contractors and consultants to the Company</w:t>
            </w:r>
          </w:p>
        </w:tc>
        <w:tc>
          <w:tcPr>
            <w:tcW w:w="2394" w:type="dxa"/>
          </w:tcPr>
          <w:p w:rsidR="00B10FC9" w:rsidRPr="00543B3E" w:rsidRDefault="00B10FC9" w:rsidP="00B10FC9">
            <w:pPr>
              <w:pStyle w:val="List"/>
              <w:tabs>
                <w:tab w:val="left" w:pos="360"/>
              </w:tabs>
              <w:spacing w:before="0" w:line="280" w:lineRule="exact"/>
              <w:ind w:left="0" w:firstLine="0"/>
              <w:jc w:val="both"/>
              <w:rPr>
                <w:rFonts w:ascii="Arial" w:hAnsi="Arial"/>
                <w:b/>
                <w:i/>
                <w:highlight w:val="yellow"/>
              </w:rPr>
            </w:pPr>
            <w:r w:rsidRPr="00BB386D">
              <w:rPr>
                <w:rFonts w:ascii="Arial" w:hAnsi="Arial"/>
                <w:b/>
                <w:i/>
              </w:rPr>
              <w:t>Options issued with exercise price of $0.</w:t>
            </w:r>
            <w:r>
              <w:rPr>
                <w:rFonts w:ascii="Arial" w:hAnsi="Arial"/>
                <w:b/>
                <w:i/>
              </w:rPr>
              <w:t xml:space="preserve">05 per option, </w:t>
            </w:r>
            <w:r w:rsidRPr="00BB386D">
              <w:rPr>
                <w:rFonts w:ascii="Arial" w:hAnsi="Arial"/>
                <w:b/>
                <w:i/>
              </w:rPr>
              <w:t>and expected life of 5 years</w:t>
            </w:r>
            <w:r>
              <w:rPr>
                <w:rFonts w:ascii="Arial" w:hAnsi="Arial"/>
                <w:b/>
                <w:i/>
              </w:rPr>
              <w:t>.</w:t>
            </w:r>
          </w:p>
        </w:tc>
        <w:tc>
          <w:tcPr>
            <w:tcW w:w="2394" w:type="dxa"/>
          </w:tcPr>
          <w:p w:rsidR="00B10FC9" w:rsidRPr="00543B3E" w:rsidRDefault="00B10FC9" w:rsidP="0083356E">
            <w:pPr>
              <w:pStyle w:val="List"/>
              <w:tabs>
                <w:tab w:val="left" w:pos="360"/>
              </w:tabs>
              <w:spacing w:before="0" w:line="280" w:lineRule="exact"/>
              <w:ind w:left="0" w:firstLine="0"/>
              <w:jc w:val="both"/>
              <w:rPr>
                <w:rFonts w:ascii="Arial" w:hAnsi="Arial"/>
                <w:highlight w:val="yellow"/>
              </w:rPr>
            </w:pPr>
            <w:r>
              <w:rPr>
                <w:rFonts w:ascii="Arial" w:hAnsi="Arial"/>
                <w:b/>
                <w:i/>
              </w:rPr>
              <w:t>None exercised, therefore no proceeds</w:t>
            </w:r>
            <w:r w:rsidR="00D273FD">
              <w:rPr>
                <w:rFonts w:ascii="Arial" w:hAnsi="Arial"/>
                <w:b/>
                <w:i/>
              </w:rPr>
              <w:t>. Potential proceeds will be used for general operations and working capital.</w:t>
            </w:r>
            <w:bookmarkStart w:id="5" w:name="_GoBack"/>
            <w:bookmarkEnd w:id="5"/>
          </w:p>
        </w:tc>
      </w:tr>
      <w:tr w:rsidR="00A219EA" w:rsidTr="00D273FD">
        <w:tc>
          <w:tcPr>
            <w:tcW w:w="2093" w:type="dxa"/>
          </w:tcPr>
          <w:p w:rsidR="00A219EA" w:rsidRPr="00543B3E" w:rsidRDefault="00A219EA">
            <w:pPr>
              <w:pStyle w:val="List"/>
              <w:tabs>
                <w:tab w:val="left" w:pos="360"/>
              </w:tabs>
              <w:spacing w:before="0" w:line="280" w:lineRule="exact"/>
              <w:ind w:left="0" w:firstLine="0"/>
              <w:jc w:val="both"/>
              <w:rPr>
                <w:rFonts w:ascii="Arial" w:hAnsi="Arial"/>
                <w:b/>
                <w:i/>
                <w:highlight w:val="yellow"/>
              </w:rPr>
            </w:pPr>
          </w:p>
        </w:tc>
        <w:tc>
          <w:tcPr>
            <w:tcW w:w="2695" w:type="dxa"/>
          </w:tcPr>
          <w:p w:rsidR="00A219EA" w:rsidRPr="00543B3E" w:rsidRDefault="00A219EA"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highlight w:val="yellow"/>
              </w:rPr>
            </w:pPr>
          </w:p>
        </w:tc>
      </w:tr>
      <w:tr w:rsidR="00A219EA" w:rsidTr="00D273FD">
        <w:tc>
          <w:tcPr>
            <w:tcW w:w="2093" w:type="dxa"/>
          </w:tcPr>
          <w:p w:rsidR="00A219EA" w:rsidRDefault="00A219EA">
            <w:pPr>
              <w:pStyle w:val="List"/>
              <w:tabs>
                <w:tab w:val="left" w:pos="360"/>
              </w:tabs>
              <w:spacing w:before="0" w:line="280" w:lineRule="exact"/>
              <w:ind w:left="0" w:firstLine="0"/>
              <w:jc w:val="both"/>
              <w:rPr>
                <w:rFonts w:ascii="Arial" w:hAnsi="Arial"/>
              </w:rPr>
            </w:pPr>
          </w:p>
        </w:tc>
        <w:tc>
          <w:tcPr>
            <w:tcW w:w="2695"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r>
    </w:tbl>
    <w:p w:rsidR="00640E94" w:rsidRDefault="00640E94" w:rsidP="00A43DD8">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A43DD8" w:rsidRPr="00B10FC9" w:rsidRDefault="00A43DD8" w:rsidP="00A43DD8">
      <w:pPr>
        <w:pStyle w:val="ListParagraph"/>
        <w:shd w:val="clear" w:color="auto" w:fill="FFFFFF"/>
        <w:jc w:val="both"/>
        <w:rPr>
          <w:rFonts w:ascii="Arial" w:eastAsia="Times New Roman" w:hAnsi="Arial" w:cs="Times New Roman"/>
          <w:b/>
          <w:i/>
          <w:sz w:val="24"/>
          <w:lang w:bidi="ar-SA"/>
        </w:rPr>
      </w:pPr>
    </w:p>
    <w:p w:rsidR="00A43DD8" w:rsidRPr="00B10FC9" w:rsidRDefault="00A43DD8" w:rsidP="00A43DD8">
      <w:pPr>
        <w:pStyle w:val="ListParagraph"/>
        <w:shd w:val="clear" w:color="auto" w:fill="FFFFFF"/>
        <w:ind w:left="284"/>
        <w:jc w:val="both"/>
        <w:rPr>
          <w:rFonts w:ascii="Arial" w:eastAsia="Times New Roman" w:hAnsi="Arial" w:cs="Times New Roman"/>
          <w:b/>
          <w:i/>
          <w:sz w:val="24"/>
          <w:lang w:bidi="ar-SA"/>
        </w:rPr>
      </w:pPr>
      <w:r w:rsidRPr="00B10FC9">
        <w:rPr>
          <w:rFonts w:ascii="Arial" w:eastAsia="Times New Roman" w:hAnsi="Arial" w:cs="Times New Roman"/>
          <w:b/>
          <w:i/>
          <w:sz w:val="24"/>
          <w:lang w:bidi="ar-SA"/>
        </w:rPr>
        <w:t xml:space="preserve">Pursuant to the terms of an agreement between the Company and Sana Group, Inc. (d/b/a CEOLIVE Media Group), the Company will issue 650,000 common shares in the capital of the Company (the “Payment Shares”) at a deemed price of $0.05 per Payment Share. The Payment Shares will be subject to a hold period of 4 months and a day from the date of issuance. Commencing immediately, the initial term of the agreement will terminate on April 15, 2019. The Company has retained CEOLIVE Media Group, a leading investor relations </w:t>
      </w:r>
      <w:r w:rsidRPr="00B10FC9">
        <w:rPr>
          <w:rFonts w:ascii="Arial" w:eastAsia="Times New Roman" w:hAnsi="Arial" w:cs="Times New Roman"/>
          <w:b/>
          <w:i/>
          <w:sz w:val="24"/>
          <w:lang w:bidi="ar-SA"/>
        </w:rPr>
        <w:lastRenderedPageBreak/>
        <w:t>and digital strategies firm, to serve as an advisor for investor relations and strategic communications.</w:t>
      </w:r>
    </w:p>
    <w:p w:rsidR="00A43DD8" w:rsidRPr="00A43DD8" w:rsidRDefault="00A43DD8" w:rsidP="00A43DD8">
      <w:pPr>
        <w:shd w:val="clear" w:color="auto" w:fill="FFFFFF"/>
        <w:jc w:val="both"/>
        <w:rPr>
          <w:rFonts w:ascii="Arial" w:hAnsi="Arial"/>
          <w:i/>
          <w:sz w:val="24"/>
        </w:rPr>
      </w:pPr>
      <w:r w:rsidRPr="00A43DD8">
        <w:rPr>
          <w:rFonts w:ascii="Arial" w:hAnsi="Arial"/>
          <w:i/>
          <w:sz w:val="24"/>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A43DD8" w:rsidRDefault="00A43DD8" w:rsidP="00A43DD8">
      <w:pPr>
        <w:pStyle w:val="Textbody"/>
        <w:ind w:left="720" w:right="111"/>
        <w:jc w:val="both"/>
        <w:rPr>
          <w:rFonts w:ascii="Arial" w:eastAsia="Times New Roman" w:hAnsi="Arial" w:cs="Times New Roman"/>
          <w:b/>
          <w:i/>
          <w:color w:val="auto"/>
          <w:sz w:val="24"/>
          <w:bdr w:val="none" w:sz="0" w:space="0" w:color="auto"/>
          <w:lang w:val="en-GB"/>
        </w:rPr>
      </w:pPr>
    </w:p>
    <w:p w:rsidR="00A43DD8" w:rsidRPr="00A43DD8" w:rsidRDefault="00A43DD8" w:rsidP="00D273FD">
      <w:pPr>
        <w:pStyle w:val="Textbody"/>
        <w:ind w:left="1440" w:right="111"/>
        <w:jc w:val="both"/>
        <w:rPr>
          <w:rFonts w:ascii="Arial" w:eastAsia="Times New Roman" w:hAnsi="Arial" w:cs="Times New Roman"/>
          <w:b/>
          <w:i/>
          <w:color w:val="auto"/>
          <w:sz w:val="24"/>
          <w:szCs w:val="20"/>
          <w:bdr w:val="none" w:sz="0" w:space="0" w:color="auto"/>
          <w:lang w:val="en-GB"/>
        </w:rPr>
      </w:pPr>
      <w:r w:rsidRPr="00A43DD8">
        <w:rPr>
          <w:rFonts w:ascii="Arial" w:eastAsia="Times New Roman" w:hAnsi="Arial" w:cs="Times New Roman"/>
          <w:b/>
          <w:i/>
          <w:color w:val="auto"/>
          <w:sz w:val="24"/>
          <w:bdr w:val="none" w:sz="0" w:space="0" w:color="auto"/>
          <w:lang w:val="en-GB"/>
        </w:rPr>
        <w:t>Ruud Nijs has resigned as a director of the Company</w:t>
      </w:r>
      <w:r>
        <w:rPr>
          <w:rFonts w:ascii="Arial" w:eastAsia="Times New Roman" w:hAnsi="Arial" w:cs="Times New Roman"/>
          <w:b/>
          <w:i/>
          <w:color w:val="auto"/>
          <w:sz w:val="24"/>
          <w:bdr w:val="none" w:sz="0" w:space="0" w:color="auto"/>
          <w:lang w:val="en-GB"/>
        </w:rPr>
        <w:t>.</w:t>
      </w:r>
      <w:r w:rsidRPr="00A43DD8">
        <w:rPr>
          <w:rFonts w:ascii="Arial" w:eastAsia="Times New Roman" w:hAnsi="Arial" w:cs="Times New Roman"/>
          <w:b/>
          <w:i/>
          <w:color w:val="auto"/>
          <w:sz w:val="24"/>
          <w:bdr w:val="none" w:sz="0" w:space="0" w:color="auto"/>
          <w:lang w:val="en-GB"/>
        </w:rPr>
        <w:t xml:space="preserve">  Mr. Nijs was unable to continue to act as a director of the Company as a result of local restrictions in The Netherlands set by local government bodies of which he is a member. The Company </w:t>
      </w:r>
      <w:r>
        <w:rPr>
          <w:rFonts w:ascii="Arial" w:eastAsia="Times New Roman" w:hAnsi="Arial" w:cs="Times New Roman"/>
          <w:b/>
          <w:i/>
          <w:color w:val="auto"/>
          <w:sz w:val="24"/>
          <w:bdr w:val="none" w:sz="0" w:space="0" w:color="auto"/>
          <w:lang w:val="en-GB"/>
        </w:rPr>
        <w:t>is searching for a replacement director</w:t>
      </w:r>
      <w:r w:rsidRPr="00A43DD8">
        <w:rPr>
          <w:rFonts w:ascii="Arial" w:eastAsia="Times New Roman" w:hAnsi="Arial" w:cs="Times New Roman"/>
          <w:b/>
          <w:i/>
          <w:color w:val="auto"/>
          <w:sz w:val="24"/>
          <w:bdr w:val="none" w:sz="0" w:space="0" w:color="auto"/>
          <w:lang w:val="en-GB"/>
        </w:rPr>
        <w:t>.</w:t>
      </w:r>
    </w:p>
    <w:p w:rsidR="0027737C" w:rsidRPr="00FB7FA1" w:rsidRDefault="0027737C" w:rsidP="0027737C">
      <w:pPr>
        <w:pStyle w:val="List"/>
        <w:spacing w:before="120"/>
        <w:ind w:left="1440" w:firstLine="0"/>
        <w:jc w:val="both"/>
        <w:rPr>
          <w:rFonts w:ascii="Arial" w:hAnsi="Arial"/>
          <w:b/>
          <w:i/>
        </w:rPr>
      </w:pPr>
      <w:r>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634A44">
        <w:rPr>
          <w:rFonts w:ascii="Arial" w:hAnsi="Arial"/>
          <w:u w:val="single"/>
        </w:rPr>
        <w:t>February 6</w:t>
      </w:r>
      <w:r w:rsidR="00627427">
        <w:rPr>
          <w:rFonts w:ascii="Arial" w:hAnsi="Arial"/>
          <w:u w:val="single"/>
        </w:rPr>
        <w:t>, 2019</w:t>
      </w:r>
      <w:r w:rsidR="00334110">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640E94" w:rsidRDefault="00634A44" w:rsidP="009D5809">
            <w:pPr>
              <w:pStyle w:val="BodyText"/>
              <w:spacing w:before="0"/>
              <w:rPr>
                <w:rFonts w:ascii="Arial" w:hAnsi="Arial"/>
              </w:rPr>
            </w:pPr>
            <w:r>
              <w:rPr>
                <w:rFonts w:ascii="Arial" w:hAnsi="Arial"/>
              </w:rPr>
              <w:t>January 31</w:t>
            </w:r>
            <w:r w:rsidR="00627427">
              <w:rPr>
                <w:rFonts w:ascii="Arial" w:hAnsi="Arial"/>
              </w:rPr>
              <w:t xml:space="preserve"> </w:t>
            </w:r>
            <w:r w:rsidR="000C6423">
              <w:rPr>
                <w:rFonts w:ascii="Arial" w:hAnsi="Arial"/>
              </w:rPr>
              <w:t>201</w:t>
            </w:r>
            <w:r>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634A44">
            <w:pPr>
              <w:pStyle w:val="BodyText"/>
              <w:spacing w:before="0"/>
              <w:rPr>
                <w:rFonts w:ascii="Arial" w:hAnsi="Arial"/>
              </w:rPr>
            </w:pPr>
            <w:r>
              <w:rPr>
                <w:rFonts w:ascii="Arial" w:hAnsi="Arial"/>
              </w:rPr>
              <w:t>201</w:t>
            </w:r>
            <w:r w:rsidR="00627427">
              <w:rPr>
                <w:rFonts w:ascii="Arial" w:hAnsi="Arial"/>
              </w:rPr>
              <w:t>9</w:t>
            </w:r>
            <w:r>
              <w:rPr>
                <w:rFonts w:ascii="Arial" w:hAnsi="Arial"/>
              </w:rPr>
              <w:t>/</w:t>
            </w:r>
            <w:r w:rsidR="00627427">
              <w:rPr>
                <w:rFonts w:ascii="Arial" w:hAnsi="Arial"/>
              </w:rPr>
              <w:t>0</w:t>
            </w:r>
            <w:r w:rsidR="00634A44">
              <w:rPr>
                <w:rFonts w:ascii="Arial" w:hAnsi="Arial"/>
              </w:rPr>
              <w:t>6</w:t>
            </w:r>
            <w:r w:rsidR="00A219EA">
              <w:rPr>
                <w:rFonts w:ascii="Arial" w:hAnsi="Arial"/>
              </w:rPr>
              <w:t>/0</w:t>
            </w:r>
            <w:r w:rsidR="00634A44">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4225D0">
            <w:pPr>
              <w:pStyle w:val="BodyText"/>
              <w:spacing w:before="0"/>
              <w:rPr>
                <w:rFonts w:ascii="Arial" w:hAnsi="Arial"/>
              </w:rPr>
            </w:pPr>
            <w:r>
              <w:rPr>
                <w:rFonts w:ascii="Arial" w:hAnsi="Arial"/>
              </w:rPr>
              <w:t>2288</w:t>
            </w:r>
            <w:r w:rsidR="00334110">
              <w:rPr>
                <w:rFonts w:ascii="Arial" w:hAnsi="Arial"/>
              </w:rPr>
              <w:t>-1177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4225D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w:t>
            </w:r>
            <w:r w:rsidR="004225D0">
              <w:rPr>
                <w:rFonts w:ascii="Arial" w:hAnsi="Arial"/>
              </w:rPr>
              <w:t>8499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2E" w:rsidRDefault="0087752E">
      <w:r>
        <w:separator/>
      </w:r>
    </w:p>
  </w:endnote>
  <w:endnote w:type="continuationSeparator" w:id="0">
    <w:p w:rsidR="0087752E" w:rsidRDefault="008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273F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2E" w:rsidRDefault="0087752E">
      <w:r>
        <w:separator/>
      </w:r>
    </w:p>
  </w:footnote>
  <w:footnote w:type="continuationSeparator" w:id="0">
    <w:p w:rsidR="0087752E" w:rsidRDefault="00877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981963"/>
    <w:multiLevelType w:val="hybridMultilevel"/>
    <w:tmpl w:val="1B202380"/>
    <w:lvl w:ilvl="0" w:tplc="AD7E67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7C7A"/>
    <w:rsid w:val="000131E1"/>
    <w:rsid w:val="0003274B"/>
    <w:rsid w:val="00083142"/>
    <w:rsid w:val="00091B23"/>
    <w:rsid w:val="0009717A"/>
    <w:rsid w:val="000A1AB1"/>
    <w:rsid w:val="000B00DA"/>
    <w:rsid w:val="000B4D05"/>
    <w:rsid w:val="000C2025"/>
    <w:rsid w:val="000C6423"/>
    <w:rsid w:val="000D6178"/>
    <w:rsid w:val="000F02D9"/>
    <w:rsid w:val="000F4B29"/>
    <w:rsid w:val="00127B02"/>
    <w:rsid w:val="001408B0"/>
    <w:rsid w:val="001419D4"/>
    <w:rsid w:val="00144AFF"/>
    <w:rsid w:val="00155FFF"/>
    <w:rsid w:val="001701C3"/>
    <w:rsid w:val="001904D8"/>
    <w:rsid w:val="001A4B5D"/>
    <w:rsid w:val="001B0491"/>
    <w:rsid w:val="001B37F1"/>
    <w:rsid w:val="001D5E92"/>
    <w:rsid w:val="001F0E6D"/>
    <w:rsid w:val="00226C6C"/>
    <w:rsid w:val="00240D7B"/>
    <w:rsid w:val="0027737C"/>
    <w:rsid w:val="00297C54"/>
    <w:rsid w:val="002B5024"/>
    <w:rsid w:val="002C281E"/>
    <w:rsid w:val="002F00EB"/>
    <w:rsid w:val="00310E5F"/>
    <w:rsid w:val="0032742A"/>
    <w:rsid w:val="00334110"/>
    <w:rsid w:val="003669A9"/>
    <w:rsid w:val="00371A64"/>
    <w:rsid w:val="00387FA8"/>
    <w:rsid w:val="003C09DA"/>
    <w:rsid w:val="003F29F4"/>
    <w:rsid w:val="004225D0"/>
    <w:rsid w:val="00487BC9"/>
    <w:rsid w:val="00490D45"/>
    <w:rsid w:val="004C0208"/>
    <w:rsid w:val="00514496"/>
    <w:rsid w:val="00523823"/>
    <w:rsid w:val="00543B3E"/>
    <w:rsid w:val="005453C8"/>
    <w:rsid w:val="0056384F"/>
    <w:rsid w:val="005861B5"/>
    <w:rsid w:val="0059145E"/>
    <w:rsid w:val="005C7E3A"/>
    <w:rsid w:val="005D6C74"/>
    <w:rsid w:val="005F6D8F"/>
    <w:rsid w:val="00620E7F"/>
    <w:rsid w:val="00624F1A"/>
    <w:rsid w:val="006270CD"/>
    <w:rsid w:val="00627427"/>
    <w:rsid w:val="00633CFC"/>
    <w:rsid w:val="00633ED3"/>
    <w:rsid w:val="00634A44"/>
    <w:rsid w:val="00635E9A"/>
    <w:rsid w:val="00637839"/>
    <w:rsid w:val="00640E94"/>
    <w:rsid w:val="00682F3F"/>
    <w:rsid w:val="00695996"/>
    <w:rsid w:val="006C7F90"/>
    <w:rsid w:val="006D0F16"/>
    <w:rsid w:val="006D136C"/>
    <w:rsid w:val="006D1753"/>
    <w:rsid w:val="006D1A06"/>
    <w:rsid w:val="006D6CE0"/>
    <w:rsid w:val="007052FB"/>
    <w:rsid w:val="00751C8E"/>
    <w:rsid w:val="00796D23"/>
    <w:rsid w:val="007A0C04"/>
    <w:rsid w:val="007D295A"/>
    <w:rsid w:val="00812997"/>
    <w:rsid w:val="00833988"/>
    <w:rsid w:val="00846C2E"/>
    <w:rsid w:val="008565A8"/>
    <w:rsid w:val="00871735"/>
    <w:rsid w:val="0087752E"/>
    <w:rsid w:val="008B7E92"/>
    <w:rsid w:val="00915853"/>
    <w:rsid w:val="00922A46"/>
    <w:rsid w:val="009427EA"/>
    <w:rsid w:val="0097244A"/>
    <w:rsid w:val="0097683A"/>
    <w:rsid w:val="009A12CD"/>
    <w:rsid w:val="009A6D1F"/>
    <w:rsid w:val="009D058B"/>
    <w:rsid w:val="009D5809"/>
    <w:rsid w:val="009E04BF"/>
    <w:rsid w:val="00A219EA"/>
    <w:rsid w:val="00A43A63"/>
    <w:rsid w:val="00A43DD8"/>
    <w:rsid w:val="00A47914"/>
    <w:rsid w:val="00A53612"/>
    <w:rsid w:val="00A93978"/>
    <w:rsid w:val="00AB278A"/>
    <w:rsid w:val="00AB5CB1"/>
    <w:rsid w:val="00AC3197"/>
    <w:rsid w:val="00AE24A7"/>
    <w:rsid w:val="00B03EBE"/>
    <w:rsid w:val="00B10FC9"/>
    <w:rsid w:val="00B13EDF"/>
    <w:rsid w:val="00B14566"/>
    <w:rsid w:val="00B20FFF"/>
    <w:rsid w:val="00B32521"/>
    <w:rsid w:val="00B60942"/>
    <w:rsid w:val="00B73C41"/>
    <w:rsid w:val="00BA22A2"/>
    <w:rsid w:val="00BB7C45"/>
    <w:rsid w:val="00BC4673"/>
    <w:rsid w:val="00BD5D29"/>
    <w:rsid w:val="00BE4D29"/>
    <w:rsid w:val="00BF47D6"/>
    <w:rsid w:val="00C070AC"/>
    <w:rsid w:val="00C07EA6"/>
    <w:rsid w:val="00C16F8B"/>
    <w:rsid w:val="00C27A18"/>
    <w:rsid w:val="00C50D1E"/>
    <w:rsid w:val="00C51041"/>
    <w:rsid w:val="00C54BF4"/>
    <w:rsid w:val="00C6060D"/>
    <w:rsid w:val="00C6383E"/>
    <w:rsid w:val="00C96FB3"/>
    <w:rsid w:val="00CA2DDF"/>
    <w:rsid w:val="00CB006C"/>
    <w:rsid w:val="00D273FD"/>
    <w:rsid w:val="00D34D96"/>
    <w:rsid w:val="00D53B95"/>
    <w:rsid w:val="00D579A4"/>
    <w:rsid w:val="00D64A18"/>
    <w:rsid w:val="00D9165F"/>
    <w:rsid w:val="00DB340E"/>
    <w:rsid w:val="00DC295B"/>
    <w:rsid w:val="00DC491F"/>
    <w:rsid w:val="00E0746E"/>
    <w:rsid w:val="00E215D4"/>
    <w:rsid w:val="00E36141"/>
    <w:rsid w:val="00E54E4B"/>
    <w:rsid w:val="00E738AC"/>
    <w:rsid w:val="00E83E58"/>
    <w:rsid w:val="00EB5A4B"/>
    <w:rsid w:val="00EC28A4"/>
    <w:rsid w:val="00EF21D9"/>
    <w:rsid w:val="00F1768A"/>
    <w:rsid w:val="00F32E6B"/>
    <w:rsid w:val="00F4602F"/>
    <w:rsid w:val="00F52C35"/>
    <w:rsid w:val="00FA6B7E"/>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 w:type="character" w:customStyle="1" w:styleId="gmail-gr">
    <w:name w:val="gmail-gr_"/>
    <w:basedOn w:val="DefaultParagraphFont"/>
    <w:rsid w:val="00BE4D29"/>
  </w:style>
  <w:style w:type="paragraph" w:customStyle="1" w:styleId="Textbody">
    <w:name w:val="Text body"/>
    <w:rsid w:val="00A43DD8"/>
    <w:pPr>
      <w:pBdr>
        <w:top w:val="nil"/>
        <w:left w:val="nil"/>
        <w:bottom w:val="nil"/>
        <w:right w:val="nil"/>
        <w:between w:val="nil"/>
        <w:bar w:val="nil"/>
      </w:pBdr>
      <w:suppressAutoHyphens/>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 w:type="character" w:customStyle="1" w:styleId="gmail-gr">
    <w:name w:val="gmail-gr_"/>
    <w:basedOn w:val="DefaultParagraphFont"/>
    <w:rsid w:val="00BE4D29"/>
  </w:style>
  <w:style w:type="paragraph" w:customStyle="1" w:styleId="Textbody">
    <w:name w:val="Text body"/>
    <w:rsid w:val="00A43DD8"/>
    <w:pPr>
      <w:pBdr>
        <w:top w:val="nil"/>
        <w:left w:val="nil"/>
        <w:bottom w:val="nil"/>
        <w:right w:val="nil"/>
        <w:between w:val="nil"/>
        <w:bar w:val="nil"/>
      </w:pBdr>
      <w:suppressAutoHyphens/>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8795">
      <w:bodyDiv w:val="1"/>
      <w:marLeft w:val="0"/>
      <w:marRight w:val="0"/>
      <w:marTop w:val="0"/>
      <w:marBottom w:val="0"/>
      <w:divBdr>
        <w:top w:val="none" w:sz="0" w:space="0" w:color="auto"/>
        <w:left w:val="none" w:sz="0" w:space="0" w:color="auto"/>
        <w:bottom w:val="none" w:sz="0" w:space="0" w:color="auto"/>
        <w:right w:val="none" w:sz="0" w:space="0" w:color="auto"/>
      </w:divBdr>
    </w:div>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472406193">
      <w:bodyDiv w:val="1"/>
      <w:marLeft w:val="0"/>
      <w:marRight w:val="0"/>
      <w:marTop w:val="0"/>
      <w:marBottom w:val="0"/>
      <w:divBdr>
        <w:top w:val="none" w:sz="0" w:space="0" w:color="auto"/>
        <w:left w:val="none" w:sz="0" w:space="0" w:color="auto"/>
        <w:bottom w:val="none" w:sz="0" w:space="0" w:color="auto"/>
        <w:right w:val="none" w:sz="0" w:space="0" w:color="auto"/>
      </w:divBdr>
    </w:div>
    <w:div w:id="759107913">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693215940">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6</cp:revision>
  <cp:lastPrinted>2004-05-10T18:28:00Z</cp:lastPrinted>
  <dcterms:created xsi:type="dcterms:W3CDTF">2019-02-04T15:36:00Z</dcterms:created>
  <dcterms:modified xsi:type="dcterms:W3CDTF">2019-02-06T17:10:00Z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