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Trading Symbol: ACRG.A.U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Pr="00C94B7C" w:rsidRDefault="00BF508D" w:rsidP="0074547A">
      <w:pPr>
        <w:tabs>
          <w:tab w:val="left" w:pos="7920"/>
          <w:tab w:val="left" w:pos="9180"/>
        </w:tabs>
        <w:spacing w:before="240"/>
        <w:contextualSpacing/>
        <w:rPr>
          <w:rFonts w:ascii="Arial" w:eastAsia="Arial" w:hAnsi="Arial" w:cs="Arial"/>
        </w:rPr>
      </w:pPr>
      <w:r w:rsidRPr="00C94B7C">
        <w:rPr>
          <w:rFonts w:ascii="Arial" w:eastAsia="Arial" w:hAnsi="Arial" w:cs="Arial"/>
        </w:rPr>
        <w:t>Number of Outstanding Listed Securities:</w:t>
      </w:r>
    </w:p>
    <w:p w14:paraId="17888D82" w14:textId="77777777" w:rsidR="00576960" w:rsidRPr="00C94B7C"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C94B7C" w14:paraId="2FC182D5" w14:textId="77777777" w:rsidTr="00BF508D">
        <w:tc>
          <w:tcPr>
            <w:tcW w:w="5485" w:type="dxa"/>
          </w:tcPr>
          <w:p w14:paraId="3E4A50DA" w14:textId="14B75066"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Share Class</w:t>
            </w:r>
          </w:p>
        </w:tc>
        <w:tc>
          <w:tcPr>
            <w:tcW w:w="3060" w:type="dxa"/>
          </w:tcPr>
          <w:p w14:paraId="440C87C6" w14:textId="22CFE8EB"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Number of Outstanding Shares</w:t>
            </w:r>
          </w:p>
        </w:tc>
      </w:tr>
      <w:tr w:rsidR="00BF508D" w:rsidRPr="00C94B7C" w14:paraId="26FBB1BC" w14:textId="77777777" w:rsidTr="00BF508D">
        <w:tc>
          <w:tcPr>
            <w:tcW w:w="5485" w:type="dxa"/>
          </w:tcPr>
          <w:p w14:paraId="2DC4FF4B" w14:textId="47C3E629"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D Subordinate Voting Shares (“Floating”)</w:t>
            </w:r>
          </w:p>
        </w:tc>
        <w:tc>
          <w:tcPr>
            <w:tcW w:w="3060" w:type="dxa"/>
          </w:tcPr>
          <w:p w14:paraId="7982B8E2" w14:textId="261C76CA" w:rsidR="00BF508D" w:rsidRPr="00C94B7C" w:rsidRDefault="000E3BC0">
            <w:pPr>
              <w:tabs>
                <w:tab w:val="left" w:pos="7920"/>
                <w:tab w:val="left" w:pos="9180"/>
              </w:tabs>
              <w:spacing w:before="240" w:line="288" w:lineRule="auto"/>
              <w:rPr>
                <w:rFonts w:ascii="Arial" w:eastAsia="Arial" w:hAnsi="Arial" w:cs="Arial"/>
              </w:rPr>
            </w:pPr>
            <w:r w:rsidRPr="000E3BC0">
              <w:rPr>
                <w:rFonts w:ascii="Arial" w:eastAsia="Arial" w:hAnsi="Arial" w:cs="Arial"/>
              </w:rPr>
              <w:t>33,133,749</w:t>
            </w:r>
          </w:p>
        </w:tc>
      </w:tr>
      <w:tr w:rsidR="00BF508D" w:rsidRPr="00C94B7C" w14:paraId="3D2C7289" w14:textId="77777777" w:rsidTr="00BF508D">
        <w:tc>
          <w:tcPr>
            <w:tcW w:w="5485" w:type="dxa"/>
          </w:tcPr>
          <w:p w14:paraId="20DE480C" w14:textId="37F76ADD"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E Subordinate Voting Shares (“Fixed”)</w:t>
            </w:r>
          </w:p>
        </w:tc>
        <w:tc>
          <w:tcPr>
            <w:tcW w:w="3060" w:type="dxa"/>
          </w:tcPr>
          <w:p w14:paraId="0A7ECA88" w14:textId="070E2175" w:rsidR="00BF508D" w:rsidRPr="00C94B7C" w:rsidRDefault="000E3BC0">
            <w:pPr>
              <w:tabs>
                <w:tab w:val="left" w:pos="7920"/>
                <w:tab w:val="left" w:pos="9180"/>
              </w:tabs>
              <w:spacing w:before="240" w:line="288" w:lineRule="auto"/>
              <w:rPr>
                <w:rFonts w:ascii="Arial" w:eastAsia="Arial" w:hAnsi="Arial" w:cs="Arial"/>
              </w:rPr>
            </w:pPr>
            <w:r w:rsidRPr="000E3BC0">
              <w:rPr>
                <w:rFonts w:ascii="Arial" w:eastAsia="Arial" w:hAnsi="Arial" w:cs="Arial"/>
              </w:rPr>
              <w:t>74,760,100</w:t>
            </w:r>
          </w:p>
        </w:tc>
      </w:tr>
      <w:tr w:rsidR="00BF508D" w:rsidRPr="00C94B7C" w14:paraId="19E7F255" w14:textId="77777777" w:rsidTr="00BF508D">
        <w:tc>
          <w:tcPr>
            <w:tcW w:w="5485" w:type="dxa"/>
          </w:tcPr>
          <w:p w14:paraId="6D32D546" w14:textId="3A0A828B"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F Multiple Voting Shares (“Fixed Multiple”)</w:t>
            </w:r>
          </w:p>
        </w:tc>
        <w:tc>
          <w:tcPr>
            <w:tcW w:w="3060" w:type="dxa"/>
          </w:tcPr>
          <w:p w14:paraId="522CC0A9" w14:textId="36E6873D" w:rsidR="00BF508D" w:rsidRPr="00C94B7C" w:rsidRDefault="000E3BC0">
            <w:pPr>
              <w:tabs>
                <w:tab w:val="left" w:pos="7920"/>
                <w:tab w:val="left" w:pos="9180"/>
              </w:tabs>
              <w:spacing w:before="240" w:line="288" w:lineRule="auto"/>
              <w:rPr>
                <w:rFonts w:ascii="Arial" w:eastAsia="Arial" w:hAnsi="Arial" w:cs="Arial"/>
              </w:rPr>
            </w:pPr>
            <w:r w:rsidRPr="000E3BC0">
              <w:rPr>
                <w:rFonts w:ascii="Arial" w:eastAsia="Arial" w:hAnsi="Arial" w:cs="Arial"/>
              </w:rPr>
              <w:t>117,600</w:t>
            </w:r>
          </w:p>
        </w:tc>
      </w:tr>
    </w:tbl>
    <w:p w14:paraId="64095110" w14:textId="64806924" w:rsidR="00A8034F" w:rsidRPr="00C94B7C" w:rsidRDefault="008B37D7">
      <w:pPr>
        <w:tabs>
          <w:tab w:val="left" w:pos="7920"/>
          <w:tab w:val="left" w:pos="9180"/>
        </w:tabs>
        <w:spacing w:before="240" w:line="288" w:lineRule="auto"/>
        <w:rPr>
          <w:rFonts w:ascii="Arial" w:eastAsia="Arial" w:hAnsi="Arial" w:cs="Arial"/>
        </w:rPr>
      </w:pPr>
      <w:r w:rsidRPr="00C94B7C">
        <w:rPr>
          <w:rFonts w:ascii="Arial" w:eastAsia="Arial" w:hAnsi="Arial" w:cs="Arial"/>
        </w:rPr>
        <w:t xml:space="preserve">Date: </w:t>
      </w:r>
      <w:r w:rsidR="00CF386D">
        <w:rPr>
          <w:rFonts w:ascii="Arial" w:eastAsia="Arial" w:hAnsi="Arial" w:cs="Arial"/>
        </w:rPr>
        <w:t>March</w:t>
      </w:r>
      <w:r w:rsidR="00AB57FF" w:rsidRPr="00C94B7C">
        <w:rPr>
          <w:rFonts w:ascii="Arial" w:eastAsia="Arial" w:hAnsi="Arial" w:cs="Arial"/>
        </w:rPr>
        <w:t xml:space="preserve"> </w:t>
      </w:r>
      <w:r w:rsidR="00F83C66" w:rsidRPr="00C94B7C">
        <w:rPr>
          <w:rFonts w:ascii="Arial" w:eastAsia="Arial" w:hAnsi="Arial" w:cs="Arial"/>
        </w:rPr>
        <w:t>7</w:t>
      </w:r>
      <w:r w:rsidR="00576960" w:rsidRPr="00C94B7C">
        <w:rPr>
          <w:rFonts w:ascii="Arial" w:eastAsia="Arial" w:hAnsi="Arial" w:cs="Arial"/>
        </w:rPr>
        <w:t>,</w:t>
      </w:r>
      <w:r w:rsidR="00D64A9D" w:rsidRPr="00C94B7C">
        <w:rPr>
          <w:rFonts w:ascii="Arial" w:eastAsia="Arial" w:hAnsi="Arial" w:cs="Arial"/>
        </w:rPr>
        <w:t xml:space="preserve"> </w:t>
      </w:r>
      <w:r w:rsidRPr="00C94B7C">
        <w:rPr>
          <w:rFonts w:ascii="Arial" w:eastAsia="Arial" w:hAnsi="Arial" w:cs="Arial"/>
        </w:rPr>
        <w:t>202</w:t>
      </w:r>
      <w:r w:rsidR="007F2501" w:rsidRPr="00C94B7C">
        <w:rPr>
          <w:rFonts w:ascii="Arial" w:eastAsia="Arial" w:hAnsi="Arial" w:cs="Arial"/>
        </w:rPr>
        <w:t>2</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C94B7C">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w:t>
      </w:r>
      <w:r w:rsidRPr="0074547A">
        <w:rPr>
          <w:rFonts w:ascii="Arial" w:eastAsia="Arial" w:hAnsi="Arial" w:cs="Arial"/>
        </w:rPr>
        <w:t xml:space="preserv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0F9E5A7D" w:rsidR="00D64A9D" w:rsidRPr="001C47ED" w:rsidRDefault="008B37D7">
      <w:pPr>
        <w:numPr>
          <w:ilvl w:val="0"/>
          <w:numId w:val="2"/>
        </w:numPr>
        <w:tabs>
          <w:tab w:val="left" w:pos="720"/>
        </w:tabs>
        <w:spacing w:before="120" w:line="288" w:lineRule="auto"/>
        <w:ind w:left="720"/>
        <w:rPr>
          <w:rFonts w:ascii="Arial" w:eastAsia="Arial" w:hAnsi="Arial" w:cs="Arial"/>
        </w:rPr>
      </w:pPr>
      <w:r w:rsidRPr="001C47ED">
        <w:rPr>
          <w:rFonts w:ascii="Arial" w:eastAsia="Arial" w:hAnsi="Arial" w:cs="Arial"/>
        </w:rPr>
        <w:t>Provide a general overview and discussion of the activities of management.</w:t>
      </w:r>
      <w:r w:rsidR="00D64A9D" w:rsidRPr="001C47ED">
        <w:rPr>
          <w:rFonts w:ascii="Arial" w:eastAsia="Arial" w:hAnsi="Arial" w:cs="Arial"/>
        </w:rPr>
        <w:t xml:space="preserve"> </w:t>
      </w:r>
    </w:p>
    <w:p w14:paraId="203C9FC7" w14:textId="77777777" w:rsidR="00F83C66" w:rsidRPr="00F83C66" w:rsidRDefault="00F83C66" w:rsidP="00F83C66">
      <w:pPr>
        <w:pStyle w:val="ListParagraph"/>
        <w:rPr>
          <w:rFonts w:ascii="Arial" w:hAnsi="Arial" w:cs="Arial"/>
          <w:color w:val="000000"/>
          <w:kern w:val="0"/>
          <w:highlight w:val="yellow"/>
        </w:rPr>
      </w:pPr>
    </w:p>
    <w:p w14:paraId="04DD7741" w14:textId="77777777" w:rsidR="00A30EEC" w:rsidRDefault="001C47ED" w:rsidP="00A30EEC">
      <w:pPr>
        <w:pStyle w:val="ListParagraph"/>
        <w:numPr>
          <w:ilvl w:val="0"/>
          <w:numId w:val="12"/>
        </w:numPr>
        <w:spacing w:line="288" w:lineRule="auto"/>
        <w:rPr>
          <w:rFonts w:ascii="Arial" w:hAnsi="Arial" w:cs="Arial"/>
          <w:color w:val="000000"/>
          <w:kern w:val="0"/>
        </w:rPr>
      </w:pPr>
      <w:r>
        <w:rPr>
          <w:rFonts w:ascii="Arial" w:hAnsi="Arial" w:cs="Arial"/>
          <w:color w:val="000000"/>
          <w:kern w:val="0"/>
        </w:rPr>
        <w:t xml:space="preserve">On February 3, 2022, Acreage announced </w:t>
      </w:r>
      <w:r w:rsidRPr="001C47ED">
        <w:rPr>
          <w:rFonts w:ascii="Arial" w:hAnsi="Arial" w:cs="Arial"/>
          <w:color w:val="000000"/>
          <w:kern w:val="0"/>
        </w:rPr>
        <w:t>its remodeled “House of Brands” product portfolio with the launch of cannabis craft brand </w:t>
      </w:r>
      <w:r w:rsidRPr="001C47ED">
        <w:rPr>
          <w:rFonts w:ascii="Arial" w:hAnsi="Arial" w:cs="Arial"/>
          <w:i/>
          <w:iCs/>
          <w:color w:val="000000"/>
          <w:kern w:val="0"/>
        </w:rPr>
        <w:t>Superflux </w:t>
      </w:r>
      <w:r w:rsidRPr="001C47ED">
        <w:rPr>
          <w:rFonts w:ascii="Arial" w:hAnsi="Arial" w:cs="Arial"/>
          <w:color w:val="000000"/>
          <w:kern w:val="0"/>
        </w:rPr>
        <w:t>and new product innovations under its flagship brand </w:t>
      </w:r>
      <w:r w:rsidRPr="001C47ED">
        <w:rPr>
          <w:rFonts w:ascii="Arial" w:hAnsi="Arial" w:cs="Arial"/>
          <w:i/>
          <w:iCs/>
          <w:color w:val="000000"/>
          <w:kern w:val="0"/>
        </w:rPr>
        <w:t>The Botanist. </w:t>
      </w:r>
      <w:r w:rsidRPr="001C47ED">
        <w:rPr>
          <w:rFonts w:ascii="Arial" w:hAnsi="Arial" w:cs="Arial"/>
          <w:color w:val="000000"/>
          <w:kern w:val="0"/>
        </w:rPr>
        <w:t>Building a cohesive product portfolio with distinct yet scalable core brand and product offerings unlocks new wholesale and retail revenue streams and attracts new audiences across Acreage</w:t>
      </w:r>
      <w:r w:rsidR="005744AD">
        <w:rPr>
          <w:rFonts w:ascii="Arial" w:hAnsi="Arial" w:cs="Arial"/>
          <w:color w:val="000000"/>
          <w:kern w:val="0"/>
        </w:rPr>
        <w:t xml:space="preserve">’s </w:t>
      </w:r>
      <w:r w:rsidRPr="001C47ED">
        <w:rPr>
          <w:rFonts w:ascii="Arial" w:hAnsi="Arial" w:cs="Arial"/>
          <w:color w:val="000000"/>
          <w:kern w:val="0"/>
        </w:rPr>
        <w:t>footprint.</w:t>
      </w:r>
    </w:p>
    <w:p w14:paraId="705B85A7" w14:textId="037E749C" w:rsidR="00F83C66" w:rsidRPr="0074547A" w:rsidRDefault="00A30EEC" w:rsidP="00A30EEC">
      <w:pPr>
        <w:pStyle w:val="ListParagraph"/>
        <w:numPr>
          <w:ilvl w:val="0"/>
          <w:numId w:val="12"/>
        </w:numPr>
        <w:spacing w:line="288" w:lineRule="auto"/>
        <w:rPr>
          <w:rFonts w:ascii="Arial" w:hAnsi="Arial" w:cs="Arial"/>
          <w:color w:val="000000"/>
          <w:kern w:val="0"/>
        </w:rPr>
      </w:pPr>
      <w:r>
        <w:rPr>
          <w:rFonts w:ascii="Arial" w:hAnsi="Arial" w:cs="Arial"/>
          <w:color w:val="000000"/>
          <w:kern w:val="0"/>
        </w:rPr>
        <w:t xml:space="preserve">On February 24, 2022, Acreage </w:t>
      </w:r>
      <w:r w:rsidRPr="00A30EEC">
        <w:rPr>
          <w:rFonts w:ascii="Arial" w:hAnsi="Arial" w:cs="Arial"/>
          <w:color w:val="000000"/>
          <w:kern w:val="0"/>
        </w:rPr>
        <w:t>announced it will report its fourth quarter and full year 202</w:t>
      </w:r>
      <w:r w:rsidR="00FA3692">
        <w:rPr>
          <w:rFonts w:ascii="Arial" w:hAnsi="Arial" w:cs="Arial"/>
          <w:color w:val="000000"/>
          <w:kern w:val="0"/>
        </w:rPr>
        <w:t xml:space="preserve">1 </w:t>
      </w:r>
      <w:r w:rsidRPr="00A30EEC">
        <w:rPr>
          <w:rFonts w:ascii="Arial" w:hAnsi="Arial" w:cs="Arial"/>
          <w:color w:val="000000"/>
          <w:kern w:val="0"/>
        </w:rPr>
        <w:t>financial results for the period ending December 31, 202</w:t>
      </w:r>
      <w:r w:rsidR="00FA3692">
        <w:rPr>
          <w:rFonts w:ascii="Arial" w:hAnsi="Arial" w:cs="Arial"/>
          <w:color w:val="000000"/>
          <w:kern w:val="0"/>
        </w:rPr>
        <w:t>1,</w:t>
      </w:r>
      <w:r w:rsidRPr="00A30EEC">
        <w:rPr>
          <w:rFonts w:ascii="Arial" w:hAnsi="Arial" w:cs="Arial"/>
          <w:color w:val="000000"/>
          <w:kern w:val="0"/>
        </w:rPr>
        <w:t xml:space="preserve"> on March </w:t>
      </w:r>
      <w:r w:rsidR="00FA3692">
        <w:rPr>
          <w:rFonts w:ascii="Arial" w:hAnsi="Arial" w:cs="Arial"/>
          <w:color w:val="000000"/>
          <w:kern w:val="0"/>
        </w:rPr>
        <w:t>10</w:t>
      </w:r>
      <w:r w:rsidRPr="00A30EEC">
        <w:rPr>
          <w:rFonts w:ascii="Arial" w:hAnsi="Arial" w:cs="Arial"/>
          <w:color w:val="000000"/>
          <w:kern w:val="0"/>
        </w:rPr>
        <w:t>, 202</w:t>
      </w:r>
      <w:r w:rsidR="00FA3692">
        <w:rPr>
          <w:rFonts w:ascii="Arial" w:hAnsi="Arial" w:cs="Arial"/>
          <w:color w:val="000000"/>
          <w:kern w:val="0"/>
        </w:rPr>
        <w:t>2,</w:t>
      </w:r>
      <w:r w:rsidRPr="00A30EEC">
        <w:rPr>
          <w:rFonts w:ascii="Arial" w:hAnsi="Arial" w:cs="Arial"/>
          <w:color w:val="000000"/>
          <w:kern w:val="0"/>
        </w:rPr>
        <w:t xml:space="preserve"> after market close. Management will host a conference call on March 1</w:t>
      </w:r>
      <w:r w:rsidR="00FA3692">
        <w:rPr>
          <w:rFonts w:ascii="Arial" w:hAnsi="Arial" w:cs="Arial"/>
          <w:color w:val="000000"/>
          <w:kern w:val="0"/>
        </w:rPr>
        <w:t>1</w:t>
      </w:r>
      <w:r w:rsidRPr="00A30EEC">
        <w:rPr>
          <w:rFonts w:ascii="Arial" w:hAnsi="Arial" w:cs="Arial"/>
          <w:color w:val="000000"/>
          <w:kern w:val="0"/>
        </w:rPr>
        <w:t>, 202</w:t>
      </w:r>
      <w:r w:rsidR="00FA3692">
        <w:rPr>
          <w:rFonts w:ascii="Arial" w:hAnsi="Arial" w:cs="Arial"/>
          <w:color w:val="000000"/>
          <w:kern w:val="0"/>
        </w:rPr>
        <w:t>2,</w:t>
      </w:r>
      <w:r w:rsidRPr="00A30EEC">
        <w:rPr>
          <w:rFonts w:ascii="Arial" w:hAnsi="Arial" w:cs="Arial"/>
          <w:color w:val="000000"/>
          <w:kern w:val="0"/>
        </w:rPr>
        <w:t xml:space="preserve"> at </w:t>
      </w:r>
      <w:r w:rsidR="00FA3692">
        <w:rPr>
          <w:rFonts w:ascii="Arial" w:hAnsi="Arial" w:cs="Arial"/>
          <w:color w:val="000000"/>
          <w:kern w:val="0"/>
        </w:rPr>
        <w:t>10:00</w:t>
      </w:r>
      <w:r w:rsidRPr="00A30EEC">
        <w:rPr>
          <w:rFonts w:ascii="Arial" w:hAnsi="Arial" w:cs="Arial"/>
          <w:color w:val="000000"/>
          <w:kern w:val="0"/>
        </w:rPr>
        <w:t xml:space="preserve"> a.m. ET to discuss the results in detail.</w:t>
      </w:r>
    </w:p>
    <w:p w14:paraId="490217E5" w14:textId="77777777" w:rsidR="00F83C66" w:rsidRDefault="00F83C66" w:rsidP="001C47ED">
      <w:pPr>
        <w:tabs>
          <w:tab w:val="left" w:pos="720"/>
        </w:tabs>
        <w:spacing w:line="288" w:lineRule="auto"/>
        <w:rPr>
          <w:rFonts w:ascii="Arial" w:eastAsia="Arial" w:hAnsi="Arial" w:cs="Arial"/>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38B593C1" w:rsidR="00A147BC" w:rsidRPr="0074547A" w:rsidRDefault="0055592A" w:rsidP="00A147BC">
      <w:pPr>
        <w:pStyle w:val="ListParagraph"/>
        <w:rPr>
          <w:rFonts w:ascii="Arial" w:hAnsi="Arial" w:cs="Arial"/>
          <w:color w:val="000000"/>
          <w:kern w:val="0"/>
        </w:rPr>
      </w:pPr>
      <w:r>
        <w:rPr>
          <w:rFonts w:ascii="Arial" w:hAnsi="Arial" w:cs="Arial"/>
          <w:color w:val="000000"/>
          <w:kern w:val="0"/>
        </w:rPr>
        <w:t>None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169C6715" w:rsidR="00250AEB" w:rsidRPr="0055592A" w:rsidRDefault="0055592A" w:rsidP="0055592A">
      <w:pPr>
        <w:pStyle w:val="ListParagraph"/>
        <w:rPr>
          <w:rFonts w:ascii="Arial" w:hAnsi="Arial" w:cs="Arial"/>
          <w:color w:val="000000"/>
          <w:kern w:val="0"/>
        </w:rPr>
      </w:pPr>
      <w:r>
        <w:rPr>
          <w:rFonts w:ascii="Arial" w:hAnsi="Arial" w:cs="Arial"/>
          <w:color w:val="000000"/>
          <w:kern w:val="0"/>
        </w:rPr>
        <w:t>None material</w:t>
      </w:r>
      <w:r w:rsidR="006D623E" w:rsidRPr="006D623E">
        <w:rPr>
          <w:rFonts w:ascii="Arial" w:eastAsia="Arial" w:hAnsi="Arial" w:cs="Arial"/>
        </w:rPr>
        <w:t>.</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5295B279" w:rsidR="00A8034F" w:rsidRPr="00A03276" w:rsidRDefault="0055592A"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None material.</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64A9D">
        <w:rPr>
          <w:rFonts w:ascii="Arial" w:eastAsia="Arial" w:hAnsi="Arial" w:cs="Arial"/>
        </w:rPr>
        <w:t xml:space="preserve"> </w:t>
      </w:r>
    </w:p>
    <w:p w14:paraId="1101573C" w14:textId="7C726505" w:rsidR="00A8034F" w:rsidRPr="0074547A" w:rsidRDefault="00E00D24" w:rsidP="00DF166E">
      <w:pPr>
        <w:spacing w:before="120" w:line="288" w:lineRule="auto"/>
        <w:ind w:left="720"/>
        <w:jc w:val="both"/>
        <w:rPr>
          <w:rFonts w:ascii="Arial" w:eastAsia="Arial" w:hAnsi="Arial" w:cs="Arial"/>
        </w:rPr>
      </w:pPr>
      <w:r>
        <w:rPr>
          <w:rFonts w:ascii="Arial" w:eastAsia="Arial" w:hAnsi="Arial" w:cs="Arial"/>
        </w:rPr>
        <w:t>N</w:t>
      </w:r>
      <w:r w:rsidR="0055592A">
        <w:rPr>
          <w:rFonts w:ascii="Arial" w:eastAsia="Arial" w:hAnsi="Arial" w:cs="Arial"/>
        </w:rPr>
        <w:t>one.</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lastRenderedPageBreak/>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new developments or effects on intangible products such as brand names, circulation lists, copyrights, franchises, licenses, patents, software, subscription lists and trade-marks.</w:t>
      </w:r>
    </w:p>
    <w:p w14:paraId="71370843" w14:textId="29ECF68B" w:rsidR="00A8034F" w:rsidRPr="0074547A" w:rsidRDefault="00E00D24">
      <w:pPr>
        <w:spacing w:before="120" w:line="288" w:lineRule="auto"/>
        <w:ind w:left="720"/>
        <w:jc w:val="both"/>
        <w:rPr>
          <w:rFonts w:ascii="Arial" w:eastAsia="Arial" w:hAnsi="Arial" w:cs="Arial"/>
        </w:rPr>
      </w:pPr>
      <w:r>
        <w:rPr>
          <w:rFonts w:ascii="Arial" w:hAnsi="Arial" w:cs="Arial"/>
          <w:color w:val="000000"/>
          <w:kern w:val="0"/>
        </w:rPr>
        <w:t>Except as described above, none material</w:t>
      </w:r>
      <w:r w:rsidR="0055592A">
        <w:rPr>
          <w:rFonts w:ascii="Arial" w:hAnsi="Arial" w:cs="Arial"/>
          <w:color w:val="000000"/>
          <w:kern w:val="0"/>
        </w:rPr>
        <w:t>.</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576CED06" w:rsidR="00587C1C" w:rsidRPr="00C94B7C"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C94B7C">
        <w:rPr>
          <w:rFonts w:ascii="Arial" w:eastAsia="Arial" w:hAnsi="Arial" w:cs="Arial"/>
        </w:rPr>
        <w:t xml:space="preserve">The Issuer had approximately </w:t>
      </w:r>
      <w:r w:rsidR="001C47ED">
        <w:rPr>
          <w:rFonts w:ascii="Arial" w:eastAsia="Arial" w:hAnsi="Arial" w:cs="Arial"/>
        </w:rPr>
        <w:t>42</w:t>
      </w:r>
      <w:r w:rsidRPr="00C94B7C">
        <w:rPr>
          <w:rFonts w:ascii="Arial" w:eastAsia="Arial" w:hAnsi="Arial" w:cs="Arial"/>
        </w:rPr>
        <w:t xml:space="preserve"> new hires, 0 furloughs or return from furloughs, and </w:t>
      </w:r>
      <w:r w:rsidR="001C47ED">
        <w:rPr>
          <w:rFonts w:ascii="Arial" w:eastAsia="Arial" w:hAnsi="Arial" w:cs="Arial"/>
        </w:rPr>
        <w:t>27</w:t>
      </w:r>
      <w:r w:rsidR="00C33BDC" w:rsidRPr="00C94B7C">
        <w:rPr>
          <w:rFonts w:ascii="Arial" w:eastAsia="Arial" w:hAnsi="Arial" w:cs="Arial"/>
        </w:rPr>
        <w:t xml:space="preserve"> te</w:t>
      </w:r>
      <w:r w:rsidRPr="00C94B7C">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Report on any labour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r>
        <w:rPr>
          <w:rFonts w:ascii="Arial" w:hAnsi="Arial" w:cs="Arial"/>
          <w:color w:val="000000"/>
          <w:kern w:val="0"/>
        </w:rPr>
        <w:t>None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C94B7C"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C94B7C">
        <w:rPr>
          <w:rFonts w:ascii="Arial" w:eastAsia="Arial" w:hAnsi="Arial" w:cs="Arial"/>
        </w:rPr>
        <w:t>Provide details of any securities issued and options or warrants granted.</w:t>
      </w:r>
      <w:r w:rsidR="00F141B5" w:rsidRPr="00C94B7C">
        <w:rPr>
          <w:rFonts w:ascii="Arial" w:eastAsia="Arial" w:hAnsi="Arial" w:cs="Arial"/>
        </w:rPr>
        <w:t xml:space="preserve"> </w:t>
      </w:r>
      <w:bookmarkEnd w:id="1"/>
    </w:p>
    <w:p w14:paraId="1D91533D" w14:textId="6CBE3B45" w:rsidR="007F1F75" w:rsidRPr="00C94B7C" w:rsidRDefault="007F1F75" w:rsidP="007F1F75">
      <w:pPr>
        <w:pStyle w:val="ListParagraph"/>
        <w:numPr>
          <w:ilvl w:val="0"/>
          <w:numId w:val="2"/>
        </w:numPr>
        <w:contextualSpacing w:val="0"/>
        <w:rPr>
          <w:rFonts w:ascii="Arial" w:hAnsi="Arial" w:cs="Arial"/>
        </w:rPr>
      </w:pPr>
      <w:r w:rsidRPr="00C94B7C">
        <w:rPr>
          <w:rFonts w:ascii="Arial" w:hAnsi="Arial" w:cs="Arial"/>
        </w:rPr>
        <w:t xml:space="preserve">Share </w:t>
      </w:r>
      <w:r w:rsidR="00E6099F" w:rsidRPr="00C94B7C">
        <w:rPr>
          <w:rFonts w:ascii="Arial" w:hAnsi="Arial" w:cs="Arial"/>
        </w:rPr>
        <w:t>I</w:t>
      </w:r>
      <w:r w:rsidRPr="00C94B7C">
        <w:rPr>
          <w:rFonts w:ascii="Arial" w:hAnsi="Arial" w:cs="Arial"/>
        </w:rPr>
        <w:t>ssuances:</w:t>
      </w:r>
    </w:p>
    <w:p w14:paraId="6B32FFC2" w14:textId="77777777" w:rsidR="007F1F75" w:rsidRPr="00C94B7C"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903"/>
        <w:gridCol w:w="2869"/>
        <w:gridCol w:w="2848"/>
      </w:tblGrid>
      <w:tr w:rsidR="007F1F75" w:rsidRPr="00C94B7C"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C94B7C" w:rsidRDefault="007F1F75">
            <w:pPr>
              <w:pStyle w:val="ListParagraph"/>
              <w:ind w:left="0"/>
              <w:jc w:val="center"/>
              <w:rPr>
                <w:rFonts w:ascii="Arial" w:hAnsi="Arial" w:cs="Arial"/>
                <w:b/>
                <w:bCs/>
              </w:rPr>
            </w:pPr>
            <w:r w:rsidRPr="00C94B7C">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C94B7C" w:rsidRDefault="007F1F75">
            <w:pPr>
              <w:pStyle w:val="ListParagraph"/>
              <w:ind w:left="0"/>
              <w:jc w:val="center"/>
              <w:rPr>
                <w:rFonts w:ascii="Arial" w:hAnsi="Arial" w:cs="Arial"/>
                <w:b/>
                <w:bCs/>
              </w:rPr>
            </w:pPr>
            <w:r w:rsidRPr="00C94B7C">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C94B7C" w:rsidRDefault="007F1F75">
            <w:pPr>
              <w:pStyle w:val="ListParagraph"/>
              <w:ind w:left="0"/>
              <w:jc w:val="center"/>
              <w:rPr>
                <w:rFonts w:ascii="Arial" w:hAnsi="Arial" w:cs="Arial"/>
                <w:b/>
                <w:bCs/>
              </w:rPr>
            </w:pPr>
            <w:r w:rsidRPr="00C94B7C">
              <w:rPr>
                <w:rFonts w:ascii="Arial" w:hAnsi="Arial" w:cs="Arial"/>
                <w:b/>
                <w:bCs/>
              </w:rPr>
              <w:t>Fixed (Class E)</w:t>
            </w:r>
          </w:p>
        </w:tc>
      </w:tr>
      <w:tr w:rsidR="007F1F75" w:rsidRPr="00C94B7C"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C94B7C" w:rsidRDefault="007F1F75">
            <w:pPr>
              <w:pStyle w:val="ListParagraph"/>
              <w:ind w:left="0"/>
              <w:jc w:val="center"/>
              <w:rPr>
                <w:rFonts w:ascii="Arial" w:hAnsi="Arial" w:cs="Arial"/>
                <w:i/>
                <w:iCs/>
              </w:rPr>
            </w:pPr>
            <w:r w:rsidRPr="00C94B7C">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7E95FF62" w:rsidR="007F1F75" w:rsidRPr="00C94B7C" w:rsidRDefault="00B06810">
            <w:pPr>
              <w:pStyle w:val="ListParagraph"/>
              <w:ind w:left="0"/>
              <w:jc w:val="center"/>
              <w:rPr>
                <w:rFonts w:ascii="Arial" w:hAnsi="Arial" w:cs="Arial"/>
              </w:rPr>
            </w:pPr>
            <w:r w:rsidRPr="00B06810">
              <w:rPr>
                <w:rFonts w:ascii="Arial" w:hAnsi="Arial" w:cs="Arial"/>
              </w:rPr>
              <w:t>16,987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1485D0A2" w:rsidR="007F1F75" w:rsidRPr="00C94B7C" w:rsidRDefault="00B06810">
            <w:pPr>
              <w:pStyle w:val="ListParagraph"/>
              <w:ind w:left="0"/>
              <w:jc w:val="center"/>
              <w:rPr>
                <w:rFonts w:ascii="Arial" w:hAnsi="Arial" w:cs="Arial"/>
              </w:rPr>
            </w:pPr>
            <w:r w:rsidRPr="00B06810">
              <w:rPr>
                <w:rFonts w:ascii="Arial" w:hAnsi="Arial" w:cs="Arial"/>
              </w:rPr>
              <w:t>5,300</w:t>
            </w:r>
          </w:p>
        </w:tc>
      </w:tr>
    </w:tbl>
    <w:p w14:paraId="6F0AD1A2" w14:textId="77777777" w:rsidR="007F1F75" w:rsidRPr="00C94B7C"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C94B7C">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50B42969"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March 26, 2021.</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r w:rsidRPr="0074547A">
        <w:rPr>
          <w:rFonts w:ascii="Arial" w:eastAsia="Arial" w:hAnsi="Arial" w:cs="Arial"/>
        </w:rPr>
        <w:t>All of the information in this Form 7 Monthly Progress Report is true.</w:t>
      </w:r>
    </w:p>
    <w:p w14:paraId="3881288E" w14:textId="5F88443E"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CF386D">
        <w:rPr>
          <w:rFonts w:ascii="Arial" w:eastAsia="Arial" w:hAnsi="Arial" w:cs="Arial"/>
        </w:rPr>
        <w:t>March</w:t>
      </w:r>
      <w:r w:rsidR="00417B21">
        <w:rPr>
          <w:rFonts w:ascii="Arial" w:eastAsia="Arial" w:hAnsi="Arial" w:cs="Arial"/>
        </w:rPr>
        <w:t xml:space="preserve"> </w:t>
      </w:r>
      <w:r w:rsidR="00F83C66">
        <w:rPr>
          <w:rFonts w:ascii="Arial" w:eastAsia="Arial" w:hAnsi="Arial" w:cs="Arial"/>
        </w:rPr>
        <w:t>7</w:t>
      </w:r>
      <w:r w:rsidRPr="0074547A">
        <w:rPr>
          <w:rFonts w:ascii="Arial" w:eastAsia="Arial" w:hAnsi="Arial" w:cs="Arial"/>
        </w:rPr>
        <w:t>, 202</w:t>
      </w:r>
      <w:r w:rsidR="007F2501">
        <w:rPr>
          <w:rFonts w:ascii="Arial" w:eastAsia="Arial" w:hAnsi="Arial" w:cs="Arial"/>
        </w:rPr>
        <w:t>2</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52BC2422" w:rsidR="00A8034F" w:rsidRPr="0074547A" w:rsidRDefault="00CF386D">
            <w:pPr>
              <w:keepNext/>
              <w:keepLines/>
              <w:rPr>
                <w:rFonts w:ascii="Arial" w:eastAsia="Arial" w:hAnsi="Arial" w:cs="Arial"/>
              </w:rPr>
            </w:pPr>
            <w:r>
              <w:rPr>
                <w:rFonts w:ascii="Arial" w:eastAsia="Arial" w:hAnsi="Arial" w:cs="Arial"/>
              </w:rPr>
              <w:t>February 2022</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658FF26F"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7F2501">
              <w:rPr>
                <w:rFonts w:ascii="Arial" w:eastAsia="Arial" w:hAnsi="Arial" w:cs="Arial"/>
              </w:rPr>
              <w:t>2</w:t>
            </w:r>
            <w:r w:rsidRPr="0074547A">
              <w:rPr>
                <w:rFonts w:ascii="Arial" w:eastAsia="Arial" w:hAnsi="Arial" w:cs="Arial"/>
              </w:rPr>
              <w:t>/</w:t>
            </w:r>
            <w:r w:rsidR="00CF386D">
              <w:rPr>
                <w:rFonts w:ascii="Arial" w:eastAsia="Arial" w:hAnsi="Arial" w:cs="Arial"/>
              </w:rPr>
              <w:t>03</w:t>
            </w:r>
            <w:r w:rsidR="0074547A">
              <w:rPr>
                <w:rFonts w:ascii="Arial" w:eastAsia="Arial" w:hAnsi="Arial" w:cs="Arial"/>
              </w:rPr>
              <w:t>/</w:t>
            </w:r>
            <w:r w:rsidR="00196534">
              <w:rPr>
                <w:rFonts w:ascii="Arial" w:eastAsia="Arial" w:hAnsi="Arial" w:cs="Arial"/>
              </w:rPr>
              <w:t>0</w:t>
            </w:r>
            <w:r w:rsidR="00F83C66">
              <w:rPr>
                <w:rFonts w:ascii="Arial" w:eastAsia="Arial" w:hAnsi="Arial" w:cs="Arial"/>
              </w:rPr>
              <w:t>7</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8526" w14:textId="77777777" w:rsidR="00583832" w:rsidRDefault="00583832">
      <w:r>
        <w:separator/>
      </w:r>
    </w:p>
  </w:endnote>
  <w:endnote w:type="continuationSeparator" w:id="0">
    <w:p w14:paraId="00BDCB7A" w14:textId="77777777" w:rsidR="00583832" w:rsidRDefault="0058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68C3" w14:textId="77777777" w:rsidR="00583832" w:rsidRDefault="00583832">
      <w:r>
        <w:separator/>
      </w:r>
    </w:p>
  </w:footnote>
  <w:footnote w:type="continuationSeparator" w:id="0">
    <w:p w14:paraId="766BF177" w14:textId="77777777" w:rsidR="00583832" w:rsidRDefault="0058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46D165C"/>
    <w:multiLevelType w:val="hybridMultilevel"/>
    <w:tmpl w:val="D9D6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9"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8"/>
  </w:num>
  <w:num w:numId="2">
    <w:abstractNumId w:val="4"/>
  </w:num>
  <w:num w:numId="3">
    <w:abstractNumId w:val="10"/>
  </w:num>
  <w:num w:numId="4">
    <w:abstractNumId w:val="1"/>
  </w:num>
  <w:num w:numId="5">
    <w:abstractNumId w:val="2"/>
  </w:num>
  <w:num w:numId="6">
    <w:abstractNumId w:val="9"/>
  </w:num>
  <w:num w:numId="7">
    <w:abstractNumId w:val="7"/>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73BC"/>
    <w:rsid w:val="00012570"/>
    <w:rsid w:val="00026D0C"/>
    <w:rsid w:val="00031C4D"/>
    <w:rsid w:val="0003434C"/>
    <w:rsid w:val="00076A24"/>
    <w:rsid w:val="00086ECB"/>
    <w:rsid w:val="00095438"/>
    <w:rsid w:val="000B106C"/>
    <w:rsid w:val="000E3BC0"/>
    <w:rsid w:val="00104E30"/>
    <w:rsid w:val="001503D4"/>
    <w:rsid w:val="001546A1"/>
    <w:rsid w:val="00166F6F"/>
    <w:rsid w:val="001678C5"/>
    <w:rsid w:val="0017403D"/>
    <w:rsid w:val="001823FF"/>
    <w:rsid w:val="00195D4A"/>
    <w:rsid w:val="00196534"/>
    <w:rsid w:val="00197C90"/>
    <w:rsid w:val="001C47ED"/>
    <w:rsid w:val="001E1965"/>
    <w:rsid w:val="001E4CA6"/>
    <w:rsid w:val="001F5F51"/>
    <w:rsid w:val="002051FA"/>
    <w:rsid w:val="0022036E"/>
    <w:rsid w:val="00224D25"/>
    <w:rsid w:val="00250AEB"/>
    <w:rsid w:val="00283BEA"/>
    <w:rsid w:val="00283DD4"/>
    <w:rsid w:val="00285127"/>
    <w:rsid w:val="00295650"/>
    <w:rsid w:val="002E03CB"/>
    <w:rsid w:val="002F67BD"/>
    <w:rsid w:val="002F6BC3"/>
    <w:rsid w:val="00317F6B"/>
    <w:rsid w:val="00373799"/>
    <w:rsid w:val="003B3E0E"/>
    <w:rsid w:val="003B5187"/>
    <w:rsid w:val="003F52DA"/>
    <w:rsid w:val="00415788"/>
    <w:rsid w:val="00417B21"/>
    <w:rsid w:val="00456248"/>
    <w:rsid w:val="00477E97"/>
    <w:rsid w:val="00492B61"/>
    <w:rsid w:val="004C4472"/>
    <w:rsid w:val="00523050"/>
    <w:rsid w:val="0052748F"/>
    <w:rsid w:val="00531EE2"/>
    <w:rsid w:val="00555613"/>
    <w:rsid w:val="0055592A"/>
    <w:rsid w:val="00567D0F"/>
    <w:rsid w:val="005744AD"/>
    <w:rsid w:val="00576960"/>
    <w:rsid w:val="0058038F"/>
    <w:rsid w:val="00581654"/>
    <w:rsid w:val="00583832"/>
    <w:rsid w:val="00587C1C"/>
    <w:rsid w:val="005B310D"/>
    <w:rsid w:val="005D3E74"/>
    <w:rsid w:val="005F6E90"/>
    <w:rsid w:val="00662C32"/>
    <w:rsid w:val="00666274"/>
    <w:rsid w:val="006A1473"/>
    <w:rsid w:val="006C0E0D"/>
    <w:rsid w:val="006D623E"/>
    <w:rsid w:val="006E2B58"/>
    <w:rsid w:val="00730312"/>
    <w:rsid w:val="0073138A"/>
    <w:rsid w:val="007313D1"/>
    <w:rsid w:val="00732029"/>
    <w:rsid w:val="0074547A"/>
    <w:rsid w:val="007716F9"/>
    <w:rsid w:val="00780225"/>
    <w:rsid w:val="007A6FD5"/>
    <w:rsid w:val="007F1F75"/>
    <w:rsid w:val="007F2501"/>
    <w:rsid w:val="008B37D7"/>
    <w:rsid w:val="008B5B64"/>
    <w:rsid w:val="008F7045"/>
    <w:rsid w:val="0094406A"/>
    <w:rsid w:val="009678C1"/>
    <w:rsid w:val="009856A4"/>
    <w:rsid w:val="00986AD3"/>
    <w:rsid w:val="00996536"/>
    <w:rsid w:val="009A473C"/>
    <w:rsid w:val="009E7695"/>
    <w:rsid w:val="009F237B"/>
    <w:rsid w:val="00A03276"/>
    <w:rsid w:val="00A147BC"/>
    <w:rsid w:val="00A30EEC"/>
    <w:rsid w:val="00A756F5"/>
    <w:rsid w:val="00A77E10"/>
    <w:rsid w:val="00A8034F"/>
    <w:rsid w:val="00A84932"/>
    <w:rsid w:val="00A95B43"/>
    <w:rsid w:val="00AB57FF"/>
    <w:rsid w:val="00AF698C"/>
    <w:rsid w:val="00B06810"/>
    <w:rsid w:val="00B20DF4"/>
    <w:rsid w:val="00B57815"/>
    <w:rsid w:val="00B677DD"/>
    <w:rsid w:val="00BA3237"/>
    <w:rsid w:val="00BE74CD"/>
    <w:rsid w:val="00BF508D"/>
    <w:rsid w:val="00BF7F2B"/>
    <w:rsid w:val="00C14241"/>
    <w:rsid w:val="00C266EF"/>
    <w:rsid w:val="00C33BDC"/>
    <w:rsid w:val="00C377C6"/>
    <w:rsid w:val="00C43B67"/>
    <w:rsid w:val="00C7253D"/>
    <w:rsid w:val="00C94B7C"/>
    <w:rsid w:val="00CB04FD"/>
    <w:rsid w:val="00CE2965"/>
    <w:rsid w:val="00CF386D"/>
    <w:rsid w:val="00D1062D"/>
    <w:rsid w:val="00D21B58"/>
    <w:rsid w:val="00D226D9"/>
    <w:rsid w:val="00D64A9D"/>
    <w:rsid w:val="00D65C8F"/>
    <w:rsid w:val="00DB1396"/>
    <w:rsid w:val="00DD4274"/>
    <w:rsid w:val="00DF166E"/>
    <w:rsid w:val="00E00D24"/>
    <w:rsid w:val="00E34A76"/>
    <w:rsid w:val="00E54B83"/>
    <w:rsid w:val="00E6099F"/>
    <w:rsid w:val="00E87CF6"/>
    <w:rsid w:val="00EB736A"/>
    <w:rsid w:val="00F04F8C"/>
    <w:rsid w:val="00F13215"/>
    <w:rsid w:val="00F141B5"/>
    <w:rsid w:val="00F37C94"/>
    <w:rsid w:val="00F42A28"/>
    <w:rsid w:val="00F83C66"/>
    <w:rsid w:val="00F957CD"/>
    <w:rsid w:val="00FA3692"/>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Ben Allen</cp:lastModifiedBy>
  <cp:revision>12</cp:revision>
  <cp:lastPrinted>2020-06-30T19:38:00Z</cp:lastPrinted>
  <dcterms:created xsi:type="dcterms:W3CDTF">2022-01-31T19:08:00Z</dcterms:created>
  <dcterms:modified xsi:type="dcterms:W3CDTF">2022-03-05T16:58:00Z</dcterms:modified>
</cp:coreProperties>
</file>