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BD75"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EAAE235"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F5DB1">
        <w:rPr>
          <w:rFonts w:ascii="Arial" w:hAnsi="Arial"/>
          <w:color w:val="000000"/>
          <w:u w:val="single"/>
        </w:rPr>
        <w:t>Cryptobloc Technologies Corp.</w:t>
      </w:r>
      <w:r>
        <w:rPr>
          <w:rFonts w:ascii="Arial" w:hAnsi="Arial"/>
          <w:color w:val="000000"/>
          <w:u w:val="single"/>
        </w:rPr>
        <w:tab/>
      </w:r>
      <w:r>
        <w:rPr>
          <w:rFonts w:ascii="Arial" w:hAnsi="Arial"/>
          <w:color w:val="000000"/>
          <w:u w:val="single"/>
        </w:rPr>
        <w:tab/>
      </w:r>
      <w:r>
        <w:rPr>
          <w:rFonts w:ascii="Arial" w:hAnsi="Arial"/>
          <w:color w:val="000000"/>
        </w:rPr>
        <w:t>(the “Issuer”).</w:t>
      </w:r>
    </w:p>
    <w:p w14:paraId="5CB4FEA4"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F5DB1">
        <w:rPr>
          <w:rFonts w:ascii="Arial" w:hAnsi="Arial"/>
          <w:color w:val="000000"/>
          <w:u w:val="single"/>
        </w:rPr>
        <w:t>CRYP</w:t>
      </w:r>
      <w:r>
        <w:rPr>
          <w:rFonts w:ascii="Arial" w:hAnsi="Arial"/>
          <w:color w:val="000000"/>
          <w:u w:val="single"/>
        </w:rPr>
        <w:tab/>
      </w:r>
      <w:r w:rsidR="00AF5DB1">
        <w:rPr>
          <w:rFonts w:ascii="Arial" w:hAnsi="Arial"/>
          <w:color w:val="000000"/>
          <w:u w:val="single"/>
        </w:rPr>
        <w:t>_________</w:t>
      </w:r>
    </w:p>
    <w:p w14:paraId="2699CF4B" w14:textId="76DC1F5B"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5023F">
        <w:rPr>
          <w:rFonts w:ascii="Arial" w:hAnsi="Arial"/>
          <w:color w:val="000000"/>
          <w:u w:val="single"/>
        </w:rPr>
        <w:t>91,220,9</w:t>
      </w:r>
      <w:r w:rsidR="0067108D">
        <w:rPr>
          <w:rFonts w:ascii="Arial" w:hAnsi="Arial"/>
          <w:color w:val="000000"/>
          <w:u w:val="single"/>
        </w:rPr>
        <w:t>03</w:t>
      </w:r>
      <w:r>
        <w:rPr>
          <w:rFonts w:ascii="Arial" w:hAnsi="Arial"/>
          <w:color w:val="000000"/>
          <w:u w:val="single"/>
        </w:rPr>
        <w:tab/>
      </w:r>
      <w:r w:rsidR="00AF5DB1">
        <w:rPr>
          <w:rFonts w:ascii="Arial" w:hAnsi="Arial"/>
          <w:color w:val="000000"/>
          <w:u w:val="single"/>
        </w:rPr>
        <w:t>_________</w:t>
      </w:r>
    </w:p>
    <w:p w14:paraId="75B2316E" w14:textId="49E95FB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01CCB">
        <w:rPr>
          <w:rFonts w:ascii="Arial" w:hAnsi="Arial"/>
          <w:color w:val="000000"/>
          <w:u w:val="single"/>
        </w:rPr>
        <w:t>___</w:t>
      </w:r>
      <w:r w:rsidR="0067108D">
        <w:rPr>
          <w:rFonts w:ascii="Arial" w:hAnsi="Arial"/>
          <w:color w:val="000000"/>
          <w:u w:val="single"/>
        </w:rPr>
        <w:t xml:space="preserve">November </w:t>
      </w:r>
      <w:r w:rsidR="00B73058">
        <w:rPr>
          <w:rFonts w:ascii="Arial" w:hAnsi="Arial"/>
          <w:color w:val="000000"/>
          <w:u w:val="single"/>
        </w:rPr>
        <w:t>5</w:t>
      </w:r>
      <w:r w:rsidR="00AF5DB1">
        <w:rPr>
          <w:rFonts w:ascii="Arial" w:hAnsi="Arial"/>
          <w:color w:val="000000"/>
          <w:u w:val="single"/>
        </w:rPr>
        <w:t>, 2018</w:t>
      </w:r>
      <w:r>
        <w:rPr>
          <w:rFonts w:ascii="Arial" w:hAnsi="Arial"/>
          <w:color w:val="000000"/>
          <w:u w:val="single"/>
        </w:rPr>
        <w:tab/>
      </w:r>
      <w:r w:rsidR="00AF5DB1">
        <w:rPr>
          <w:rFonts w:ascii="Arial" w:hAnsi="Arial"/>
          <w:color w:val="000000"/>
          <w:u w:val="single"/>
        </w:rPr>
        <w:t>_________</w:t>
      </w:r>
    </w:p>
    <w:p w14:paraId="501F4A3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B6EE03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79BAB31"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A03462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149E242" w14:textId="77777777" w:rsidR="00504DA5"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r w:rsidR="00FE5838">
        <w:rPr>
          <w:rFonts w:ascii="Arial" w:hAnsi="Arial"/>
          <w:color w:val="000000"/>
        </w:rPr>
        <w:t xml:space="preserve"> </w:t>
      </w:r>
    </w:p>
    <w:p w14:paraId="64D208F2" w14:textId="79364033" w:rsidR="00640E94" w:rsidRDefault="00504DA5">
      <w:pPr>
        <w:pStyle w:val="BodyText"/>
        <w:numPr>
          <w:ilvl w:val="0"/>
          <w:numId w:val="26"/>
        </w:numPr>
        <w:tabs>
          <w:tab w:val="left" w:pos="1440"/>
          <w:tab w:val="left" w:pos="7920"/>
          <w:tab w:val="left" w:pos="9180"/>
        </w:tabs>
        <w:rPr>
          <w:rFonts w:ascii="Arial" w:hAnsi="Arial"/>
          <w:color w:val="000000"/>
        </w:rPr>
      </w:pPr>
      <w:r>
        <w:rPr>
          <w:rFonts w:ascii="Arial" w:hAnsi="Arial"/>
          <w:color w:val="000000"/>
        </w:rPr>
        <w:t>t</w:t>
      </w:r>
      <w:r w:rsidR="00640E94">
        <w:rPr>
          <w:rFonts w:ascii="Arial" w:hAnsi="Arial"/>
          <w:color w:val="000000"/>
        </w:rPr>
        <w:t>erms used and not defined in this form are defined or interpreted in Policy 1 – Interpretation and General Provisions.</w:t>
      </w:r>
    </w:p>
    <w:p w14:paraId="68AE126A" w14:textId="77777777" w:rsidR="00640E94" w:rsidRDefault="00640E94">
      <w:pPr>
        <w:pStyle w:val="List"/>
        <w:keepLines/>
        <w:spacing w:before="120"/>
        <w:ind w:left="0" w:firstLine="0"/>
        <w:rPr>
          <w:rFonts w:ascii="Arial" w:hAnsi="Arial"/>
          <w:b/>
        </w:rPr>
      </w:pPr>
      <w:r>
        <w:rPr>
          <w:rFonts w:ascii="Arial" w:hAnsi="Arial"/>
          <w:b/>
        </w:rPr>
        <w:t>Report on Business</w:t>
      </w:r>
    </w:p>
    <w:p w14:paraId="5D3175EE" w14:textId="07422034" w:rsidR="0002738A" w:rsidRDefault="00640E94" w:rsidP="008505A9">
      <w:pPr>
        <w:pStyle w:val="List"/>
        <w:numPr>
          <w:ilvl w:val="0"/>
          <w:numId w:val="28"/>
        </w:numPr>
        <w:spacing w:before="120"/>
        <w:jc w:val="both"/>
        <w:rPr>
          <w:rFonts w:ascii="Arial" w:hAnsi="Arial"/>
        </w:rPr>
      </w:pPr>
      <w:r w:rsidRPr="00FE5838">
        <w:rPr>
          <w:rFonts w:ascii="Arial" w:hAnsi="Arial"/>
        </w:rPr>
        <w:t>Provide a general overview and discussion of the development of the Issuer’s business and operations over the previous month.  Where the Issuer was inactive disclose this fact.</w:t>
      </w:r>
    </w:p>
    <w:p w14:paraId="0EDA1F7E" w14:textId="77777777" w:rsidR="00FE5838" w:rsidRPr="00FE5838" w:rsidRDefault="00FE5838" w:rsidP="00FE5838">
      <w:pPr>
        <w:pStyle w:val="List"/>
        <w:spacing w:before="120"/>
        <w:ind w:left="720" w:firstLine="0"/>
        <w:jc w:val="both"/>
        <w:rPr>
          <w:rFonts w:ascii="Arial" w:hAnsi="Arial"/>
        </w:rPr>
      </w:pPr>
    </w:p>
    <w:p w14:paraId="4D8612C9" w14:textId="37ABE8F6" w:rsidR="00977665" w:rsidRPr="00977665" w:rsidRDefault="00FE5838" w:rsidP="0069465C">
      <w:pPr>
        <w:pStyle w:val="textbox"/>
        <w:shd w:val="clear" w:color="auto" w:fill="FFFFFF"/>
        <w:spacing w:before="0" w:beforeAutospacing="0" w:after="120" w:afterAutospacing="0"/>
        <w:ind w:left="720"/>
        <w:rPr>
          <w:rFonts w:ascii="Arial" w:hAnsi="Arial" w:cs="Arial"/>
          <w:b/>
        </w:rPr>
      </w:pPr>
      <w:r w:rsidRPr="00977665">
        <w:rPr>
          <w:rFonts w:ascii="Arial" w:hAnsi="Arial" w:cs="Arial"/>
          <w:b/>
        </w:rPr>
        <w:t>The issuer is a cryptocurrency</w:t>
      </w:r>
      <w:r w:rsidR="00977665" w:rsidRPr="00977665">
        <w:rPr>
          <w:rFonts w:ascii="Arial" w:hAnsi="Arial" w:cs="Arial"/>
          <w:b/>
        </w:rPr>
        <w:t xml:space="preserve"> services and blockchain </w:t>
      </w:r>
      <w:r w:rsidRPr="00977665">
        <w:rPr>
          <w:rFonts w:ascii="Arial" w:hAnsi="Arial" w:cs="Arial"/>
          <w:b/>
        </w:rPr>
        <w:t>solutions company that</w:t>
      </w:r>
      <w:r w:rsidR="00977665" w:rsidRPr="00977665">
        <w:rPr>
          <w:rFonts w:ascii="Arial" w:hAnsi="Arial" w:cs="Arial"/>
          <w:b/>
        </w:rPr>
        <w:t xml:space="preserve"> </w:t>
      </w:r>
      <w:r w:rsidRPr="00977665">
        <w:rPr>
          <w:rFonts w:ascii="Arial" w:hAnsi="Arial" w:cs="Arial"/>
          <w:b/>
        </w:rPr>
        <w:t>owns 100% of 1Linx Ltd.; its application programming interface (API) platform</w:t>
      </w:r>
      <w:r w:rsidR="00977665" w:rsidRPr="00977665">
        <w:rPr>
          <w:rFonts w:ascii="Arial" w:hAnsi="Arial" w:cs="Arial"/>
          <w:b/>
        </w:rPr>
        <w:t xml:space="preserve"> </w:t>
      </w:r>
      <w:r w:rsidRPr="00977665">
        <w:rPr>
          <w:rFonts w:ascii="Arial" w:hAnsi="Arial" w:cs="Arial"/>
          <w:b/>
        </w:rPr>
        <w:t>provides know your client (KYC) and anti</w:t>
      </w:r>
      <w:r w:rsidR="00977665" w:rsidRPr="00977665">
        <w:rPr>
          <w:rFonts w:ascii="Arial" w:hAnsi="Arial" w:cs="Arial"/>
          <w:b/>
        </w:rPr>
        <w:t xml:space="preserve">-money laundering (AML) </w:t>
      </w:r>
      <w:r w:rsidR="00977665" w:rsidRPr="00977665">
        <w:rPr>
          <w:rFonts w:ascii="Arial" w:hAnsi="Arial" w:cs="Arial"/>
          <w:b/>
        </w:rPr>
        <w:lastRenderedPageBreak/>
        <w:t>services to blockchain and cryptocurrency service companies. The  issuer  continues  to  seek new  business  opportunities  in  its  primary  activities.</w:t>
      </w:r>
    </w:p>
    <w:p w14:paraId="24EE03A7"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4E9A0D9" w14:textId="07C834C5" w:rsidR="0069465C" w:rsidRPr="0069465C" w:rsidRDefault="0069465C" w:rsidP="0069465C">
      <w:pPr>
        <w:pStyle w:val="List"/>
        <w:spacing w:before="120"/>
        <w:ind w:left="720" w:firstLine="0"/>
        <w:jc w:val="both"/>
        <w:rPr>
          <w:rFonts w:ascii="Arial" w:hAnsi="Arial" w:cs="Arial"/>
          <w:b/>
        </w:rPr>
      </w:pPr>
      <w:r w:rsidRPr="0069465C">
        <w:rPr>
          <w:rFonts w:ascii="Arial" w:hAnsi="Arial" w:cs="Arial"/>
          <w:b/>
        </w:rPr>
        <w:t xml:space="preserve">Management has continued to focus on corporate governance and review of financial records as well as continued correspondence with the Canadian Securities Exchange (the “CSE”) during the month of </w:t>
      </w:r>
      <w:r w:rsidR="0092724B">
        <w:rPr>
          <w:rFonts w:ascii="Arial" w:hAnsi="Arial" w:cs="Arial"/>
          <w:b/>
        </w:rPr>
        <w:t>October</w:t>
      </w:r>
      <w:r w:rsidRPr="0069465C">
        <w:rPr>
          <w:rFonts w:ascii="Arial" w:hAnsi="Arial" w:cs="Arial"/>
          <w:b/>
        </w:rPr>
        <w:t>. As noted in previous monthly progress report</w:t>
      </w:r>
      <w:r w:rsidR="0092724B">
        <w:rPr>
          <w:rFonts w:ascii="Arial" w:hAnsi="Arial" w:cs="Arial"/>
          <w:b/>
        </w:rPr>
        <w:t>s</w:t>
      </w:r>
      <w:r w:rsidRPr="0069465C">
        <w:rPr>
          <w:rFonts w:ascii="Arial" w:hAnsi="Arial" w:cs="Arial"/>
          <w:b/>
        </w:rPr>
        <w:t>, trading of the Issuer’s stock was halted on June 28, 2018 by the CSE. The CSE has requested information relating to certain consulting agreements previously entered into by former management of the Issuer. The Issuer has continued to correspond with the CSE and is working on providing all information requested by the CSE, with the goal of reinstating trading in the Issuer’s securities. The Issuer has also been responding to enquiries from the British Columbia Securities Commission in respect of the above matters.</w:t>
      </w:r>
    </w:p>
    <w:p w14:paraId="08180BFC" w14:textId="5097DB98" w:rsidR="00640E94" w:rsidRDefault="00640E94" w:rsidP="0069465C">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CD04616" w14:textId="1C064D63" w:rsidR="00504DA5" w:rsidRPr="00504DA5" w:rsidRDefault="00504DA5" w:rsidP="00504DA5">
      <w:pPr>
        <w:pStyle w:val="List"/>
        <w:spacing w:before="120"/>
        <w:ind w:left="720" w:firstLine="0"/>
        <w:jc w:val="both"/>
        <w:rPr>
          <w:rFonts w:ascii="Arial" w:hAnsi="Arial"/>
          <w:b/>
        </w:rPr>
      </w:pPr>
      <w:r w:rsidRPr="00504DA5">
        <w:rPr>
          <w:rFonts w:ascii="Arial" w:hAnsi="Arial"/>
          <w:b/>
        </w:rPr>
        <w:t>None.</w:t>
      </w:r>
    </w:p>
    <w:p w14:paraId="49D0389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416F5E1" w14:textId="77777777" w:rsidR="00BA3723" w:rsidRPr="00C36AAF" w:rsidRDefault="00C36AAF" w:rsidP="00BA3723">
      <w:pPr>
        <w:pStyle w:val="List"/>
        <w:spacing w:before="120"/>
        <w:ind w:left="1800"/>
        <w:jc w:val="both"/>
        <w:rPr>
          <w:rFonts w:ascii="Arial" w:hAnsi="Arial"/>
          <w:b/>
        </w:rPr>
      </w:pPr>
      <w:r>
        <w:rPr>
          <w:rFonts w:ascii="Arial" w:hAnsi="Arial"/>
          <w:b/>
        </w:rPr>
        <w:t>None.</w:t>
      </w:r>
    </w:p>
    <w:p w14:paraId="0FE3A57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4F68D9" w14:textId="77777777" w:rsidR="00BA3723" w:rsidRPr="00C36AAF" w:rsidRDefault="00C36AAF" w:rsidP="00BA3723">
      <w:pPr>
        <w:pStyle w:val="List"/>
        <w:spacing w:before="120"/>
        <w:ind w:left="1800"/>
        <w:jc w:val="both"/>
        <w:rPr>
          <w:rFonts w:ascii="Arial" w:hAnsi="Arial"/>
          <w:b/>
        </w:rPr>
      </w:pPr>
      <w:r w:rsidRPr="00C36AAF">
        <w:rPr>
          <w:rFonts w:ascii="Arial" w:hAnsi="Arial"/>
          <w:b/>
        </w:rPr>
        <w:t>None.</w:t>
      </w:r>
    </w:p>
    <w:p w14:paraId="2076238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F3DAB96" w14:textId="77777777" w:rsidR="00BA3723" w:rsidRPr="00C36AAF" w:rsidRDefault="00BA3723" w:rsidP="00BA3723">
      <w:pPr>
        <w:pStyle w:val="List"/>
        <w:spacing w:before="120"/>
        <w:ind w:left="1800"/>
        <w:jc w:val="both"/>
        <w:rPr>
          <w:rFonts w:ascii="Arial" w:hAnsi="Arial"/>
          <w:b/>
        </w:rPr>
      </w:pPr>
      <w:r w:rsidRPr="00C36AAF">
        <w:rPr>
          <w:rFonts w:ascii="Arial" w:hAnsi="Arial"/>
          <w:b/>
        </w:rPr>
        <w:t>None.</w:t>
      </w:r>
    </w:p>
    <w:p w14:paraId="2BEC8684"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BA3723">
        <w:rPr>
          <w:rFonts w:ascii="Arial" w:hAnsi="Arial"/>
        </w:rPr>
        <w:t>de details of the relationship.</w:t>
      </w:r>
    </w:p>
    <w:p w14:paraId="2BF13485" w14:textId="77777777" w:rsidR="00BA3723" w:rsidRPr="00C36AAF" w:rsidRDefault="00BA3723" w:rsidP="00BA3723">
      <w:pPr>
        <w:pStyle w:val="List"/>
        <w:spacing w:before="120"/>
        <w:ind w:left="1800"/>
        <w:jc w:val="both"/>
        <w:rPr>
          <w:rFonts w:ascii="Arial" w:hAnsi="Arial"/>
          <w:b/>
        </w:rPr>
      </w:pPr>
      <w:r w:rsidRPr="00C36AAF">
        <w:rPr>
          <w:rFonts w:ascii="Arial" w:hAnsi="Arial"/>
          <w:b/>
        </w:rPr>
        <w:t>None.</w:t>
      </w:r>
    </w:p>
    <w:p w14:paraId="5F789F7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18B820F" w14:textId="77777777" w:rsidR="00BA3723" w:rsidRPr="00C36AAF" w:rsidRDefault="00BA3723" w:rsidP="00BA3723">
      <w:pPr>
        <w:pStyle w:val="List"/>
        <w:spacing w:before="120"/>
        <w:ind w:left="720" w:firstLine="0"/>
        <w:jc w:val="both"/>
        <w:rPr>
          <w:rFonts w:ascii="Arial" w:hAnsi="Arial"/>
          <w:b/>
        </w:rPr>
      </w:pPr>
      <w:r w:rsidRPr="00C36AAF">
        <w:rPr>
          <w:rFonts w:ascii="Arial" w:hAnsi="Arial"/>
          <w:b/>
        </w:rPr>
        <w:lastRenderedPageBreak/>
        <w:t>None.</w:t>
      </w:r>
    </w:p>
    <w:p w14:paraId="500958C2"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19EE61E" w14:textId="77777777" w:rsidR="00BA3723" w:rsidRPr="00C36AAF" w:rsidRDefault="00BA3723" w:rsidP="00BA3723">
      <w:pPr>
        <w:pStyle w:val="List"/>
        <w:spacing w:before="120"/>
        <w:ind w:left="720" w:firstLine="0"/>
        <w:jc w:val="both"/>
        <w:rPr>
          <w:rFonts w:ascii="Arial" w:hAnsi="Arial"/>
          <w:b/>
        </w:rPr>
      </w:pPr>
      <w:r w:rsidRPr="00C36AAF">
        <w:rPr>
          <w:rFonts w:ascii="Arial" w:hAnsi="Arial"/>
          <w:b/>
        </w:rPr>
        <w:t>None.</w:t>
      </w:r>
    </w:p>
    <w:p w14:paraId="17EEC5FF" w14:textId="662A87CB" w:rsidR="00640E94" w:rsidRDefault="00640E94" w:rsidP="00504DA5">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E2E8AD9" w14:textId="77777777" w:rsidR="00BA3723" w:rsidRPr="00C36AAF" w:rsidRDefault="00BA3723" w:rsidP="00BA3723">
      <w:pPr>
        <w:pStyle w:val="List"/>
        <w:spacing w:before="120"/>
        <w:ind w:left="720" w:firstLine="0"/>
        <w:jc w:val="both"/>
        <w:rPr>
          <w:rFonts w:ascii="Arial" w:hAnsi="Arial"/>
          <w:b/>
        </w:rPr>
      </w:pPr>
      <w:r w:rsidRPr="00C36AAF">
        <w:rPr>
          <w:rFonts w:ascii="Arial" w:hAnsi="Arial"/>
          <w:b/>
        </w:rPr>
        <w:t>None.</w:t>
      </w:r>
    </w:p>
    <w:p w14:paraId="1A917E0D"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A9D7CAE" w14:textId="77777777" w:rsidR="00BA3723" w:rsidRPr="00C36AAF" w:rsidRDefault="00BA3723" w:rsidP="00BA3723">
      <w:pPr>
        <w:pStyle w:val="List"/>
        <w:spacing w:before="120"/>
        <w:ind w:left="720" w:firstLine="0"/>
        <w:jc w:val="both"/>
        <w:rPr>
          <w:rFonts w:ascii="Arial" w:hAnsi="Arial"/>
          <w:b/>
        </w:rPr>
      </w:pPr>
      <w:r w:rsidRPr="00C36AAF">
        <w:rPr>
          <w:rFonts w:ascii="Arial" w:hAnsi="Arial"/>
          <w:b/>
        </w:rPr>
        <w:t>None.</w:t>
      </w:r>
    </w:p>
    <w:p w14:paraId="66C515B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1E027DD" w14:textId="77777777" w:rsidR="00BA3723" w:rsidRPr="00C36AAF" w:rsidRDefault="00BA3723" w:rsidP="00BA3723">
      <w:pPr>
        <w:pStyle w:val="List"/>
        <w:spacing w:before="120"/>
        <w:ind w:left="720" w:firstLine="0"/>
        <w:jc w:val="both"/>
        <w:rPr>
          <w:rFonts w:ascii="Arial" w:hAnsi="Arial"/>
          <w:b/>
        </w:rPr>
      </w:pPr>
      <w:r w:rsidRPr="00C36AAF">
        <w:rPr>
          <w:rFonts w:ascii="Arial" w:hAnsi="Arial"/>
          <w:b/>
        </w:rPr>
        <w:t>None.</w:t>
      </w:r>
    </w:p>
    <w:p w14:paraId="7F661D34"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7B3E84" w14:textId="77777777" w:rsidR="00BA3723" w:rsidRPr="00824A69" w:rsidRDefault="00BA3723" w:rsidP="00BA3723">
      <w:pPr>
        <w:pStyle w:val="List"/>
        <w:spacing w:before="120"/>
        <w:ind w:left="720" w:firstLine="0"/>
        <w:jc w:val="both"/>
        <w:rPr>
          <w:rFonts w:ascii="Arial" w:hAnsi="Arial"/>
          <w:b/>
        </w:rPr>
      </w:pPr>
      <w:r w:rsidRPr="00824A69">
        <w:rPr>
          <w:rFonts w:ascii="Arial" w:hAnsi="Arial"/>
          <w:b/>
        </w:rPr>
        <w:t>None.</w:t>
      </w:r>
    </w:p>
    <w:p w14:paraId="121A13B7"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D730B15" w14:textId="77777777" w:rsidR="00BA3723" w:rsidRPr="00C36AAF" w:rsidRDefault="00BA3723" w:rsidP="00BA3723">
      <w:pPr>
        <w:pStyle w:val="List"/>
        <w:spacing w:before="120"/>
        <w:ind w:left="1800"/>
        <w:jc w:val="both"/>
        <w:rPr>
          <w:rFonts w:ascii="Arial" w:hAnsi="Arial"/>
          <w:b/>
        </w:rPr>
      </w:pPr>
      <w:r w:rsidRPr="00C36AAF">
        <w:rPr>
          <w:rFonts w:ascii="Arial" w:hAnsi="Arial"/>
          <w:b/>
        </w:rPr>
        <w:t>None.</w:t>
      </w:r>
    </w:p>
    <w:p w14:paraId="117CCF91"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2ABA788F" w14:textId="77777777" w:rsidTr="00626A35">
        <w:tc>
          <w:tcPr>
            <w:tcW w:w="2394" w:type="dxa"/>
          </w:tcPr>
          <w:p w14:paraId="7C33A43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430018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0B7D51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776918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7D339921" w14:textId="77777777" w:rsidTr="00626A35">
        <w:tc>
          <w:tcPr>
            <w:tcW w:w="2394" w:type="dxa"/>
          </w:tcPr>
          <w:p w14:paraId="4EAFD17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A0412C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950635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C0093D1" w14:textId="77777777" w:rsidR="00640E94" w:rsidRDefault="00640E94">
            <w:pPr>
              <w:pStyle w:val="List"/>
              <w:tabs>
                <w:tab w:val="left" w:pos="360"/>
              </w:tabs>
              <w:spacing w:before="0" w:line="280" w:lineRule="exact"/>
              <w:ind w:left="0" w:firstLine="0"/>
              <w:jc w:val="both"/>
              <w:rPr>
                <w:rFonts w:ascii="Arial" w:hAnsi="Arial"/>
              </w:rPr>
            </w:pPr>
          </w:p>
        </w:tc>
      </w:tr>
    </w:tbl>
    <w:p w14:paraId="505C621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32D223F"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5877C56" w14:textId="77777777" w:rsidR="00162C15" w:rsidRPr="00C36AAF" w:rsidRDefault="00162C15" w:rsidP="00162C15">
      <w:pPr>
        <w:pStyle w:val="List"/>
        <w:keepNext/>
        <w:keepLines/>
        <w:spacing w:before="120"/>
        <w:ind w:left="720" w:firstLine="0"/>
        <w:jc w:val="both"/>
        <w:rPr>
          <w:rFonts w:ascii="Arial" w:hAnsi="Arial"/>
          <w:b/>
        </w:rPr>
      </w:pPr>
      <w:r w:rsidRPr="00C36AAF">
        <w:rPr>
          <w:rFonts w:ascii="Arial" w:hAnsi="Arial"/>
          <w:b/>
        </w:rPr>
        <w:t>None.</w:t>
      </w:r>
    </w:p>
    <w:p w14:paraId="69B9EAF3"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F4A88EA" w14:textId="686CB4D6" w:rsidR="00504DA5" w:rsidRDefault="0067108D" w:rsidP="00504DA5">
      <w:pPr>
        <w:pStyle w:val="List"/>
        <w:keepNext/>
        <w:keepLines/>
        <w:spacing w:before="120"/>
        <w:ind w:left="720" w:firstLine="0"/>
        <w:jc w:val="both"/>
        <w:rPr>
          <w:rFonts w:ascii="Arial" w:hAnsi="Arial"/>
          <w:b/>
        </w:rPr>
      </w:pPr>
      <w:r>
        <w:rPr>
          <w:rFonts w:ascii="Arial" w:hAnsi="Arial"/>
          <w:b/>
        </w:rPr>
        <w:t>None.</w:t>
      </w:r>
    </w:p>
    <w:p w14:paraId="29985E3E" w14:textId="706A5F78" w:rsidR="00640E94" w:rsidRDefault="00504DA5" w:rsidP="00504DA5">
      <w:pPr>
        <w:pStyle w:val="List"/>
        <w:keepNext/>
        <w:keepLines/>
        <w:spacing w:before="120"/>
        <w:ind w:left="720" w:hanging="720"/>
        <w:jc w:val="both"/>
        <w:rPr>
          <w:rFonts w:ascii="Arial" w:hAnsi="Arial"/>
        </w:rPr>
      </w:pPr>
      <w:r w:rsidRPr="00504DA5">
        <w:rPr>
          <w:rFonts w:ascii="Arial" w:hAnsi="Arial"/>
        </w:rPr>
        <w:t>1</w:t>
      </w:r>
      <w:r w:rsidR="00274171">
        <w:rPr>
          <w:rFonts w:ascii="Arial" w:hAnsi="Arial"/>
        </w:rPr>
        <w:t>7</w:t>
      </w:r>
      <w:r w:rsidR="00274171">
        <w:rPr>
          <w:rFonts w:ascii="Arial" w:hAnsi="Arial"/>
        </w:rPr>
        <w:tab/>
      </w:r>
      <w:r w:rsidR="00640E94">
        <w:rPr>
          <w:rFonts w:ascii="Arial" w:hAnsi="Arial"/>
        </w:rPr>
        <w:t>Discuss any trends which are likely to impact the Issuer including trends in the Issuer’s market(s) or political/regulatory trends.</w:t>
      </w:r>
    </w:p>
    <w:p w14:paraId="55642918" w14:textId="77777777" w:rsidR="00162C15" w:rsidRPr="00C36AAF" w:rsidRDefault="00162C15" w:rsidP="00162C15">
      <w:pPr>
        <w:pStyle w:val="List"/>
        <w:spacing w:before="120"/>
        <w:ind w:left="720" w:firstLine="0"/>
        <w:jc w:val="both"/>
        <w:rPr>
          <w:rFonts w:ascii="Arial" w:hAnsi="Arial"/>
          <w:b/>
        </w:rPr>
      </w:pPr>
      <w:r w:rsidRPr="00C36AAF">
        <w:rPr>
          <w:rFonts w:ascii="Arial" w:hAnsi="Arial"/>
          <w:b/>
        </w:rPr>
        <w:t>None.</w:t>
      </w:r>
    </w:p>
    <w:p w14:paraId="7E895CE0" w14:textId="77777777" w:rsidR="00640E94" w:rsidRDefault="00640E94" w:rsidP="00CC30E7">
      <w:pPr>
        <w:pStyle w:val="List"/>
        <w:keepNext/>
        <w:spacing w:before="120"/>
        <w:ind w:left="0" w:firstLine="0"/>
        <w:jc w:val="center"/>
        <w:rPr>
          <w:rFonts w:ascii="Arial" w:hAnsi="Arial"/>
          <w:b/>
        </w:rPr>
      </w:pPr>
      <w:r>
        <w:rPr>
          <w:rFonts w:ascii="Arial" w:hAnsi="Arial"/>
          <w:b/>
        </w:rPr>
        <w:br w:type="page"/>
      </w:r>
      <w:r>
        <w:rPr>
          <w:rFonts w:ascii="Arial" w:hAnsi="Arial"/>
          <w:b/>
        </w:rPr>
        <w:lastRenderedPageBreak/>
        <w:t>Certificate Of Compliance</w:t>
      </w:r>
    </w:p>
    <w:p w14:paraId="76BCF170" w14:textId="77777777" w:rsidR="00640E94" w:rsidRDefault="00640E94">
      <w:pPr>
        <w:pStyle w:val="BodyText"/>
        <w:keepNext/>
        <w:rPr>
          <w:rFonts w:ascii="Arial" w:hAnsi="Arial"/>
        </w:rPr>
      </w:pPr>
      <w:r>
        <w:rPr>
          <w:rFonts w:ascii="Arial" w:hAnsi="Arial"/>
        </w:rPr>
        <w:t>The undersigned hereby certifies that:</w:t>
      </w:r>
    </w:p>
    <w:p w14:paraId="49873D7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44DC7BC"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6F458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6F050D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C5A37C0" w14:textId="6C81BDD7" w:rsidR="00640E94" w:rsidRDefault="00640E94" w:rsidP="00CC30E7">
      <w:pPr>
        <w:pStyle w:val="BodyText"/>
        <w:tabs>
          <w:tab w:val="left" w:pos="1605"/>
          <w:tab w:val="left" w:pos="4680"/>
          <w:tab w:val="left" w:pos="7200"/>
        </w:tabs>
        <w:jc w:val="both"/>
        <w:rPr>
          <w:rFonts w:ascii="Arial" w:hAnsi="Arial"/>
        </w:rPr>
      </w:pPr>
      <w:r>
        <w:rPr>
          <w:rFonts w:ascii="Arial" w:hAnsi="Arial"/>
        </w:rPr>
        <w:t xml:space="preserve">Dated </w:t>
      </w:r>
      <w:r>
        <w:rPr>
          <w:rFonts w:ascii="Arial" w:hAnsi="Arial"/>
          <w:u w:val="single"/>
        </w:rPr>
        <w:tab/>
      </w:r>
      <w:r w:rsidR="0067108D">
        <w:rPr>
          <w:rFonts w:ascii="Arial" w:hAnsi="Arial"/>
          <w:u w:val="single"/>
        </w:rPr>
        <w:t xml:space="preserve">November </w:t>
      </w:r>
      <w:r w:rsidR="00AD35DA">
        <w:rPr>
          <w:rFonts w:ascii="Arial" w:hAnsi="Arial"/>
          <w:u w:val="single"/>
        </w:rPr>
        <w:t>5</w:t>
      </w:r>
      <w:r w:rsidR="00162C15">
        <w:rPr>
          <w:rFonts w:ascii="Arial" w:hAnsi="Arial"/>
          <w:u w:val="single"/>
        </w:rPr>
        <w:t>, 2018</w:t>
      </w:r>
      <w:r w:rsidR="00162C15">
        <w:rPr>
          <w:rFonts w:ascii="Arial" w:hAnsi="Arial"/>
          <w:u w:val="single"/>
        </w:rPr>
        <w:tab/>
      </w:r>
      <w:r>
        <w:rPr>
          <w:rFonts w:ascii="Arial" w:hAnsi="Arial"/>
        </w:rPr>
        <w:t>.</w:t>
      </w:r>
    </w:p>
    <w:p w14:paraId="6C198CF3" w14:textId="6F4A5AA6" w:rsidR="00640E94" w:rsidRDefault="00640E94">
      <w:pPr>
        <w:pStyle w:val="List"/>
        <w:tabs>
          <w:tab w:val="left" w:pos="9180"/>
        </w:tabs>
        <w:ind w:left="5760" w:hanging="5760"/>
        <w:rPr>
          <w:rFonts w:ascii="Arial" w:hAnsi="Arial"/>
        </w:rPr>
      </w:pPr>
      <w:r>
        <w:rPr>
          <w:rFonts w:ascii="Arial" w:hAnsi="Arial"/>
        </w:rPr>
        <w:tab/>
      </w:r>
      <w:r w:rsidR="00E778D4">
        <w:rPr>
          <w:rFonts w:ascii="Arial" w:hAnsi="Arial"/>
          <w:u w:val="single"/>
        </w:rPr>
        <w:t>Kent McParland</w:t>
      </w:r>
      <w:r>
        <w:rPr>
          <w:rFonts w:ascii="Arial" w:hAnsi="Arial"/>
          <w:u w:val="single"/>
        </w:rPr>
        <w:tab/>
      </w:r>
      <w:r>
        <w:rPr>
          <w:rFonts w:ascii="Arial" w:hAnsi="Arial"/>
          <w:u w:val="single"/>
        </w:rPr>
        <w:br/>
      </w:r>
      <w:r>
        <w:rPr>
          <w:rFonts w:ascii="Arial" w:hAnsi="Arial"/>
        </w:rPr>
        <w:t>Name of Director or Senior Officer</w:t>
      </w:r>
    </w:p>
    <w:p w14:paraId="2B413C11" w14:textId="6CF9A78A" w:rsidR="00640E94" w:rsidRDefault="00640E94">
      <w:pPr>
        <w:pStyle w:val="List"/>
        <w:tabs>
          <w:tab w:val="left" w:pos="9180"/>
          <w:tab w:val="left" w:pos="9360"/>
        </w:tabs>
        <w:ind w:left="5760" w:hanging="5760"/>
        <w:rPr>
          <w:rFonts w:ascii="Arial" w:hAnsi="Arial"/>
        </w:rPr>
      </w:pPr>
      <w:r>
        <w:rPr>
          <w:rFonts w:ascii="Arial" w:hAnsi="Arial"/>
        </w:rPr>
        <w:tab/>
      </w:r>
      <w:bookmarkStart w:id="5" w:name="_GoBack"/>
      <w:r w:rsidR="00E83FA0" w:rsidRPr="00E83FA0">
        <w:rPr>
          <w:rFonts w:ascii="Arial" w:hAnsi="Arial"/>
          <w:i/>
          <w:u w:val="single"/>
        </w:rPr>
        <w:t>“Kent McParland”</w:t>
      </w:r>
      <w:bookmarkEnd w:id="5"/>
      <w:r>
        <w:rPr>
          <w:rFonts w:ascii="Arial" w:hAnsi="Arial"/>
          <w:u w:val="single"/>
        </w:rPr>
        <w:tab/>
      </w:r>
      <w:r>
        <w:rPr>
          <w:rFonts w:ascii="Arial" w:hAnsi="Arial"/>
        </w:rPr>
        <w:br/>
        <w:t>Signature</w:t>
      </w:r>
    </w:p>
    <w:p w14:paraId="00AA2056" w14:textId="02B05A15" w:rsidR="00640E94" w:rsidRDefault="00162C15">
      <w:pPr>
        <w:pStyle w:val="BodyText"/>
        <w:tabs>
          <w:tab w:val="left" w:pos="9180"/>
        </w:tabs>
        <w:spacing w:before="0"/>
        <w:ind w:left="5760"/>
        <w:rPr>
          <w:rFonts w:ascii="Arial" w:hAnsi="Arial"/>
        </w:rPr>
      </w:pPr>
      <w:r>
        <w:rPr>
          <w:rFonts w:ascii="Arial" w:hAnsi="Arial"/>
          <w:u w:val="single"/>
        </w:rPr>
        <w:t>C</w:t>
      </w:r>
      <w:r w:rsidR="00E778D4">
        <w:rPr>
          <w:rFonts w:ascii="Arial" w:hAnsi="Arial"/>
          <w:u w:val="single"/>
        </w:rPr>
        <w:t>F</w:t>
      </w:r>
      <w:r>
        <w:rPr>
          <w:rFonts w:ascii="Arial" w:hAnsi="Arial"/>
          <w:u w:val="single"/>
        </w:rPr>
        <w:t>O</w:t>
      </w:r>
      <w:r w:rsidR="00640E94">
        <w:rPr>
          <w:rFonts w:ascii="Arial" w:hAnsi="Arial"/>
          <w:u w:val="single"/>
        </w:rPr>
        <w:tab/>
      </w:r>
      <w:r w:rsidR="00640E94">
        <w:rPr>
          <w:rFonts w:ascii="Arial" w:hAnsi="Arial"/>
        </w:rPr>
        <w:br/>
        <w:t>Official Capacity</w:t>
      </w:r>
      <w:bookmarkEnd w:id="4"/>
    </w:p>
    <w:p w14:paraId="19A733A6"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653"/>
      </w:tblGrid>
      <w:tr w:rsidR="00640E94" w14:paraId="5ADA4603" w14:textId="77777777" w:rsidTr="00E778D4">
        <w:tc>
          <w:tcPr>
            <w:tcW w:w="4878" w:type="dxa"/>
            <w:tcBorders>
              <w:top w:val="single" w:sz="18" w:space="0" w:color="auto"/>
              <w:bottom w:val="nil"/>
              <w:right w:val="single" w:sz="18" w:space="0" w:color="auto"/>
            </w:tcBorders>
          </w:tcPr>
          <w:p w14:paraId="3E7527D2" w14:textId="77777777" w:rsidR="00640E94" w:rsidRDefault="00640E94">
            <w:pPr>
              <w:pStyle w:val="BodyText"/>
              <w:spacing w:before="0"/>
              <w:rPr>
                <w:rFonts w:ascii="Arial" w:hAnsi="Arial"/>
                <w:b/>
                <w:i/>
              </w:rPr>
            </w:pPr>
            <w:r>
              <w:rPr>
                <w:rFonts w:ascii="Arial" w:hAnsi="Arial"/>
                <w:b/>
                <w:i/>
              </w:rPr>
              <w:t>Issuer Details</w:t>
            </w:r>
          </w:p>
          <w:p w14:paraId="2F857154" w14:textId="77777777" w:rsidR="00640E94" w:rsidRDefault="00640E94">
            <w:pPr>
              <w:pStyle w:val="BodyText"/>
              <w:spacing w:before="0"/>
              <w:rPr>
                <w:rFonts w:ascii="Arial" w:hAnsi="Arial"/>
              </w:rPr>
            </w:pPr>
            <w:r>
              <w:rPr>
                <w:rFonts w:ascii="Arial" w:hAnsi="Arial"/>
              </w:rPr>
              <w:t>Name of Issuer</w:t>
            </w:r>
          </w:p>
          <w:p w14:paraId="2D5970FE" w14:textId="77777777" w:rsidR="00640E94" w:rsidRDefault="00800178">
            <w:pPr>
              <w:pStyle w:val="BodyText"/>
              <w:rPr>
                <w:rFonts w:ascii="Arial" w:hAnsi="Arial"/>
              </w:rPr>
            </w:pPr>
            <w:r>
              <w:rPr>
                <w:rFonts w:ascii="Arial" w:hAnsi="Arial"/>
              </w:rPr>
              <w:t>Cryptobloc Technologies Corp.</w:t>
            </w:r>
          </w:p>
        </w:tc>
        <w:tc>
          <w:tcPr>
            <w:tcW w:w="2045" w:type="dxa"/>
            <w:tcBorders>
              <w:top w:val="single" w:sz="18" w:space="0" w:color="auto"/>
              <w:left w:val="single" w:sz="18" w:space="0" w:color="auto"/>
              <w:bottom w:val="nil"/>
              <w:right w:val="single" w:sz="18" w:space="0" w:color="auto"/>
            </w:tcBorders>
          </w:tcPr>
          <w:p w14:paraId="5B509311" w14:textId="77777777" w:rsidR="00640E94" w:rsidRDefault="00640E94">
            <w:pPr>
              <w:pStyle w:val="BodyText"/>
              <w:spacing w:before="0"/>
              <w:rPr>
                <w:rFonts w:ascii="Arial" w:hAnsi="Arial"/>
              </w:rPr>
            </w:pPr>
            <w:r>
              <w:rPr>
                <w:rFonts w:ascii="Arial" w:hAnsi="Arial"/>
              </w:rPr>
              <w:t>For  Month End</w:t>
            </w:r>
          </w:p>
          <w:p w14:paraId="3D26E85D" w14:textId="77777777" w:rsidR="00A01CCB" w:rsidRDefault="00A01CCB">
            <w:pPr>
              <w:pStyle w:val="BodyText"/>
              <w:spacing w:before="0"/>
              <w:rPr>
                <w:rFonts w:ascii="Arial" w:hAnsi="Arial"/>
              </w:rPr>
            </w:pPr>
          </w:p>
          <w:p w14:paraId="18AD14EC" w14:textId="6C536E23" w:rsidR="00A01CCB" w:rsidRDefault="0092724B">
            <w:pPr>
              <w:pStyle w:val="BodyText"/>
              <w:spacing w:before="0"/>
              <w:rPr>
                <w:rFonts w:ascii="Arial" w:hAnsi="Arial"/>
              </w:rPr>
            </w:pPr>
            <w:r>
              <w:rPr>
                <w:rFonts w:ascii="Arial" w:hAnsi="Arial"/>
              </w:rPr>
              <w:t>October</w:t>
            </w:r>
            <w:r w:rsidR="00E778D4">
              <w:rPr>
                <w:rFonts w:ascii="Arial" w:hAnsi="Arial"/>
              </w:rPr>
              <w:t xml:space="preserve"> </w:t>
            </w:r>
            <w:r w:rsidR="00A01CCB">
              <w:rPr>
                <w:rFonts w:ascii="Arial" w:hAnsi="Arial"/>
              </w:rPr>
              <w:t>2018</w:t>
            </w:r>
          </w:p>
        </w:tc>
        <w:tc>
          <w:tcPr>
            <w:tcW w:w="2653" w:type="dxa"/>
            <w:tcBorders>
              <w:top w:val="single" w:sz="18" w:space="0" w:color="auto"/>
              <w:left w:val="single" w:sz="18" w:space="0" w:color="auto"/>
              <w:bottom w:val="nil"/>
            </w:tcBorders>
          </w:tcPr>
          <w:p w14:paraId="4308731B" w14:textId="77777777" w:rsidR="00640E94" w:rsidRDefault="00640E94">
            <w:pPr>
              <w:pStyle w:val="BodyText"/>
              <w:spacing w:before="0"/>
              <w:rPr>
                <w:rFonts w:ascii="Arial" w:hAnsi="Arial"/>
              </w:rPr>
            </w:pPr>
            <w:r>
              <w:rPr>
                <w:rFonts w:ascii="Arial" w:hAnsi="Arial"/>
              </w:rPr>
              <w:t>Date of Report</w:t>
            </w:r>
          </w:p>
          <w:p w14:paraId="3634B6B0" w14:textId="77777777" w:rsidR="00640E94" w:rsidRDefault="00640E94">
            <w:pPr>
              <w:pStyle w:val="BodyText"/>
              <w:spacing w:before="0"/>
              <w:rPr>
                <w:rFonts w:ascii="Arial" w:hAnsi="Arial"/>
              </w:rPr>
            </w:pPr>
            <w:r>
              <w:rPr>
                <w:rFonts w:ascii="Arial" w:hAnsi="Arial"/>
              </w:rPr>
              <w:t>YY/MM/D</w:t>
            </w:r>
          </w:p>
          <w:p w14:paraId="1F515CA6" w14:textId="77777777" w:rsidR="00A01CCB" w:rsidRDefault="00A01CCB">
            <w:pPr>
              <w:pStyle w:val="BodyText"/>
              <w:spacing w:before="0"/>
              <w:rPr>
                <w:rFonts w:ascii="Arial" w:hAnsi="Arial"/>
              </w:rPr>
            </w:pPr>
          </w:p>
          <w:p w14:paraId="0F5C1690" w14:textId="2E730311" w:rsidR="00A01CCB" w:rsidRDefault="00A01CCB">
            <w:pPr>
              <w:pStyle w:val="BodyText"/>
              <w:spacing w:before="0"/>
              <w:rPr>
                <w:rFonts w:ascii="Arial" w:hAnsi="Arial"/>
              </w:rPr>
            </w:pPr>
            <w:r>
              <w:rPr>
                <w:rFonts w:ascii="Arial" w:hAnsi="Arial"/>
              </w:rPr>
              <w:t>2018/</w:t>
            </w:r>
            <w:r w:rsidR="0067108D">
              <w:rPr>
                <w:rFonts w:ascii="Arial" w:hAnsi="Arial"/>
              </w:rPr>
              <w:t>11/0</w:t>
            </w:r>
            <w:r w:rsidR="00AD35DA">
              <w:rPr>
                <w:rFonts w:ascii="Arial" w:hAnsi="Arial"/>
              </w:rPr>
              <w:t>5</w:t>
            </w:r>
          </w:p>
        </w:tc>
      </w:tr>
      <w:tr w:rsidR="00640E94" w14:paraId="40BE2BB9" w14:textId="77777777" w:rsidTr="00E778D4">
        <w:trPr>
          <w:cantSplit/>
        </w:trPr>
        <w:tc>
          <w:tcPr>
            <w:tcW w:w="9576" w:type="dxa"/>
            <w:gridSpan w:val="3"/>
            <w:tcBorders>
              <w:top w:val="single" w:sz="18" w:space="0" w:color="auto"/>
              <w:bottom w:val="single" w:sz="18" w:space="0" w:color="auto"/>
            </w:tcBorders>
          </w:tcPr>
          <w:p w14:paraId="02BCC7AC" w14:textId="77777777" w:rsidR="00640E94" w:rsidRDefault="00640E94">
            <w:pPr>
              <w:pStyle w:val="BodyText"/>
              <w:spacing w:before="0"/>
              <w:rPr>
                <w:rFonts w:ascii="Arial" w:hAnsi="Arial"/>
              </w:rPr>
            </w:pPr>
            <w:r>
              <w:rPr>
                <w:rFonts w:ascii="Arial" w:hAnsi="Arial"/>
              </w:rPr>
              <w:t>Issuer Address</w:t>
            </w:r>
          </w:p>
          <w:p w14:paraId="1F44B826" w14:textId="77777777" w:rsidR="00640E94" w:rsidRDefault="00640E94">
            <w:pPr>
              <w:pStyle w:val="BodyText"/>
              <w:spacing w:before="0"/>
              <w:rPr>
                <w:rFonts w:ascii="Arial" w:hAnsi="Arial"/>
              </w:rPr>
            </w:pPr>
          </w:p>
          <w:p w14:paraId="2A595928" w14:textId="77777777" w:rsidR="00640E94" w:rsidRDefault="003F3AA1">
            <w:pPr>
              <w:pStyle w:val="BodyText"/>
              <w:spacing w:before="0"/>
              <w:rPr>
                <w:rFonts w:ascii="Arial" w:hAnsi="Arial"/>
              </w:rPr>
            </w:pPr>
            <w:r>
              <w:rPr>
                <w:rFonts w:ascii="Arial" w:hAnsi="Arial"/>
              </w:rPr>
              <w:t>1200 – 625 Howe Street</w:t>
            </w:r>
          </w:p>
        </w:tc>
      </w:tr>
      <w:tr w:rsidR="00640E94" w14:paraId="425C519B" w14:textId="77777777" w:rsidTr="00E778D4">
        <w:tc>
          <w:tcPr>
            <w:tcW w:w="4878" w:type="dxa"/>
            <w:tcBorders>
              <w:top w:val="single" w:sz="18" w:space="0" w:color="auto"/>
              <w:bottom w:val="single" w:sz="18" w:space="0" w:color="auto"/>
              <w:right w:val="single" w:sz="18" w:space="0" w:color="auto"/>
            </w:tcBorders>
          </w:tcPr>
          <w:p w14:paraId="5AA02A07" w14:textId="77777777" w:rsidR="00640E94" w:rsidRDefault="00640E94">
            <w:pPr>
              <w:pStyle w:val="BodyText"/>
              <w:spacing w:before="0"/>
              <w:rPr>
                <w:rFonts w:ascii="Arial" w:hAnsi="Arial"/>
              </w:rPr>
            </w:pPr>
            <w:r>
              <w:rPr>
                <w:rFonts w:ascii="Arial" w:hAnsi="Arial"/>
              </w:rPr>
              <w:t>City/Province/Postal Code</w:t>
            </w:r>
          </w:p>
          <w:p w14:paraId="4D7935DE" w14:textId="77777777" w:rsidR="00640E94" w:rsidRDefault="00640E94">
            <w:pPr>
              <w:pStyle w:val="BodyText"/>
              <w:spacing w:before="0"/>
              <w:rPr>
                <w:rFonts w:ascii="Arial" w:hAnsi="Arial"/>
              </w:rPr>
            </w:pPr>
          </w:p>
          <w:p w14:paraId="3E1471FF" w14:textId="77777777" w:rsidR="00640E94" w:rsidRDefault="003F3AA1">
            <w:pPr>
              <w:pStyle w:val="BodyText"/>
              <w:spacing w:before="0"/>
              <w:rPr>
                <w:rFonts w:ascii="Arial" w:hAnsi="Arial"/>
              </w:rPr>
            </w:pPr>
            <w:r>
              <w:rPr>
                <w:rFonts w:ascii="Arial" w:hAnsi="Arial"/>
              </w:rPr>
              <w:t>Vancouver, BC V6C 2T6</w:t>
            </w:r>
          </w:p>
        </w:tc>
        <w:tc>
          <w:tcPr>
            <w:tcW w:w="2045" w:type="dxa"/>
            <w:tcBorders>
              <w:top w:val="single" w:sz="18" w:space="0" w:color="auto"/>
              <w:left w:val="single" w:sz="18" w:space="0" w:color="auto"/>
              <w:bottom w:val="single" w:sz="18" w:space="0" w:color="auto"/>
              <w:right w:val="single" w:sz="18" w:space="0" w:color="auto"/>
            </w:tcBorders>
          </w:tcPr>
          <w:p w14:paraId="31661024" w14:textId="77777777" w:rsidR="00640E94" w:rsidRDefault="00640E94">
            <w:pPr>
              <w:pStyle w:val="BodyText"/>
              <w:spacing w:before="0"/>
              <w:rPr>
                <w:rFonts w:ascii="Arial" w:hAnsi="Arial"/>
              </w:rPr>
            </w:pPr>
            <w:r>
              <w:rPr>
                <w:rFonts w:ascii="Arial" w:hAnsi="Arial"/>
              </w:rPr>
              <w:t>Issuer Fax No.</w:t>
            </w:r>
          </w:p>
          <w:p w14:paraId="3385FA03" w14:textId="77777777" w:rsidR="00640E94" w:rsidRDefault="00640E94">
            <w:pPr>
              <w:pStyle w:val="BodyText"/>
              <w:spacing w:before="0"/>
              <w:rPr>
                <w:rFonts w:ascii="Arial" w:hAnsi="Arial"/>
              </w:rPr>
            </w:pPr>
          </w:p>
        </w:tc>
        <w:tc>
          <w:tcPr>
            <w:tcW w:w="2653" w:type="dxa"/>
            <w:tcBorders>
              <w:top w:val="single" w:sz="18" w:space="0" w:color="auto"/>
              <w:left w:val="single" w:sz="18" w:space="0" w:color="auto"/>
              <w:bottom w:val="single" w:sz="18" w:space="0" w:color="auto"/>
            </w:tcBorders>
          </w:tcPr>
          <w:p w14:paraId="35D52320" w14:textId="77777777" w:rsidR="00640E94" w:rsidRDefault="00640E94">
            <w:pPr>
              <w:pStyle w:val="BodyText"/>
              <w:spacing w:before="0"/>
              <w:rPr>
                <w:rFonts w:ascii="Arial" w:hAnsi="Arial"/>
              </w:rPr>
            </w:pPr>
            <w:r>
              <w:rPr>
                <w:rFonts w:ascii="Arial" w:hAnsi="Arial"/>
              </w:rPr>
              <w:t>Issuer Telephone No.</w:t>
            </w:r>
          </w:p>
          <w:p w14:paraId="4CB15AE4" w14:textId="77777777" w:rsidR="00640E94" w:rsidRDefault="003F3AA1" w:rsidP="003F3AA1">
            <w:pPr>
              <w:pStyle w:val="BodyText"/>
              <w:spacing w:before="0"/>
              <w:rPr>
                <w:rFonts w:ascii="Arial" w:hAnsi="Arial"/>
              </w:rPr>
            </w:pPr>
            <w:r>
              <w:rPr>
                <w:rFonts w:ascii="Arial" w:hAnsi="Arial"/>
              </w:rPr>
              <w:t xml:space="preserve"> </w:t>
            </w:r>
          </w:p>
          <w:p w14:paraId="4AF8B59E" w14:textId="77777777" w:rsidR="003F3AA1" w:rsidRDefault="00AA0AF0" w:rsidP="003F3AA1">
            <w:pPr>
              <w:pStyle w:val="BodyText"/>
              <w:spacing w:before="0"/>
              <w:rPr>
                <w:rFonts w:ascii="Arial" w:hAnsi="Arial"/>
              </w:rPr>
            </w:pPr>
            <w:r>
              <w:rPr>
                <w:rFonts w:ascii="Arial" w:hAnsi="Arial"/>
              </w:rPr>
              <w:t>1-833-669-2797</w:t>
            </w:r>
          </w:p>
        </w:tc>
      </w:tr>
      <w:tr w:rsidR="00640E94" w14:paraId="3956D9A4" w14:textId="77777777" w:rsidTr="00E778D4">
        <w:tc>
          <w:tcPr>
            <w:tcW w:w="4878" w:type="dxa"/>
            <w:tcBorders>
              <w:top w:val="single" w:sz="18" w:space="0" w:color="auto"/>
              <w:bottom w:val="single" w:sz="18" w:space="0" w:color="auto"/>
              <w:right w:val="single" w:sz="18" w:space="0" w:color="auto"/>
            </w:tcBorders>
          </w:tcPr>
          <w:p w14:paraId="6AB36DAA" w14:textId="77777777" w:rsidR="00640E94" w:rsidRDefault="00640E94">
            <w:pPr>
              <w:pStyle w:val="BodyText"/>
              <w:spacing w:before="0"/>
              <w:rPr>
                <w:rFonts w:ascii="Arial" w:hAnsi="Arial"/>
              </w:rPr>
            </w:pPr>
            <w:r>
              <w:rPr>
                <w:rFonts w:ascii="Arial" w:hAnsi="Arial"/>
              </w:rPr>
              <w:t>Contact Name</w:t>
            </w:r>
          </w:p>
          <w:p w14:paraId="0083021B" w14:textId="77777777" w:rsidR="00640E94" w:rsidRDefault="00640E94">
            <w:pPr>
              <w:pStyle w:val="BodyText"/>
              <w:spacing w:before="0"/>
              <w:rPr>
                <w:rFonts w:ascii="Arial" w:hAnsi="Arial"/>
              </w:rPr>
            </w:pPr>
          </w:p>
          <w:p w14:paraId="3CF47623" w14:textId="6073F321" w:rsidR="00640E94" w:rsidRDefault="00A32B43">
            <w:pPr>
              <w:pStyle w:val="BodyText"/>
              <w:spacing w:before="0"/>
              <w:rPr>
                <w:rFonts w:ascii="Arial" w:hAnsi="Arial"/>
              </w:rPr>
            </w:pPr>
            <w:r>
              <w:rPr>
                <w:rFonts w:ascii="Arial" w:hAnsi="Arial"/>
              </w:rPr>
              <w:t>Kent McParland</w:t>
            </w:r>
          </w:p>
        </w:tc>
        <w:tc>
          <w:tcPr>
            <w:tcW w:w="2045" w:type="dxa"/>
            <w:tcBorders>
              <w:top w:val="single" w:sz="18" w:space="0" w:color="auto"/>
              <w:left w:val="single" w:sz="18" w:space="0" w:color="auto"/>
              <w:bottom w:val="single" w:sz="18" w:space="0" w:color="auto"/>
              <w:right w:val="single" w:sz="18" w:space="0" w:color="auto"/>
            </w:tcBorders>
          </w:tcPr>
          <w:p w14:paraId="0964FCA1" w14:textId="77777777" w:rsidR="00640E94" w:rsidRDefault="00640E94">
            <w:pPr>
              <w:pStyle w:val="BodyText"/>
              <w:spacing w:before="0"/>
              <w:rPr>
                <w:rFonts w:ascii="Arial" w:hAnsi="Arial"/>
              </w:rPr>
            </w:pPr>
            <w:r>
              <w:rPr>
                <w:rFonts w:ascii="Arial" w:hAnsi="Arial"/>
              </w:rPr>
              <w:t>Contact Position</w:t>
            </w:r>
          </w:p>
          <w:p w14:paraId="023C5840" w14:textId="3980864E" w:rsidR="003F3AA1" w:rsidRDefault="003F3AA1">
            <w:pPr>
              <w:pStyle w:val="BodyText"/>
              <w:spacing w:before="0"/>
              <w:rPr>
                <w:rFonts w:ascii="Arial" w:hAnsi="Arial"/>
              </w:rPr>
            </w:pPr>
            <w:r>
              <w:rPr>
                <w:rFonts w:ascii="Arial" w:hAnsi="Arial"/>
              </w:rPr>
              <w:t>C</w:t>
            </w:r>
            <w:r w:rsidR="00A32B43">
              <w:rPr>
                <w:rFonts w:ascii="Arial" w:hAnsi="Arial"/>
              </w:rPr>
              <w:t>F</w:t>
            </w:r>
            <w:r>
              <w:rPr>
                <w:rFonts w:ascii="Arial" w:hAnsi="Arial"/>
              </w:rPr>
              <w:t>O</w:t>
            </w:r>
          </w:p>
        </w:tc>
        <w:tc>
          <w:tcPr>
            <w:tcW w:w="2653" w:type="dxa"/>
            <w:tcBorders>
              <w:top w:val="single" w:sz="18" w:space="0" w:color="auto"/>
              <w:left w:val="single" w:sz="18" w:space="0" w:color="auto"/>
              <w:bottom w:val="single" w:sz="18" w:space="0" w:color="auto"/>
            </w:tcBorders>
          </w:tcPr>
          <w:p w14:paraId="601245B9" w14:textId="77777777" w:rsidR="00640E94" w:rsidRDefault="00640E94">
            <w:pPr>
              <w:pStyle w:val="BodyText"/>
              <w:spacing w:before="0"/>
              <w:rPr>
                <w:rFonts w:ascii="Arial" w:hAnsi="Arial"/>
              </w:rPr>
            </w:pPr>
            <w:r>
              <w:rPr>
                <w:rFonts w:ascii="Arial" w:hAnsi="Arial"/>
              </w:rPr>
              <w:t>Contact Telephone No.</w:t>
            </w:r>
          </w:p>
          <w:p w14:paraId="3809A613" w14:textId="77777777" w:rsidR="003F3AA1" w:rsidRDefault="003F3AA1">
            <w:pPr>
              <w:pStyle w:val="BodyText"/>
              <w:spacing w:before="0"/>
              <w:rPr>
                <w:rFonts w:ascii="Arial" w:hAnsi="Arial"/>
              </w:rPr>
            </w:pPr>
          </w:p>
          <w:p w14:paraId="6534E58A" w14:textId="77777777" w:rsidR="003F3AA1" w:rsidRDefault="003F3AA1">
            <w:pPr>
              <w:pStyle w:val="BodyText"/>
              <w:spacing w:before="0"/>
              <w:rPr>
                <w:rFonts w:ascii="Arial" w:hAnsi="Arial"/>
              </w:rPr>
            </w:pPr>
            <w:r>
              <w:rPr>
                <w:rFonts w:ascii="Arial" w:hAnsi="Arial"/>
              </w:rPr>
              <w:t>1-833-669-2797</w:t>
            </w:r>
          </w:p>
        </w:tc>
      </w:tr>
      <w:tr w:rsidR="00640E94" w14:paraId="62E402CE" w14:textId="77777777" w:rsidTr="00E778D4">
        <w:trPr>
          <w:cantSplit/>
        </w:trPr>
        <w:tc>
          <w:tcPr>
            <w:tcW w:w="4878" w:type="dxa"/>
            <w:tcBorders>
              <w:top w:val="single" w:sz="18" w:space="0" w:color="auto"/>
              <w:bottom w:val="single" w:sz="18" w:space="0" w:color="auto"/>
              <w:right w:val="single" w:sz="18" w:space="0" w:color="auto"/>
            </w:tcBorders>
          </w:tcPr>
          <w:p w14:paraId="53E841BE" w14:textId="77777777" w:rsidR="00640E94" w:rsidRDefault="00640E94">
            <w:pPr>
              <w:pStyle w:val="BodyText"/>
              <w:spacing w:before="0"/>
              <w:rPr>
                <w:rFonts w:ascii="Arial" w:hAnsi="Arial"/>
              </w:rPr>
            </w:pPr>
            <w:r>
              <w:rPr>
                <w:rFonts w:ascii="Arial" w:hAnsi="Arial"/>
              </w:rPr>
              <w:t>Contact Email Address</w:t>
            </w:r>
          </w:p>
          <w:p w14:paraId="102EF5B6" w14:textId="77777777" w:rsidR="00640E94" w:rsidRDefault="003F3AA1">
            <w:pPr>
              <w:pStyle w:val="BodyText"/>
              <w:spacing w:before="0"/>
              <w:rPr>
                <w:rFonts w:ascii="Arial" w:hAnsi="Arial"/>
              </w:rPr>
            </w:pPr>
            <w:r>
              <w:rPr>
                <w:rFonts w:ascii="Arial" w:hAnsi="Arial"/>
              </w:rPr>
              <w:t>investors@</w:t>
            </w:r>
            <w:r w:rsidR="00041233">
              <w:rPr>
                <w:rFonts w:ascii="Arial" w:hAnsi="Arial"/>
              </w:rPr>
              <w:t>cryptobloctech.com</w:t>
            </w:r>
          </w:p>
        </w:tc>
        <w:tc>
          <w:tcPr>
            <w:tcW w:w="4698" w:type="dxa"/>
            <w:gridSpan w:val="2"/>
            <w:tcBorders>
              <w:top w:val="single" w:sz="18" w:space="0" w:color="auto"/>
              <w:left w:val="single" w:sz="18" w:space="0" w:color="auto"/>
              <w:bottom w:val="single" w:sz="18" w:space="0" w:color="auto"/>
            </w:tcBorders>
          </w:tcPr>
          <w:p w14:paraId="7494F8DE" w14:textId="77777777" w:rsidR="00640E94" w:rsidRDefault="00640E94">
            <w:pPr>
              <w:pStyle w:val="BodyText"/>
              <w:spacing w:before="0"/>
              <w:rPr>
                <w:rFonts w:ascii="Arial" w:hAnsi="Arial"/>
              </w:rPr>
            </w:pPr>
            <w:r>
              <w:rPr>
                <w:rFonts w:ascii="Arial" w:hAnsi="Arial"/>
              </w:rPr>
              <w:t>Web Site Address</w:t>
            </w:r>
          </w:p>
          <w:p w14:paraId="121C4DDE" w14:textId="77777777" w:rsidR="00640E94" w:rsidRDefault="00640E94">
            <w:pPr>
              <w:pStyle w:val="BodyText"/>
              <w:spacing w:before="0"/>
              <w:rPr>
                <w:rFonts w:ascii="Arial" w:hAnsi="Arial"/>
              </w:rPr>
            </w:pPr>
          </w:p>
        </w:tc>
      </w:tr>
    </w:tbl>
    <w:p w14:paraId="604C8BC6" w14:textId="52C76F60" w:rsidR="00640E94" w:rsidRDefault="00626A35" w:rsidP="00626A35">
      <w:pPr>
        <w:pStyle w:val="BodyText"/>
        <w:tabs>
          <w:tab w:val="left" w:pos="2640"/>
        </w:tabs>
      </w:pPr>
      <w:r>
        <w:tab/>
      </w:r>
    </w:p>
    <w:sectPr w:rsidR="00640E94" w:rsidSect="00626A35">
      <w:headerReference w:type="even" r:id="rId7"/>
      <w:headerReference w:type="default" r:id="rId8"/>
      <w:footerReference w:type="default" r:id="rId9"/>
      <w:footerReference w:type="first" r:id="rId10"/>
      <w:pgSz w:w="12240" w:h="15840" w:code="1"/>
      <w:pgMar w:top="284" w:right="1440" w:bottom="28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B8D3" w14:textId="77777777" w:rsidR="004477E4" w:rsidRDefault="004477E4">
      <w:r>
        <w:separator/>
      </w:r>
    </w:p>
  </w:endnote>
  <w:endnote w:type="continuationSeparator" w:id="0">
    <w:p w14:paraId="1C9C41D7" w14:textId="77777777" w:rsidR="004477E4" w:rsidRDefault="0044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3970" w14:textId="77777777" w:rsidR="00640E94" w:rsidRDefault="00640E94">
    <w:pPr>
      <w:pStyle w:val="Footer"/>
      <w:tabs>
        <w:tab w:val="clear" w:pos="4320"/>
        <w:tab w:val="clear" w:pos="8640"/>
        <w:tab w:val="center" w:pos="4680"/>
        <w:tab w:val="right" w:pos="9360"/>
      </w:tabs>
      <w:rPr>
        <w:b/>
      </w:rPr>
    </w:pPr>
  </w:p>
  <w:p w14:paraId="70AC3DE6"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4F76E1B" wp14:editId="6347EC5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30B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286B7A4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24A6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5CB7" w14:textId="77777777" w:rsidR="00640E94" w:rsidRDefault="00640E94">
    <w:pPr>
      <w:pStyle w:val="Footer"/>
      <w:tabs>
        <w:tab w:val="clear" w:pos="4320"/>
        <w:tab w:val="clear" w:pos="8640"/>
        <w:tab w:val="center" w:pos="4680"/>
        <w:tab w:val="right" w:pos="9360"/>
      </w:tabs>
      <w:rPr>
        <w:b/>
      </w:rPr>
    </w:pPr>
  </w:p>
  <w:p w14:paraId="4954BEFB"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59434423" wp14:editId="0499CDD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19A7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532F8F9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2A500C7"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1D31" w14:textId="77777777" w:rsidR="004477E4" w:rsidRDefault="004477E4">
      <w:r>
        <w:separator/>
      </w:r>
    </w:p>
  </w:footnote>
  <w:footnote w:type="continuationSeparator" w:id="0">
    <w:p w14:paraId="62B694E7" w14:textId="77777777" w:rsidR="004477E4" w:rsidRDefault="0044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9E6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C203D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E05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2738A"/>
    <w:rsid w:val="00041233"/>
    <w:rsid w:val="000A1AB1"/>
    <w:rsid w:val="00162C15"/>
    <w:rsid w:val="001A23AF"/>
    <w:rsid w:val="00274171"/>
    <w:rsid w:val="002C281E"/>
    <w:rsid w:val="002F00EB"/>
    <w:rsid w:val="003669A9"/>
    <w:rsid w:val="00371A64"/>
    <w:rsid w:val="00387FA8"/>
    <w:rsid w:val="003F3AA1"/>
    <w:rsid w:val="004477E4"/>
    <w:rsid w:val="0045023F"/>
    <w:rsid w:val="00504DA5"/>
    <w:rsid w:val="005453C8"/>
    <w:rsid w:val="005F6D8F"/>
    <w:rsid w:val="00620E7F"/>
    <w:rsid w:val="00626A35"/>
    <w:rsid w:val="00633ED3"/>
    <w:rsid w:val="00635E9A"/>
    <w:rsid w:val="00640E94"/>
    <w:rsid w:val="0067108D"/>
    <w:rsid w:val="0069465C"/>
    <w:rsid w:val="006D1A06"/>
    <w:rsid w:val="00800178"/>
    <w:rsid w:val="00824A69"/>
    <w:rsid w:val="008B7E92"/>
    <w:rsid w:val="00922A46"/>
    <w:rsid w:val="0092724B"/>
    <w:rsid w:val="0096590C"/>
    <w:rsid w:val="00977665"/>
    <w:rsid w:val="00A01CCB"/>
    <w:rsid w:val="00A32B43"/>
    <w:rsid w:val="00A47914"/>
    <w:rsid w:val="00AA0AF0"/>
    <w:rsid w:val="00AD155E"/>
    <w:rsid w:val="00AD35DA"/>
    <w:rsid w:val="00AF5DB1"/>
    <w:rsid w:val="00B73058"/>
    <w:rsid w:val="00BA3723"/>
    <w:rsid w:val="00C27A18"/>
    <w:rsid w:val="00C36AAF"/>
    <w:rsid w:val="00C6383E"/>
    <w:rsid w:val="00CC30E7"/>
    <w:rsid w:val="00CC5937"/>
    <w:rsid w:val="00D14280"/>
    <w:rsid w:val="00E01B92"/>
    <w:rsid w:val="00E36141"/>
    <w:rsid w:val="00E778D4"/>
    <w:rsid w:val="00E83E58"/>
    <w:rsid w:val="00E83FA0"/>
    <w:rsid w:val="00F45CAC"/>
    <w:rsid w:val="00FE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3A0682"/>
  <w15:docId w15:val="{956E5D61-35D5-4ABC-8CC2-E90094A0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textbox">
    <w:name w:val="textbox"/>
    <w:basedOn w:val="Normal"/>
    <w:rsid w:val="009776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3420">
      <w:bodyDiv w:val="1"/>
      <w:marLeft w:val="0"/>
      <w:marRight w:val="0"/>
      <w:marTop w:val="0"/>
      <w:marBottom w:val="0"/>
      <w:divBdr>
        <w:top w:val="none" w:sz="0" w:space="0" w:color="auto"/>
        <w:left w:val="none" w:sz="0" w:space="0" w:color="auto"/>
        <w:bottom w:val="none" w:sz="0" w:space="0" w:color="auto"/>
        <w:right w:val="none" w:sz="0" w:space="0" w:color="auto"/>
      </w:divBdr>
      <w:divsChild>
        <w:div w:id="1370912752">
          <w:marLeft w:val="240"/>
          <w:marRight w:val="240"/>
          <w:marTop w:val="240"/>
          <w:marBottom w:val="240"/>
          <w:divBdr>
            <w:top w:val="none" w:sz="0" w:space="0" w:color="auto"/>
            <w:left w:val="none" w:sz="0" w:space="0" w:color="auto"/>
            <w:bottom w:val="none" w:sz="0" w:space="0" w:color="auto"/>
            <w:right w:val="none" w:sz="0" w:space="0" w:color="auto"/>
          </w:divBdr>
          <w:divsChild>
            <w:div w:id="597981955">
              <w:marLeft w:val="0"/>
              <w:marRight w:val="0"/>
              <w:marTop w:val="0"/>
              <w:marBottom w:val="0"/>
              <w:divBdr>
                <w:top w:val="none" w:sz="0" w:space="0" w:color="auto"/>
                <w:left w:val="none" w:sz="0" w:space="0" w:color="auto"/>
                <w:bottom w:val="none" w:sz="0" w:space="0" w:color="auto"/>
                <w:right w:val="none" w:sz="0" w:space="0" w:color="auto"/>
              </w:divBdr>
              <w:divsChild>
                <w:div w:id="19940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8912">
          <w:marLeft w:val="240"/>
          <w:marRight w:val="240"/>
          <w:marTop w:val="240"/>
          <w:marBottom w:val="240"/>
          <w:divBdr>
            <w:top w:val="none" w:sz="0" w:space="0" w:color="auto"/>
            <w:left w:val="none" w:sz="0" w:space="0" w:color="auto"/>
            <w:bottom w:val="none" w:sz="0" w:space="0" w:color="auto"/>
            <w:right w:val="none" w:sz="0" w:space="0" w:color="auto"/>
          </w:divBdr>
          <w:divsChild>
            <w:div w:id="1789930441">
              <w:marLeft w:val="0"/>
              <w:marRight w:val="0"/>
              <w:marTop w:val="0"/>
              <w:marBottom w:val="0"/>
              <w:divBdr>
                <w:top w:val="none" w:sz="0" w:space="0" w:color="auto"/>
                <w:left w:val="none" w:sz="0" w:space="0" w:color="auto"/>
                <w:bottom w:val="none" w:sz="0" w:space="0" w:color="auto"/>
                <w:right w:val="none" w:sz="0" w:space="0" w:color="auto"/>
              </w:divBdr>
            </w:div>
            <w:div w:id="617227576">
              <w:marLeft w:val="0"/>
              <w:marRight w:val="0"/>
              <w:marTop w:val="0"/>
              <w:marBottom w:val="0"/>
              <w:divBdr>
                <w:top w:val="none" w:sz="0" w:space="0" w:color="auto"/>
                <w:left w:val="none" w:sz="0" w:space="0" w:color="auto"/>
                <w:bottom w:val="none" w:sz="0" w:space="0" w:color="auto"/>
                <w:right w:val="none" w:sz="0" w:space="0" w:color="auto"/>
              </w:divBdr>
              <w:divsChild>
                <w:div w:id="14005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cp:lastModifiedBy>
  <cp:revision>7</cp:revision>
  <cp:lastPrinted>2018-10-01T18:21:00Z</cp:lastPrinted>
  <dcterms:created xsi:type="dcterms:W3CDTF">2018-11-02T23:07:00Z</dcterms:created>
  <dcterms:modified xsi:type="dcterms:W3CDTF">2018-11-05T18:01:00Z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