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81CC1" w:rsidRPr="00881CC1">
        <w:rPr>
          <w:rFonts w:ascii="Arial" w:hAnsi="Arial"/>
          <w:color w:val="000000"/>
          <w:u w:val="single"/>
        </w:rPr>
        <w:t>C</w:t>
      </w:r>
      <w:r w:rsidR="00320083">
        <w:rPr>
          <w:rFonts w:ascii="Arial" w:hAnsi="Arial"/>
          <w:color w:val="000000"/>
          <w:u w:val="single"/>
        </w:rPr>
        <w:t>ENTR</w:t>
      </w:r>
      <w:r w:rsidR="00881CC1" w:rsidRPr="00881CC1">
        <w:rPr>
          <w:rFonts w:ascii="Arial" w:hAnsi="Arial"/>
          <w:color w:val="000000"/>
          <w:u w:val="single"/>
        </w:rPr>
        <w:t xml:space="preserve"> Brands Corp.</w:t>
      </w:r>
      <w:r w:rsidR="00F62777" w:rsidRPr="00883163">
        <w:rPr>
          <w:rFonts w:ascii="Arial" w:hAnsi="Arial"/>
          <w:color w:val="000000"/>
        </w:rPr>
        <w:t xml:space="preserve"> </w:t>
      </w:r>
      <w:r>
        <w:rPr>
          <w:rFonts w:ascii="Arial" w:hAnsi="Arial"/>
          <w:color w:val="000000"/>
        </w:rPr>
        <w:t>(the “Issuer”).</w:t>
      </w:r>
    </w:p>
    <w:p w14:paraId="40316E6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81CC1">
        <w:rPr>
          <w:rFonts w:ascii="Arial" w:hAnsi="Arial"/>
          <w:color w:val="000000"/>
          <w:u w:val="single"/>
        </w:rPr>
        <w:t>CNTR</w:t>
      </w:r>
    </w:p>
    <w:p w14:paraId="4365026A" w14:textId="1A1E2C2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96234E">
        <w:rPr>
          <w:rFonts w:ascii="Arial" w:hAnsi="Arial"/>
          <w:color w:val="000000"/>
        </w:rPr>
        <w:t xml:space="preserve">: </w:t>
      </w:r>
      <w:r w:rsidR="0021376D">
        <w:rPr>
          <w:rFonts w:ascii="Arial" w:hAnsi="Arial"/>
          <w:color w:val="000000"/>
          <w:u w:val="single"/>
        </w:rPr>
        <w:t>66,119,101</w:t>
      </w:r>
    </w:p>
    <w:p w14:paraId="151A81AA" w14:textId="1290F27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B37F0">
        <w:rPr>
          <w:rFonts w:ascii="Arial" w:hAnsi="Arial"/>
          <w:color w:val="000000"/>
          <w:u w:val="single"/>
        </w:rPr>
        <w:t xml:space="preserve">Month of </w:t>
      </w:r>
      <w:r w:rsidR="0021376D">
        <w:rPr>
          <w:rFonts w:ascii="Arial" w:hAnsi="Arial"/>
          <w:color w:val="000000"/>
          <w:u w:val="single"/>
        </w:rPr>
        <w:t xml:space="preserve">September </w:t>
      </w:r>
      <w:r w:rsidR="00F35C39">
        <w:rPr>
          <w:rFonts w:ascii="Arial" w:hAnsi="Arial"/>
          <w:color w:val="000000"/>
          <w:u w:val="single"/>
        </w:rPr>
        <w:t>20</w:t>
      </w:r>
      <w:r w:rsidR="00B8747D">
        <w:rPr>
          <w:rFonts w:ascii="Arial" w:hAnsi="Arial"/>
          <w:color w:val="000000"/>
          <w:u w:val="single"/>
        </w:rPr>
        <w:t>20</w:t>
      </w:r>
    </w:p>
    <w:p w14:paraId="34ED127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5EAA33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90BC514"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D0B3E43"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3605918" w14:textId="77777777" w:rsidR="00640E94" w:rsidRDefault="00640E94">
      <w:pPr>
        <w:pStyle w:val="List"/>
        <w:keepLines/>
        <w:spacing w:before="120"/>
        <w:ind w:left="0" w:firstLine="0"/>
        <w:rPr>
          <w:rFonts w:ascii="Arial" w:hAnsi="Arial"/>
          <w:b/>
        </w:rPr>
      </w:pPr>
      <w:r>
        <w:rPr>
          <w:rFonts w:ascii="Arial" w:hAnsi="Arial"/>
          <w:b/>
        </w:rPr>
        <w:t>Report on Business</w:t>
      </w:r>
    </w:p>
    <w:p w14:paraId="5246D5D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B7E8D98" w14:textId="07B58B79" w:rsidR="00B520EF" w:rsidRDefault="00881CC1" w:rsidP="00805763">
      <w:pPr>
        <w:pStyle w:val="List"/>
        <w:spacing w:before="120"/>
        <w:ind w:left="720" w:firstLine="0"/>
        <w:jc w:val="both"/>
        <w:rPr>
          <w:rFonts w:ascii="Arial" w:hAnsi="Arial" w:cs="Arial"/>
          <w:b/>
          <w:szCs w:val="24"/>
        </w:rPr>
      </w:pPr>
      <w:r w:rsidRPr="00A30096">
        <w:rPr>
          <w:rFonts w:ascii="Arial" w:hAnsi="Arial" w:cs="Arial"/>
          <w:b/>
          <w:szCs w:val="24"/>
        </w:rPr>
        <w:t xml:space="preserve">The Issuer </w:t>
      </w:r>
      <w:r w:rsidR="00D90E7B" w:rsidRPr="00A30096">
        <w:rPr>
          <w:rFonts w:ascii="Arial" w:hAnsi="Arial" w:cs="Arial"/>
          <w:b/>
          <w:szCs w:val="24"/>
        </w:rPr>
        <w:t>co</w:t>
      </w:r>
      <w:r w:rsidR="008F2683" w:rsidRPr="00B520EF">
        <w:rPr>
          <w:rFonts w:ascii="Arial" w:hAnsi="Arial" w:cs="Arial"/>
          <w:b/>
          <w:szCs w:val="24"/>
        </w:rPr>
        <w:t>ntinued</w:t>
      </w:r>
      <w:r w:rsidR="00D90E7B" w:rsidRPr="00B520EF">
        <w:rPr>
          <w:rFonts w:ascii="Arial" w:hAnsi="Arial" w:cs="Arial"/>
          <w:b/>
          <w:szCs w:val="24"/>
        </w:rPr>
        <w:t xml:space="preserve"> </w:t>
      </w:r>
      <w:r w:rsidR="008256C8">
        <w:rPr>
          <w:rFonts w:ascii="Arial" w:hAnsi="Arial" w:cs="Arial"/>
          <w:b/>
          <w:szCs w:val="24"/>
        </w:rPr>
        <w:t>the</w:t>
      </w:r>
      <w:r w:rsidR="008256C8" w:rsidRPr="00A21547">
        <w:rPr>
          <w:rFonts w:ascii="Arial" w:hAnsi="Arial" w:cs="Arial"/>
          <w:b/>
          <w:szCs w:val="24"/>
        </w:rPr>
        <w:t xml:space="preserve"> </w:t>
      </w:r>
      <w:r w:rsidR="00D90E7B" w:rsidRPr="00A21547">
        <w:rPr>
          <w:rFonts w:ascii="Arial" w:hAnsi="Arial" w:cs="Arial"/>
          <w:b/>
          <w:szCs w:val="24"/>
        </w:rPr>
        <w:t xml:space="preserve">marketing and commercialization </w:t>
      </w:r>
      <w:r w:rsidR="00320083" w:rsidRPr="00A21547">
        <w:rPr>
          <w:rFonts w:ascii="Arial" w:hAnsi="Arial" w:cs="Arial"/>
          <w:b/>
          <w:szCs w:val="24"/>
        </w:rPr>
        <w:t xml:space="preserve">of its initial beverage brand, named CENTR, </w:t>
      </w:r>
      <w:r w:rsidR="00E60DCF" w:rsidRPr="00A21547">
        <w:rPr>
          <w:rFonts w:ascii="Arial" w:hAnsi="Arial" w:cs="Arial"/>
          <w:b/>
          <w:szCs w:val="24"/>
        </w:rPr>
        <w:t>i</w:t>
      </w:r>
      <w:r w:rsidR="00320083" w:rsidRPr="00A21547">
        <w:rPr>
          <w:rFonts w:ascii="Arial" w:hAnsi="Arial" w:cs="Arial"/>
          <w:b/>
          <w:szCs w:val="24"/>
        </w:rPr>
        <w:t>n the United States</w:t>
      </w:r>
      <w:r w:rsidR="009218C4" w:rsidRPr="00A21547">
        <w:rPr>
          <w:rFonts w:ascii="Arial" w:hAnsi="Arial" w:cs="Arial"/>
          <w:b/>
          <w:szCs w:val="24"/>
        </w:rPr>
        <w:t>.</w:t>
      </w:r>
      <w:r w:rsidR="00A30096" w:rsidRPr="00A21547">
        <w:rPr>
          <w:rFonts w:ascii="Arial" w:hAnsi="Arial" w:cs="Arial"/>
          <w:b/>
          <w:szCs w:val="24"/>
        </w:rPr>
        <w:t xml:space="preserve">  </w:t>
      </w:r>
    </w:p>
    <w:p w14:paraId="62B08D6A" w14:textId="38EABB33" w:rsidR="00B520EF" w:rsidRPr="00A21547" w:rsidRDefault="00B520EF" w:rsidP="00A21547">
      <w:pPr>
        <w:spacing w:before="100" w:beforeAutospacing="1" w:after="100" w:afterAutospacing="1"/>
        <w:ind w:left="720"/>
        <w:jc w:val="both"/>
        <w:rPr>
          <w:rFonts w:ascii="Arial" w:hAnsi="Arial" w:cs="Arial"/>
          <w:b/>
          <w:bCs/>
          <w:sz w:val="24"/>
          <w:szCs w:val="24"/>
        </w:rPr>
      </w:pPr>
      <w:r w:rsidRPr="00A21547">
        <w:rPr>
          <w:rFonts w:ascii="Arial" w:hAnsi="Arial" w:cs="Arial"/>
          <w:b/>
          <w:bCs/>
          <w:sz w:val="24"/>
          <w:szCs w:val="24"/>
        </w:rPr>
        <w:t xml:space="preserve"> </w:t>
      </w:r>
    </w:p>
    <w:p w14:paraId="25FB9003"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3ED083E8" w14:textId="77777777" w:rsidR="00805763" w:rsidRDefault="00CB6548" w:rsidP="00805763">
      <w:pPr>
        <w:pStyle w:val="List"/>
        <w:spacing w:before="120"/>
        <w:ind w:left="720" w:firstLine="0"/>
        <w:jc w:val="both"/>
        <w:rPr>
          <w:rFonts w:ascii="Arial" w:hAnsi="Arial"/>
          <w:b/>
        </w:rPr>
      </w:pPr>
      <w:r>
        <w:rPr>
          <w:rFonts w:ascii="Arial" w:hAnsi="Arial"/>
          <w:b/>
        </w:rPr>
        <w:t>Please refer to item #1.</w:t>
      </w:r>
    </w:p>
    <w:p w14:paraId="60612A5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FA978C" w14:textId="77777777" w:rsidR="009F1173" w:rsidRDefault="009F1173" w:rsidP="009F1173">
      <w:pPr>
        <w:pStyle w:val="ListParagraph"/>
        <w:pBdr>
          <w:top w:val="nil"/>
          <w:left w:val="nil"/>
          <w:bottom w:val="nil"/>
          <w:right w:val="nil"/>
          <w:between w:val="nil"/>
        </w:pBdr>
        <w:spacing w:after="240"/>
        <w:jc w:val="both"/>
        <w:rPr>
          <w:spacing w:val="6"/>
        </w:rPr>
      </w:pPr>
    </w:p>
    <w:p w14:paraId="0AA1CA8F" w14:textId="3DF4D53F" w:rsidR="00805763" w:rsidRPr="0036670C" w:rsidRDefault="00667B4A" w:rsidP="0036670C">
      <w:pPr>
        <w:pStyle w:val="ListParagraph"/>
        <w:pBdr>
          <w:top w:val="nil"/>
          <w:left w:val="nil"/>
          <w:bottom w:val="nil"/>
          <w:right w:val="nil"/>
          <w:between w:val="nil"/>
        </w:pBdr>
        <w:spacing w:after="240"/>
        <w:jc w:val="both"/>
        <w:rPr>
          <w:rFonts w:ascii="Arial" w:hAnsi="Arial" w:cs="Arial"/>
          <w:b/>
          <w:bCs/>
          <w:spacing w:val="6"/>
          <w:sz w:val="24"/>
          <w:szCs w:val="24"/>
        </w:rPr>
      </w:pPr>
      <w:r>
        <w:rPr>
          <w:rFonts w:ascii="Arial" w:hAnsi="Arial" w:cs="Arial"/>
          <w:b/>
          <w:bCs/>
          <w:spacing w:val="6"/>
          <w:sz w:val="24"/>
          <w:szCs w:val="24"/>
        </w:rPr>
        <w:t>None.</w:t>
      </w:r>
    </w:p>
    <w:p w14:paraId="7BE494F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CDCB5B6" w14:textId="6F8AE601" w:rsidR="0070688D" w:rsidRPr="004D0170" w:rsidRDefault="00667B4A" w:rsidP="00D56F0F">
      <w:pPr>
        <w:pStyle w:val="List"/>
        <w:spacing w:before="120"/>
        <w:ind w:left="720" w:firstLine="0"/>
        <w:jc w:val="both"/>
        <w:rPr>
          <w:rFonts w:ascii="Arial" w:hAnsi="Arial"/>
        </w:rPr>
      </w:pPr>
      <w:r>
        <w:rPr>
          <w:rFonts w:ascii="Arial" w:hAnsi="Arial"/>
          <w:b/>
        </w:rPr>
        <w:t>None.</w:t>
      </w:r>
    </w:p>
    <w:p w14:paraId="674732E6" w14:textId="77777777" w:rsidR="008647C8" w:rsidRDefault="00640E94" w:rsidP="00D21BD0">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14:paraId="0EFCD506" w14:textId="3F7B7407" w:rsidR="00320083" w:rsidRPr="0036670C" w:rsidRDefault="00E3626E" w:rsidP="008647C8">
      <w:pPr>
        <w:pStyle w:val="List"/>
        <w:spacing w:before="120"/>
        <w:ind w:left="720" w:firstLine="0"/>
        <w:jc w:val="both"/>
        <w:rPr>
          <w:rFonts w:ascii="Arial" w:hAnsi="Arial" w:cs="Arial"/>
          <w:b/>
          <w:szCs w:val="24"/>
        </w:rPr>
      </w:pPr>
      <w:r>
        <w:rPr>
          <w:rFonts w:ascii="Arial" w:hAnsi="Arial"/>
          <w:b/>
        </w:rPr>
        <w:t>None.</w:t>
      </w:r>
    </w:p>
    <w:p w14:paraId="5011A85A" w14:textId="77777777"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14:paraId="3D426198" w14:textId="22D6FB2B" w:rsidR="00EF1A1F" w:rsidRPr="004D0170" w:rsidRDefault="00E3626E" w:rsidP="0036670C">
      <w:pPr>
        <w:pStyle w:val="List"/>
        <w:spacing w:before="120"/>
        <w:ind w:left="720" w:firstLine="0"/>
        <w:jc w:val="both"/>
        <w:rPr>
          <w:rFonts w:ascii="Arial" w:hAnsi="Arial"/>
        </w:rPr>
      </w:pPr>
      <w:r>
        <w:rPr>
          <w:rFonts w:ascii="Arial" w:hAnsi="Arial"/>
          <w:b/>
        </w:rPr>
        <w:t>None.</w:t>
      </w:r>
    </w:p>
    <w:p w14:paraId="1E132026"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14:paraId="5EC504FB" w14:textId="36BB0D2C" w:rsidR="00CB6548" w:rsidRDefault="004D1EF2" w:rsidP="00CB6548">
      <w:pPr>
        <w:pStyle w:val="List"/>
        <w:spacing w:before="120"/>
        <w:ind w:left="720" w:firstLine="0"/>
        <w:jc w:val="both"/>
        <w:rPr>
          <w:rFonts w:ascii="Arial" w:hAnsi="Arial"/>
          <w:b/>
        </w:rPr>
      </w:pPr>
      <w:r>
        <w:rPr>
          <w:rFonts w:ascii="Arial" w:hAnsi="Arial"/>
          <w:b/>
        </w:rPr>
        <w:t>None</w:t>
      </w:r>
      <w:r w:rsidR="00D56F0F">
        <w:rPr>
          <w:rFonts w:ascii="Arial" w:hAnsi="Arial"/>
          <w:b/>
        </w:rPr>
        <w:t>.</w:t>
      </w:r>
    </w:p>
    <w:p w14:paraId="475CED5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30A32D7" w14:textId="739B1680"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494D5532" w14:textId="161D0D7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6CA3901" w14:textId="1FBB1F25"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503E1C51" w14:textId="77777777" w:rsidR="008647C8" w:rsidRDefault="00640E94" w:rsidP="008647C8">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C7C209E" w14:textId="2448DEF5" w:rsidR="00320083" w:rsidRPr="008647C8" w:rsidRDefault="009B095B" w:rsidP="008647C8">
      <w:pPr>
        <w:pStyle w:val="List"/>
        <w:spacing w:before="120"/>
        <w:ind w:left="720" w:firstLine="0"/>
        <w:jc w:val="both"/>
        <w:rPr>
          <w:rFonts w:ascii="Arial" w:hAnsi="Arial"/>
        </w:rPr>
      </w:pPr>
      <w:r>
        <w:rPr>
          <w:rFonts w:ascii="Arial" w:hAnsi="Arial" w:cs="Arial"/>
          <w:b/>
          <w:szCs w:val="24"/>
        </w:rPr>
        <w:t xml:space="preserve">The Issuer </w:t>
      </w:r>
      <w:r w:rsidR="00FB1B62">
        <w:rPr>
          <w:rFonts w:ascii="Arial" w:hAnsi="Arial" w:cs="Arial"/>
          <w:b/>
          <w:szCs w:val="24"/>
        </w:rPr>
        <w:t xml:space="preserve">terminated </w:t>
      </w:r>
      <w:r>
        <w:rPr>
          <w:rFonts w:ascii="Arial" w:hAnsi="Arial" w:cs="Arial"/>
          <w:b/>
          <w:szCs w:val="24"/>
        </w:rPr>
        <w:t xml:space="preserve">a regional sales manager for the </w:t>
      </w:r>
      <w:r w:rsidR="00FB1B62">
        <w:rPr>
          <w:rFonts w:ascii="Arial" w:hAnsi="Arial" w:cs="Arial"/>
          <w:b/>
          <w:szCs w:val="24"/>
        </w:rPr>
        <w:t>state of Colorado</w:t>
      </w:r>
      <w:r w:rsidR="003F2702">
        <w:rPr>
          <w:rFonts w:ascii="Arial" w:hAnsi="Arial" w:cs="Arial"/>
          <w:b/>
          <w:szCs w:val="24"/>
        </w:rPr>
        <w:t>.</w:t>
      </w:r>
    </w:p>
    <w:p w14:paraId="181D7702"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3D6B494A" w14:textId="1B764EA4"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57E77340" w14:textId="77777777" w:rsidR="00640E94" w:rsidRDefault="00640E94" w:rsidP="00A21547">
      <w:pPr>
        <w:pStyle w:val="List"/>
        <w:numPr>
          <w:ilvl w:val="0"/>
          <w:numId w:val="28"/>
        </w:numPr>
        <w:spacing w:before="120" w:after="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776CE9B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84FB986" w14:textId="5383E3AC" w:rsidR="00BD26A1" w:rsidRPr="00BD26A1" w:rsidRDefault="008256C8" w:rsidP="00C2053E">
      <w:pPr>
        <w:pStyle w:val="NormalWeb"/>
        <w:ind w:left="720"/>
        <w:jc w:val="both"/>
      </w:pPr>
      <w:r>
        <w:rPr>
          <w:rFonts w:ascii="Arial" w:hAnsi="Arial" w:cs="Arial"/>
          <w:b/>
          <w:bCs/>
        </w:rPr>
        <w:t>None.</w:t>
      </w:r>
    </w:p>
    <w:p w14:paraId="1657269F" w14:textId="417CB45F" w:rsidR="007E1BD3" w:rsidRPr="00A21547" w:rsidRDefault="00640E94" w:rsidP="00A21547">
      <w:pPr>
        <w:pStyle w:val="List"/>
        <w:numPr>
          <w:ilvl w:val="0"/>
          <w:numId w:val="28"/>
        </w:numPr>
        <w:spacing w:before="120"/>
        <w:jc w:val="both"/>
        <w:rPr>
          <w:rFonts w:ascii="Arial" w:hAnsi="Arial" w:cs="Arial"/>
          <w:b/>
          <w:bCs/>
          <w:szCs w:val="24"/>
        </w:rPr>
      </w:pPr>
      <w:r>
        <w:rPr>
          <w:rFonts w:ascii="Arial" w:hAnsi="Arial"/>
        </w:rPr>
        <w:t>Provide details of any securities issued and options or warrants granted.</w:t>
      </w:r>
    </w:p>
    <w:p w14:paraId="0C1C1415" w14:textId="77777777" w:rsidR="000059C5" w:rsidRDefault="000059C5" w:rsidP="00F44D67">
      <w:pPr>
        <w:ind w:left="720"/>
        <w:jc w:val="both"/>
        <w:rPr>
          <w:rFonts w:ascii="Arial" w:hAnsi="Arial" w:cs="Arial"/>
          <w:b/>
          <w:bCs/>
          <w:sz w:val="24"/>
          <w:szCs w:val="24"/>
        </w:rPr>
      </w:pPr>
    </w:p>
    <w:p w14:paraId="4A0BAB63" w14:textId="61C58185" w:rsidR="0021376D" w:rsidRPr="00357876" w:rsidRDefault="0021376D" w:rsidP="00FB1B62">
      <w:pPr>
        <w:pStyle w:val="ListParagraph"/>
        <w:jc w:val="both"/>
        <w:rPr>
          <w:rFonts w:ascii="Arial" w:hAnsi="Arial" w:cs="Arial"/>
          <w:b/>
          <w:bCs/>
          <w:color w:val="000000"/>
          <w:sz w:val="24"/>
          <w:szCs w:val="24"/>
          <w:lang w:val="en-CA"/>
        </w:rPr>
      </w:pPr>
      <w:r w:rsidRPr="002E3207">
        <w:rPr>
          <w:rFonts w:ascii="Arial" w:hAnsi="Arial" w:cs="Arial"/>
          <w:b/>
          <w:bCs/>
          <w:sz w:val="24"/>
          <w:szCs w:val="24"/>
        </w:rPr>
        <w:t xml:space="preserve">The </w:t>
      </w:r>
      <w:r w:rsidR="00FB1B62">
        <w:rPr>
          <w:rFonts w:ascii="Arial" w:hAnsi="Arial" w:cs="Arial"/>
          <w:b/>
          <w:bCs/>
          <w:sz w:val="24"/>
          <w:szCs w:val="24"/>
        </w:rPr>
        <w:t>Issuer</w:t>
      </w:r>
      <w:r w:rsidRPr="002E3207">
        <w:rPr>
          <w:rFonts w:ascii="Arial" w:hAnsi="Arial" w:cs="Arial"/>
          <w:b/>
          <w:bCs/>
          <w:sz w:val="24"/>
          <w:szCs w:val="24"/>
        </w:rPr>
        <w:t xml:space="preserve"> closed</w:t>
      </w:r>
      <w:r w:rsidR="002E3207" w:rsidRPr="002E3207">
        <w:rPr>
          <w:rFonts w:ascii="Arial" w:hAnsi="Arial" w:cs="Arial"/>
          <w:b/>
          <w:bCs/>
          <w:sz w:val="24"/>
          <w:szCs w:val="24"/>
        </w:rPr>
        <w:t xml:space="preserve"> two tranches of the </w:t>
      </w:r>
      <w:r w:rsidRPr="002E3207">
        <w:rPr>
          <w:rFonts w:ascii="Arial" w:hAnsi="Arial" w:cs="Arial"/>
          <w:b/>
          <w:bCs/>
          <w:sz w:val="24"/>
          <w:szCs w:val="24"/>
        </w:rPr>
        <w:t>non-brokered private placement financing previous</w:t>
      </w:r>
      <w:r w:rsidRPr="00FB1B62">
        <w:rPr>
          <w:rFonts w:ascii="Arial" w:hAnsi="Arial" w:cs="Arial"/>
          <w:b/>
          <w:bCs/>
          <w:sz w:val="24"/>
          <w:szCs w:val="24"/>
        </w:rPr>
        <w:t xml:space="preserve">ly announced on </w:t>
      </w:r>
      <w:r w:rsidR="002E3207" w:rsidRPr="00FB1B62">
        <w:rPr>
          <w:rFonts w:ascii="Arial" w:hAnsi="Arial" w:cs="Arial"/>
          <w:b/>
          <w:bCs/>
          <w:sz w:val="24"/>
          <w:szCs w:val="24"/>
        </w:rPr>
        <w:t>August 25</w:t>
      </w:r>
      <w:r w:rsidRPr="00FB1B62">
        <w:rPr>
          <w:rFonts w:ascii="Arial" w:hAnsi="Arial" w:cs="Arial"/>
          <w:b/>
          <w:bCs/>
          <w:sz w:val="24"/>
          <w:szCs w:val="24"/>
        </w:rPr>
        <w:t>, 202</w:t>
      </w:r>
      <w:r w:rsidRPr="002E3207">
        <w:rPr>
          <w:rFonts w:ascii="Arial" w:hAnsi="Arial" w:cs="Arial"/>
          <w:b/>
          <w:bCs/>
          <w:sz w:val="24"/>
          <w:szCs w:val="24"/>
        </w:rPr>
        <w:t xml:space="preserve">0 (the "Financing"). A total of </w:t>
      </w:r>
      <w:r w:rsidR="002E3207" w:rsidRPr="002E3207">
        <w:rPr>
          <w:rFonts w:ascii="Arial" w:hAnsi="Arial" w:cs="Arial"/>
          <w:b/>
          <w:bCs/>
          <w:sz w:val="24"/>
          <w:szCs w:val="24"/>
        </w:rPr>
        <w:t>3,059,500</w:t>
      </w:r>
      <w:r w:rsidRPr="002E3207">
        <w:rPr>
          <w:rFonts w:ascii="Arial" w:hAnsi="Arial" w:cs="Arial"/>
          <w:b/>
          <w:bCs/>
          <w:sz w:val="24"/>
          <w:szCs w:val="24"/>
        </w:rPr>
        <w:t xml:space="preserve"> </w:t>
      </w:r>
      <w:r w:rsidR="002E3207" w:rsidRPr="002E3207">
        <w:rPr>
          <w:rFonts w:ascii="Arial" w:hAnsi="Arial" w:cs="Arial"/>
          <w:b/>
          <w:bCs/>
          <w:sz w:val="24"/>
          <w:szCs w:val="24"/>
        </w:rPr>
        <w:t>u</w:t>
      </w:r>
      <w:r w:rsidR="002E3207" w:rsidRPr="00357876">
        <w:rPr>
          <w:rFonts w:ascii="Arial" w:hAnsi="Arial" w:cs="Arial"/>
          <w:b/>
          <w:bCs/>
          <w:sz w:val="24"/>
          <w:szCs w:val="24"/>
        </w:rPr>
        <w:t>nits of the Company (the “Units”)</w:t>
      </w:r>
      <w:r w:rsidR="002E3207">
        <w:rPr>
          <w:rFonts w:ascii="Arial" w:hAnsi="Arial" w:cs="Arial"/>
          <w:b/>
          <w:bCs/>
          <w:sz w:val="24"/>
          <w:szCs w:val="24"/>
        </w:rPr>
        <w:t xml:space="preserve"> were</w:t>
      </w:r>
      <w:r w:rsidR="002E3207" w:rsidRPr="00357876">
        <w:rPr>
          <w:rFonts w:ascii="Arial" w:hAnsi="Arial" w:cs="Arial"/>
          <w:b/>
          <w:bCs/>
          <w:sz w:val="24"/>
          <w:szCs w:val="24"/>
        </w:rPr>
        <w:t xml:space="preserve"> issued at a price of $0.35 per Unit for aggregate gross proceeds of $</w:t>
      </w:r>
      <w:r w:rsidR="002E3207">
        <w:rPr>
          <w:rFonts w:ascii="Arial" w:hAnsi="Arial" w:cs="Arial"/>
          <w:b/>
          <w:bCs/>
          <w:sz w:val="24"/>
          <w:szCs w:val="24"/>
        </w:rPr>
        <w:t>1,083,42</w:t>
      </w:r>
      <w:r w:rsidR="002E3207" w:rsidRPr="00357876">
        <w:rPr>
          <w:rFonts w:ascii="Arial" w:hAnsi="Arial" w:cs="Arial"/>
          <w:b/>
          <w:bCs/>
          <w:sz w:val="24"/>
          <w:szCs w:val="24"/>
        </w:rPr>
        <w:t xml:space="preserve">5. Each Unit consists of one common share in the capital of the Company (each a “Common Share”) and one common share purchase warrant (each, a “Warrant”). </w:t>
      </w:r>
      <w:r w:rsidR="00FB1B62">
        <w:rPr>
          <w:rFonts w:ascii="Arial" w:hAnsi="Arial" w:cs="Arial"/>
          <w:b/>
          <w:bCs/>
          <w:sz w:val="24"/>
          <w:szCs w:val="24"/>
        </w:rPr>
        <w:t xml:space="preserve"> </w:t>
      </w:r>
      <w:r w:rsidR="002E3207" w:rsidRPr="00357876">
        <w:rPr>
          <w:rFonts w:ascii="Arial" w:hAnsi="Arial" w:cs="Arial"/>
          <w:b/>
          <w:bCs/>
          <w:sz w:val="24"/>
          <w:szCs w:val="24"/>
        </w:rPr>
        <w:t>Each Warrant entitles the holder thereof to acquire one Common Share at the price of $0.60 for a period of three years from closing. The Common Shares and Warrants, and any Common Shares issuable upon the exercise of the Warrants issued pursuant to the Second Tranche, are subject to a statutory hold period of four months and one day from the closing</w:t>
      </w:r>
      <w:r w:rsidRPr="002E3207">
        <w:rPr>
          <w:rFonts w:ascii="Arial" w:hAnsi="Arial" w:cs="Arial"/>
          <w:b/>
          <w:bCs/>
          <w:color w:val="000000"/>
          <w:sz w:val="24"/>
          <w:szCs w:val="24"/>
          <w:lang w:val="en-CA"/>
        </w:rPr>
        <w:t>. </w:t>
      </w:r>
      <w:r w:rsidRPr="002E3207">
        <w:rPr>
          <w:rFonts w:ascii="ArialMT" w:hAnsi="ArialMT"/>
          <w:b/>
          <w:bCs/>
          <w:sz w:val="24"/>
          <w:szCs w:val="24"/>
        </w:rPr>
        <w:t xml:space="preserve"> </w:t>
      </w:r>
      <w:r w:rsidR="00FB1B62" w:rsidRPr="00357876">
        <w:rPr>
          <w:rFonts w:ascii="Arial" w:eastAsiaTheme="majorEastAsia" w:hAnsi="Arial" w:cs="Arial"/>
          <w:b/>
          <w:color w:val="000000"/>
          <w:sz w:val="24"/>
          <w:szCs w:val="24"/>
        </w:rPr>
        <w:t>The Issuer</w:t>
      </w:r>
      <w:r w:rsidR="00FB1B62">
        <w:rPr>
          <w:rFonts w:ascii="Arial" w:eastAsiaTheme="majorEastAsia" w:hAnsi="Arial" w:cs="Arial"/>
          <w:b/>
          <w:color w:val="000000"/>
          <w:sz w:val="24"/>
          <w:szCs w:val="24"/>
        </w:rPr>
        <w:t xml:space="preserve"> also</w:t>
      </w:r>
      <w:r w:rsidR="00FB1B62" w:rsidRPr="00357876">
        <w:rPr>
          <w:rFonts w:ascii="Arial" w:eastAsiaTheme="majorEastAsia" w:hAnsi="Arial" w:cs="Arial"/>
          <w:b/>
          <w:color w:val="000000"/>
          <w:sz w:val="24"/>
          <w:szCs w:val="24"/>
        </w:rPr>
        <w:t xml:space="preserve"> issue</w:t>
      </w:r>
      <w:r w:rsidR="00FB1B62" w:rsidRPr="00357876">
        <w:rPr>
          <w:rFonts w:ascii="Arial" w:eastAsiaTheme="majorEastAsia" w:hAnsi="Arial" w:cs="Arial"/>
          <w:b/>
          <w:sz w:val="24"/>
          <w:szCs w:val="24"/>
        </w:rPr>
        <w:t xml:space="preserve">d: (i) 645,000 restricted stock units (“RSUs”) to certain employees, directors and consultants of the Company, pursuant to the terms of the Issuer’s RSU Plan; and (i) </w:t>
      </w:r>
      <w:r w:rsidR="00FB1B62" w:rsidRPr="00357876">
        <w:rPr>
          <w:rFonts w:ascii="Arial" w:eastAsiaTheme="majorEastAsia" w:hAnsi="Arial" w:cs="Arial"/>
          <w:b/>
          <w:color w:val="000000"/>
          <w:sz w:val="24"/>
          <w:szCs w:val="24"/>
        </w:rPr>
        <w:t xml:space="preserve">167,564 Common Shares to </w:t>
      </w:r>
      <w:r w:rsidR="00FB1B62" w:rsidRPr="00357876">
        <w:rPr>
          <w:rFonts w:ascii="Arial" w:eastAsiaTheme="majorEastAsia" w:hAnsi="Arial" w:cs="Arial"/>
          <w:b/>
          <w:sz w:val="24"/>
          <w:szCs w:val="24"/>
        </w:rPr>
        <w:t>the Company’s CEO</w:t>
      </w:r>
      <w:r w:rsidR="00FB1B62" w:rsidRPr="00357876">
        <w:rPr>
          <w:rFonts w:ascii="Arial" w:eastAsiaTheme="majorEastAsia" w:hAnsi="Arial" w:cs="Arial"/>
          <w:b/>
          <w:color w:val="000000"/>
          <w:sz w:val="24"/>
          <w:szCs w:val="24"/>
        </w:rPr>
        <w:t xml:space="preserve"> and 129,481 Common Shares to </w:t>
      </w:r>
      <w:r w:rsidR="00FB1B62" w:rsidRPr="00357876">
        <w:rPr>
          <w:rFonts w:ascii="Arial" w:eastAsiaTheme="majorEastAsia" w:hAnsi="Arial" w:cs="Arial"/>
          <w:b/>
          <w:sz w:val="24"/>
          <w:szCs w:val="24"/>
        </w:rPr>
        <w:t>its President, each</w:t>
      </w:r>
      <w:r w:rsidR="00FB1B62" w:rsidRPr="00357876">
        <w:rPr>
          <w:rFonts w:ascii="Arial" w:eastAsiaTheme="majorEastAsia" w:hAnsi="Arial" w:cs="Arial"/>
          <w:b/>
          <w:color w:val="000000"/>
          <w:sz w:val="24"/>
          <w:szCs w:val="24"/>
        </w:rPr>
        <w:t xml:space="preserve"> </w:t>
      </w:r>
      <w:r w:rsidR="00FB1B62" w:rsidRPr="00357876">
        <w:rPr>
          <w:rFonts w:ascii="Arial" w:eastAsiaTheme="majorEastAsia" w:hAnsi="Arial" w:cs="Arial"/>
          <w:b/>
          <w:sz w:val="24"/>
          <w:szCs w:val="24"/>
        </w:rPr>
        <w:t>in</w:t>
      </w:r>
      <w:r w:rsidR="00FB1B62" w:rsidRPr="00357876">
        <w:rPr>
          <w:rFonts w:ascii="Arial" w:eastAsiaTheme="majorEastAsia" w:hAnsi="Arial" w:cs="Arial"/>
          <w:b/>
          <w:color w:val="000000"/>
          <w:sz w:val="24"/>
          <w:szCs w:val="24"/>
        </w:rPr>
        <w:t xml:space="preserve"> payment for</w:t>
      </w:r>
      <w:r w:rsidR="00FB1B62" w:rsidRPr="00357876">
        <w:rPr>
          <w:rFonts w:ascii="Arial" w:eastAsiaTheme="majorEastAsia" w:hAnsi="Arial" w:cs="Arial"/>
          <w:b/>
          <w:sz w:val="24"/>
          <w:szCs w:val="24"/>
        </w:rPr>
        <w:t xml:space="preserve"> amounts owed to such parties by the Company</w:t>
      </w:r>
      <w:r w:rsidR="00FB1B62">
        <w:rPr>
          <w:rFonts w:ascii="Arial" w:eastAsiaTheme="majorEastAsia" w:hAnsi="Arial" w:cs="Arial"/>
          <w:b/>
          <w:sz w:val="24"/>
          <w:szCs w:val="24"/>
        </w:rPr>
        <w:t xml:space="preserve">.  </w:t>
      </w:r>
      <w:r w:rsidR="00FB1B62" w:rsidRPr="002E3207">
        <w:rPr>
          <w:rFonts w:ascii="Arial" w:hAnsi="Arial" w:cs="Arial"/>
          <w:b/>
          <w:bCs/>
          <w:sz w:val="24"/>
          <w:szCs w:val="24"/>
        </w:rPr>
        <w:t>Please see the attached press release</w:t>
      </w:r>
      <w:r w:rsidR="00FB1B62">
        <w:rPr>
          <w:rFonts w:ascii="Arial" w:hAnsi="Arial" w:cs="Arial"/>
          <w:b/>
          <w:bCs/>
          <w:sz w:val="24"/>
          <w:szCs w:val="24"/>
        </w:rPr>
        <w:t>s</w:t>
      </w:r>
      <w:r w:rsidR="00FB1B62" w:rsidRPr="002E3207">
        <w:rPr>
          <w:rFonts w:ascii="Arial" w:hAnsi="Arial" w:cs="Arial"/>
          <w:b/>
          <w:bCs/>
          <w:sz w:val="24"/>
          <w:szCs w:val="24"/>
        </w:rPr>
        <w:t xml:space="preserve"> dated </w:t>
      </w:r>
      <w:r w:rsidR="00FB1B62">
        <w:rPr>
          <w:rFonts w:ascii="Arial" w:hAnsi="Arial" w:cs="Arial"/>
          <w:b/>
          <w:bCs/>
          <w:sz w:val="24"/>
          <w:szCs w:val="24"/>
        </w:rPr>
        <w:t>September 8 &amp; 30</w:t>
      </w:r>
      <w:r w:rsidR="00FB1B62" w:rsidRPr="002E3207">
        <w:rPr>
          <w:rFonts w:ascii="Arial" w:hAnsi="Arial" w:cs="Arial"/>
          <w:b/>
          <w:bCs/>
          <w:sz w:val="24"/>
          <w:szCs w:val="24"/>
        </w:rPr>
        <w:t>, 2020</w:t>
      </w:r>
      <w:r w:rsidR="00FB1B62" w:rsidRPr="002E3207">
        <w:rPr>
          <w:rFonts w:ascii="ArialMT" w:hAnsi="ArialMT"/>
          <w:b/>
          <w:bCs/>
          <w:sz w:val="24"/>
          <w:szCs w:val="24"/>
        </w:rPr>
        <w:t>.</w:t>
      </w:r>
    </w:p>
    <w:p w14:paraId="249D7B27" w14:textId="77777777" w:rsidR="00FB1B62" w:rsidRPr="00357876" w:rsidRDefault="00FB1B62" w:rsidP="00357876">
      <w:pPr>
        <w:pStyle w:val="ListParagraph"/>
        <w:jc w:val="both"/>
        <w:rPr>
          <w:b/>
          <w:sz w:val="24"/>
          <w:szCs w:val="24"/>
        </w:rPr>
      </w:pPr>
    </w:p>
    <w:p w14:paraId="76CA7C1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107F252" w14:textId="745DCB2C" w:rsidR="00832C64" w:rsidRPr="00BD26A1" w:rsidRDefault="00832C64" w:rsidP="00832C64">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16980374" w14:textId="33BAAB22" w:rsidR="0036670C" w:rsidRPr="0036670C" w:rsidRDefault="00640E94" w:rsidP="0036670C">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443B08">
        <w:rPr>
          <w:rFonts w:ascii="Arial" w:hAnsi="Arial"/>
        </w:rPr>
        <w:t xml:space="preserve">  </w:t>
      </w:r>
    </w:p>
    <w:p w14:paraId="1C93BF24" w14:textId="77777777" w:rsidR="0036670C" w:rsidRDefault="0036670C" w:rsidP="00761672">
      <w:pPr>
        <w:jc w:val="both"/>
        <w:rPr>
          <w:rFonts w:ascii="Arial" w:hAnsi="Arial" w:cs="Arial"/>
          <w:b/>
          <w:bCs/>
          <w:sz w:val="24"/>
          <w:szCs w:val="24"/>
        </w:rPr>
      </w:pPr>
    </w:p>
    <w:p w14:paraId="3BCC8F3A" w14:textId="7BB27416" w:rsidR="002B7EFA" w:rsidRPr="0036670C" w:rsidRDefault="000059C5" w:rsidP="0036670C">
      <w:pPr>
        <w:ind w:left="720"/>
        <w:jc w:val="both"/>
        <w:rPr>
          <w:rFonts w:ascii="Arial" w:hAnsi="Arial" w:cs="Arial"/>
          <w:b/>
          <w:bCs/>
          <w:spacing w:val="6"/>
          <w:sz w:val="24"/>
          <w:szCs w:val="24"/>
        </w:rPr>
      </w:pPr>
      <w:r>
        <w:rPr>
          <w:rFonts w:ascii="Arial" w:hAnsi="Arial" w:cs="Arial"/>
          <w:b/>
          <w:bCs/>
          <w:sz w:val="24"/>
          <w:szCs w:val="24"/>
        </w:rPr>
        <w:t>None</w:t>
      </w:r>
      <w:r w:rsidR="00E63CFE">
        <w:rPr>
          <w:rFonts w:ascii="Arial" w:hAnsi="Arial" w:cs="Arial"/>
          <w:b/>
          <w:bCs/>
          <w:sz w:val="24"/>
          <w:szCs w:val="24"/>
        </w:rPr>
        <w:t xml:space="preserve">. </w:t>
      </w:r>
    </w:p>
    <w:p w14:paraId="319F75AB"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2C0ED3D" w14:textId="77777777" w:rsidR="00A97F54" w:rsidRDefault="00A97F54" w:rsidP="00A97F54">
      <w:pPr>
        <w:jc w:val="both"/>
        <w:rPr>
          <w:rFonts w:ascii="Arial" w:hAnsi="Arial" w:cs="Arial"/>
          <w:b/>
          <w:sz w:val="24"/>
          <w:szCs w:val="24"/>
        </w:rPr>
      </w:pPr>
    </w:p>
    <w:p w14:paraId="6A006AC4" w14:textId="67A8D134" w:rsidR="00B8334C" w:rsidRDefault="00F01FCC" w:rsidP="005315D8">
      <w:pPr>
        <w:ind w:left="720"/>
        <w:jc w:val="both"/>
        <w:rPr>
          <w:rFonts w:ascii="Arial" w:hAnsi="Arial" w:cs="Arial"/>
          <w:b/>
          <w:sz w:val="24"/>
          <w:szCs w:val="24"/>
          <w:shd w:val="clear" w:color="auto" w:fill="FFFFFF"/>
        </w:rPr>
      </w:pPr>
      <w:r w:rsidRPr="00026687">
        <w:rPr>
          <w:rFonts w:ascii="Arial" w:hAnsi="Arial" w:cs="Arial"/>
          <w:b/>
          <w:sz w:val="24"/>
          <w:szCs w:val="24"/>
        </w:rPr>
        <w:t xml:space="preserve">The Issuer continues to await guidance from the </w:t>
      </w:r>
      <w:r w:rsidR="00A97F54" w:rsidRPr="00026687">
        <w:rPr>
          <w:rFonts w:ascii="Arial" w:hAnsi="Arial" w:cs="Arial"/>
          <w:b/>
          <w:sz w:val="24"/>
          <w:szCs w:val="24"/>
        </w:rPr>
        <w:t>U.S. Food &amp; Drug Administration (the “FDA”)</w:t>
      </w:r>
      <w:r w:rsidRPr="00026687">
        <w:rPr>
          <w:rFonts w:ascii="Arial" w:hAnsi="Arial" w:cs="Arial"/>
          <w:b/>
          <w:sz w:val="24"/>
          <w:szCs w:val="24"/>
        </w:rPr>
        <w:t xml:space="preserve"> based on their</w:t>
      </w:r>
      <w:r w:rsidR="00A97F54" w:rsidRPr="00026687">
        <w:rPr>
          <w:rFonts w:ascii="Arial" w:hAnsi="Arial" w:cs="Arial"/>
          <w:b/>
          <w:sz w:val="24"/>
          <w:szCs w:val="24"/>
        </w:rPr>
        <w:t xml:space="preserve"> </w:t>
      </w:r>
      <w:r w:rsidRPr="00026687">
        <w:rPr>
          <w:rFonts w:ascii="Arial" w:hAnsi="Arial" w:cs="Arial"/>
          <w:b/>
          <w:sz w:val="24"/>
          <w:szCs w:val="24"/>
          <w:shd w:val="clear" w:color="auto" w:fill="FFFFFF"/>
        </w:rPr>
        <w:t>May 31, 2019</w:t>
      </w:r>
      <w:r w:rsidR="00A97F54" w:rsidRPr="00026687">
        <w:rPr>
          <w:rFonts w:ascii="Arial" w:hAnsi="Arial" w:cs="Arial"/>
          <w:b/>
          <w:sz w:val="24"/>
          <w:szCs w:val="24"/>
          <w:shd w:val="clear" w:color="auto" w:fill="FFFFFF"/>
        </w:rPr>
        <w:t xml:space="preserve"> public hearing to obtain scientific data and information about the safety, manufacturing, product quality, marketing, labeling, and sale of products containing </w:t>
      </w:r>
      <w:r w:rsidR="00A97F54" w:rsidRPr="00026687">
        <w:rPr>
          <w:rFonts w:ascii="Arial" w:hAnsi="Arial" w:cs="Arial"/>
          <w:b/>
          <w:sz w:val="24"/>
          <w:szCs w:val="24"/>
          <w:shd w:val="clear" w:color="auto" w:fill="FFFFFF"/>
        </w:rPr>
        <w:lastRenderedPageBreak/>
        <w:t>cannabis or cannabis-derived compounds such as cannabidiol (“CBD”).  As the Issuer’s first product contain</w:t>
      </w:r>
      <w:r w:rsidR="00F86352">
        <w:rPr>
          <w:rFonts w:ascii="Arial" w:hAnsi="Arial" w:cs="Arial"/>
          <w:b/>
          <w:sz w:val="24"/>
          <w:szCs w:val="24"/>
          <w:shd w:val="clear" w:color="auto" w:fill="FFFFFF"/>
        </w:rPr>
        <w:t>s</w:t>
      </w:r>
      <w:r w:rsidR="00A97F54" w:rsidRPr="00026687">
        <w:rPr>
          <w:rFonts w:ascii="Arial" w:hAnsi="Arial" w:cs="Arial"/>
          <w:b/>
          <w:sz w:val="24"/>
          <w:szCs w:val="24"/>
          <w:shd w:val="clear" w:color="auto" w:fill="FFFFFF"/>
        </w:rPr>
        <w:t xml:space="preserve"> CBD, </w:t>
      </w:r>
      <w:r w:rsidR="005A3000" w:rsidRPr="00026687">
        <w:rPr>
          <w:rFonts w:ascii="Arial" w:hAnsi="Arial" w:cs="Arial"/>
          <w:b/>
          <w:sz w:val="24"/>
          <w:szCs w:val="24"/>
          <w:shd w:val="clear" w:color="auto" w:fill="FFFFFF"/>
        </w:rPr>
        <w:t xml:space="preserve">expected </w:t>
      </w:r>
      <w:r w:rsidR="00A97F54" w:rsidRPr="00026687">
        <w:rPr>
          <w:rFonts w:ascii="Arial" w:hAnsi="Arial" w:cs="Arial"/>
          <w:b/>
          <w:sz w:val="24"/>
          <w:szCs w:val="24"/>
          <w:shd w:val="clear" w:color="auto" w:fill="FFFFFF"/>
        </w:rPr>
        <w:t>FDA regulations regarding CBD will have a significant impact on the Issuer’s business.</w:t>
      </w:r>
      <w:r w:rsidR="00247E1D" w:rsidRPr="00026687">
        <w:rPr>
          <w:rFonts w:ascii="Arial" w:hAnsi="Arial" w:cs="Arial"/>
          <w:b/>
          <w:sz w:val="24"/>
          <w:szCs w:val="24"/>
          <w:shd w:val="clear" w:color="auto" w:fill="FFFFFF"/>
        </w:rPr>
        <w:t xml:space="preserve"> </w:t>
      </w:r>
    </w:p>
    <w:p w14:paraId="526E94E0" w14:textId="77777777" w:rsidR="00ED168C" w:rsidRDefault="00ED168C" w:rsidP="005315D8">
      <w:pPr>
        <w:ind w:left="720"/>
        <w:jc w:val="both"/>
        <w:rPr>
          <w:rFonts w:ascii="Arial" w:hAnsi="Arial"/>
          <w:b/>
        </w:rPr>
      </w:pPr>
    </w:p>
    <w:p w14:paraId="7FB64E54" w14:textId="512FEAA5" w:rsidR="00B14600" w:rsidRDefault="00A97F54" w:rsidP="004D0170">
      <w:pPr>
        <w:ind w:left="720"/>
        <w:jc w:val="both"/>
        <w:sectPr w:rsidR="00B1460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r w:rsidRPr="00534ADD">
        <w:rPr>
          <w:rFonts w:ascii="Arial" w:hAnsi="Arial"/>
          <w:b/>
          <w:sz w:val="24"/>
          <w:szCs w:val="24"/>
        </w:rPr>
        <w:t xml:space="preserve">Additional </w:t>
      </w:r>
      <w:r w:rsidR="00D27D57" w:rsidRPr="00534ADD">
        <w:rPr>
          <w:rFonts w:ascii="Arial" w:hAnsi="Arial"/>
          <w:b/>
          <w:sz w:val="24"/>
          <w:szCs w:val="24"/>
        </w:rPr>
        <w:t xml:space="preserve">trends and risks which are likely to impact the Issuer are detailed in Item 17 </w:t>
      </w:r>
      <w:r w:rsidR="00D27D57" w:rsidRPr="00534ADD">
        <w:rPr>
          <w:rFonts w:ascii="Arial" w:hAnsi="Arial"/>
          <w:b/>
          <w:i/>
          <w:sz w:val="24"/>
          <w:szCs w:val="24"/>
        </w:rPr>
        <w:t xml:space="preserve">Risk Factors </w:t>
      </w:r>
      <w:r w:rsidR="00D27D57" w:rsidRPr="00534ADD">
        <w:rPr>
          <w:rFonts w:ascii="Arial" w:hAnsi="Arial"/>
          <w:b/>
          <w:sz w:val="24"/>
          <w:szCs w:val="24"/>
        </w:rPr>
        <w:t>of the Issuer’</w:t>
      </w:r>
      <w:r w:rsidR="00F62777" w:rsidRPr="00534ADD">
        <w:rPr>
          <w:rFonts w:ascii="Arial" w:hAnsi="Arial"/>
          <w:b/>
          <w:sz w:val="24"/>
          <w:szCs w:val="24"/>
        </w:rPr>
        <w:t>s</w:t>
      </w:r>
      <w:r w:rsidR="00D27D57" w:rsidRPr="00534ADD">
        <w:rPr>
          <w:rFonts w:ascii="Arial" w:hAnsi="Arial"/>
          <w:b/>
          <w:sz w:val="24"/>
          <w:szCs w:val="24"/>
        </w:rPr>
        <w:t xml:space="preserve"> Form 2A – </w:t>
      </w:r>
      <w:r w:rsidR="00F62777" w:rsidRPr="00534ADD">
        <w:rPr>
          <w:rFonts w:ascii="Arial" w:hAnsi="Arial"/>
          <w:b/>
          <w:sz w:val="24"/>
          <w:szCs w:val="24"/>
        </w:rPr>
        <w:t xml:space="preserve">Annual Updated </w:t>
      </w:r>
      <w:r w:rsidR="00D27D57" w:rsidRPr="00534ADD">
        <w:rPr>
          <w:rFonts w:ascii="Arial" w:hAnsi="Arial"/>
          <w:b/>
          <w:sz w:val="24"/>
          <w:szCs w:val="24"/>
        </w:rPr>
        <w:t xml:space="preserve">Listing Statement dated </w:t>
      </w:r>
      <w:r w:rsidR="00D21BD0" w:rsidRPr="00534ADD">
        <w:rPr>
          <w:rFonts w:ascii="Arial" w:hAnsi="Arial"/>
          <w:b/>
          <w:sz w:val="24"/>
          <w:szCs w:val="24"/>
        </w:rPr>
        <w:t>April 1, 2019</w:t>
      </w:r>
      <w:r w:rsidR="00761672">
        <w:rPr>
          <w:rFonts w:ascii="Arial" w:hAnsi="Arial"/>
          <w:b/>
          <w:sz w:val="24"/>
          <w:szCs w:val="24"/>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773AFF9B"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2D3E1F">
        <w:rPr>
          <w:rFonts w:ascii="Arial" w:hAnsi="Arial"/>
          <w:u w:val="single"/>
        </w:rPr>
        <w:t>October 6</w:t>
      </w:r>
      <w:r w:rsidR="00455163">
        <w:rPr>
          <w:rFonts w:ascii="Arial" w:hAnsi="Arial"/>
          <w:u w:val="single"/>
        </w:rPr>
        <w:t xml:space="preserve"> </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20</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5E41D562" w:rsidR="00B4522F" w:rsidRPr="006C2C61" w:rsidRDefault="002E3207" w:rsidP="003E189C">
            <w:pPr>
              <w:pStyle w:val="BodyText"/>
              <w:spacing w:before="0"/>
              <w:rPr>
                <w:rFonts w:ascii="Arial" w:hAnsi="Arial"/>
                <w:b/>
              </w:rPr>
            </w:pPr>
            <w:r>
              <w:rPr>
                <w:rFonts w:ascii="Arial" w:hAnsi="Arial"/>
                <w:b/>
              </w:rPr>
              <w:t xml:space="preserve">September </w:t>
            </w:r>
            <w:r w:rsidR="00707B58" w:rsidRPr="006C2C61">
              <w:rPr>
                <w:rFonts w:ascii="Arial" w:hAnsi="Arial"/>
                <w:b/>
              </w:rPr>
              <w:t>20</w:t>
            </w:r>
            <w:r w:rsidR="00147A15">
              <w:rPr>
                <w:rFonts w:ascii="Arial" w:hAnsi="Arial"/>
                <w:b/>
              </w:rPr>
              <w:t>20</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1234B96A" w:rsidR="00B4522F" w:rsidRPr="006C2C61" w:rsidRDefault="00D56F0F" w:rsidP="003E189C">
            <w:pPr>
              <w:pStyle w:val="BodyText"/>
              <w:spacing w:before="0"/>
              <w:rPr>
                <w:rFonts w:ascii="Arial" w:hAnsi="Arial"/>
                <w:b/>
              </w:rPr>
            </w:pPr>
            <w:r>
              <w:rPr>
                <w:rFonts w:ascii="Arial" w:hAnsi="Arial"/>
                <w:b/>
              </w:rPr>
              <w:t>20</w:t>
            </w:r>
            <w:r w:rsidR="00B75173" w:rsidRPr="006C2C61">
              <w:rPr>
                <w:rFonts w:ascii="Arial" w:hAnsi="Arial"/>
                <w:b/>
              </w:rPr>
              <w:t>/</w:t>
            </w:r>
            <w:r w:rsidR="002D3E1F">
              <w:rPr>
                <w:rFonts w:ascii="Arial" w:hAnsi="Arial"/>
                <w:b/>
              </w:rPr>
              <w:t>1</w:t>
            </w:r>
            <w:r>
              <w:rPr>
                <w:rFonts w:ascii="Arial" w:hAnsi="Arial"/>
                <w:b/>
              </w:rPr>
              <w:t>0</w:t>
            </w:r>
            <w:r w:rsidR="00D134DC" w:rsidRPr="006C2C61">
              <w:rPr>
                <w:rFonts w:ascii="Arial" w:hAnsi="Arial"/>
                <w:b/>
              </w:rPr>
              <w:t>/</w:t>
            </w:r>
            <w:r w:rsidR="00BB2A98" w:rsidRPr="006C2C61">
              <w:rPr>
                <w:rFonts w:ascii="Arial" w:hAnsi="Arial"/>
                <w:b/>
              </w:rPr>
              <w:t>0</w:t>
            </w:r>
            <w:r w:rsidR="002E3207">
              <w:rPr>
                <w:rFonts w:ascii="Arial" w:hAnsi="Arial"/>
                <w:b/>
              </w:rPr>
              <w:t>6</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2CA5970D" w:rsidR="00640E94" w:rsidRPr="006C2C61" w:rsidRDefault="009259B1">
            <w:pPr>
              <w:pStyle w:val="BodyText"/>
              <w:spacing w:before="0"/>
              <w:rPr>
                <w:rFonts w:ascii="Arial" w:hAnsi="Arial"/>
                <w:b/>
              </w:rPr>
            </w:pPr>
            <w:r w:rsidRPr="006C2C61">
              <w:rPr>
                <w:rFonts w:ascii="Arial" w:hAnsi="Arial"/>
                <w:b/>
              </w:rPr>
              <w:t xml:space="preserve">Suite </w:t>
            </w:r>
            <w:r w:rsidR="004C5C57">
              <w:rPr>
                <w:rFonts w:ascii="Arial" w:hAnsi="Arial"/>
                <w:b/>
              </w:rPr>
              <w:t>2</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581574C0" w14:textId="7F03498D" w:rsidR="0021376D" w:rsidRPr="00DF18A3" w:rsidRDefault="0021376D" w:rsidP="0021376D">
      <w:pPr>
        <w:tabs>
          <w:tab w:val="left" w:pos="2340"/>
        </w:tabs>
        <w:spacing w:after="180"/>
        <w:jc w:val="center"/>
        <w:rPr>
          <w:rFonts w:ascii="Arial" w:hAnsi="Arial" w:cs="Arial"/>
        </w:rPr>
      </w:pPr>
      <w:bookmarkStart w:id="5" w:name="DocsID"/>
      <w:bookmarkStart w:id="6" w:name="_30j0zll" w:colFirst="0" w:colLast="0"/>
      <w:bookmarkEnd w:id="5"/>
      <w:bookmarkEnd w:id="6"/>
      <w:r>
        <w:rPr>
          <w:rFonts w:ascii="Arial" w:hAnsi="Arial" w:cs="Arial"/>
          <w:i/>
          <w:iCs/>
          <w:sz w:val="16"/>
          <w:szCs w:val="16"/>
        </w:rPr>
        <w:br w:type="page"/>
      </w:r>
      <w:r w:rsidRPr="00DF18A3">
        <w:rPr>
          <w:rFonts w:ascii="Arial" w:hAnsi="Arial" w:cs="Arial"/>
          <w:b/>
        </w:rPr>
        <w:lastRenderedPageBreak/>
        <w:t>CENTR BRANDS CORP.</w:t>
      </w:r>
      <w:r w:rsidRPr="00DF18A3">
        <w:rPr>
          <w:rFonts w:ascii="Arial" w:hAnsi="Arial" w:cs="Arial"/>
          <w:b/>
        </w:rPr>
        <w:br/>
      </w:r>
      <w:r w:rsidRPr="00DF18A3">
        <w:rPr>
          <w:rFonts w:ascii="Arial" w:hAnsi="Arial" w:cs="Arial"/>
        </w:rPr>
        <w:t>200-2318 Oak St.</w:t>
      </w:r>
      <w:r w:rsidRPr="00DF18A3">
        <w:rPr>
          <w:rFonts w:ascii="Arial" w:hAnsi="Arial" w:cs="Arial"/>
        </w:rPr>
        <w:br/>
        <w:t>Vancouver, British Columbia</w:t>
      </w:r>
      <w:r w:rsidRPr="00DF18A3">
        <w:rPr>
          <w:rFonts w:ascii="Arial" w:hAnsi="Arial" w:cs="Arial"/>
        </w:rPr>
        <w:br/>
        <w:t>V6H 4J1</w:t>
      </w:r>
    </w:p>
    <w:p w14:paraId="4A2CD9C4" w14:textId="77777777" w:rsidR="0021376D" w:rsidRPr="00AF6ECA" w:rsidRDefault="0021376D" w:rsidP="0021376D">
      <w:pPr>
        <w:spacing w:after="180"/>
        <w:jc w:val="center"/>
        <w:rPr>
          <w:rFonts w:ascii="Arial" w:hAnsi="Arial" w:cs="Arial"/>
          <w:b/>
          <w:sz w:val="21"/>
          <w:szCs w:val="21"/>
        </w:rPr>
      </w:pPr>
      <w:r w:rsidRPr="00AF6ECA">
        <w:rPr>
          <w:rFonts w:ascii="Arial" w:hAnsi="Arial" w:cs="Arial"/>
          <w:b/>
          <w:sz w:val="21"/>
          <w:szCs w:val="21"/>
        </w:rPr>
        <w:t>NEWS RELEASE</w:t>
      </w:r>
    </w:p>
    <w:p w14:paraId="35AB233F" w14:textId="77777777" w:rsidR="0021376D" w:rsidRPr="00AF6ECA" w:rsidRDefault="0021376D" w:rsidP="0021376D">
      <w:pPr>
        <w:spacing w:after="180"/>
        <w:jc w:val="center"/>
        <w:rPr>
          <w:rFonts w:ascii="Arial" w:hAnsi="Arial" w:cs="Arial"/>
          <w:b/>
          <w:sz w:val="21"/>
          <w:szCs w:val="21"/>
        </w:rPr>
      </w:pPr>
      <w:r w:rsidRPr="00AF6ECA">
        <w:rPr>
          <w:rFonts w:ascii="Arial" w:hAnsi="Arial" w:cs="Arial"/>
          <w:b/>
          <w:sz w:val="21"/>
          <w:szCs w:val="21"/>
        </w:rPr>
        <w:t>NOT FOR DISTRIBUTION TO UNITED STATES NEWSWIRE SERVICES OR FOR DISSEMINATION IN THE UNITED STATES</w:t>
      </w:r>
    </w:p>
    <w:p w14:paraId="01740913" w14:textId="77777777" w:rsidR="0021376D" w:rsidRPr="00AF6ECA" w:rsidRDefault="0021376D" w:rsidP="0021376D">
      <w:pPr>
        <w:spacing w:after="180"/>
        <w:jc w:val="center"/>
        <w:rPr>
          <w:rFonts w:ascii="Arial" w:hAnsi="Arial" w:cs="Arial"/>
          <w:b/>
          <w:sz w:val="21"/>
          <w:szCs w:val="21"/>
        </w:rPr>
      </w:pPr>
      <w:r w:rsidRPr="00AF6ECA">
        <w:rPr>
          <w:rFonts w:ascii="Arial" w:hAnsi="Arial" w:cs="Arial"/>
          <w:b/>
          <w:sz w:val="21"/>
          <w:szCs w:val="21"/>
        </w:rPr>
        <w:t>CENTR BRANDS CORP. CLOSES FIRST TRANCHE OF PRIVATE PLACEMENT</w:t>
      </w:r>
    </w:p>
    <w:p w14:paraId="5B8CC191" w14:textId="77777777" w:rsidR="0021376D" w:rsidRDefault="0021376D" w:rsidP="0021376D">
      <w:pPr>
        <w:jc w:val="both"/>
        <w:rPr>
          <w:rFonts w:ascii="Arial" w:hAnsi="Arial" w:cs="Arial"/>
          <w:sz w:val="21"/>
          <w:szCs w:val="21"/>
        </w:rPr>
      </w:pPr>
      <w:r w:rsidRPr="00AF6ECA">
        <w:rPr>
          <w:rFonts w:ascii="Arial" w:hAnsi="Arial" w:cs="Arial"/>
          <w:sz w:val="21"/>
          <w:szCs w:val="21"/>
        </w:rPr>
        <w:t xml:space="preserve">September </w:t>
      </w:r>
      <w:r>
        <w:rPr>
          <w:rFonts w:ascii="Arial" w:hAnsi="Arial" w:cs="Arial"/>
          <w:sz w:val="21"/>
          <w:szCs w:val="21"/>
        </w:rPr>
        <w:t>8</w:t>
      </w:r>
      <w:r w:rsidRPr="00AF6ECA">
        <w:rPr>
          <w:rFonts w:ascii="Arial" w:hAnsi="Arial" w:cs="Arial"/>
          <w:sz w:val="21"/>
          <w:szCs w:val="21"/>
        </w:rPr>
        <w:t>, 2020 – Vancouver, British Columbia – CENTR Brands Corp. (the “</w:t>
      </w:r>
      <w:r w:rsidRPr="00AF6ECA">
        <w:rPr>
          <w:rFonts w:ascii="Arial" w:hAnsi="Arial" w:cs="Arial"/>
          <w:b/>
          <w:sz w:val="21"/>
          <w:szCs w:val="21"/>
        </w:rPr>
        <w:t>Company</w:t>
      </w:r>
      <w:r w:rsidRPr="00AF6ECA">
        <w:rPr>
          <w:rFonts w:ascii="Arial" w:hAnsi="Arial" w:cs="Arial"/>
          <w:sz w:val="21"/>
          <w:szCs w:val="21"/>
        </w:rPr>
        <w:t>”) (CSE: CNTR, FRA: 303) is pleased to announce it has closed the first tranche (the “</w:t>
      </w:r>
      <w:r w:rsidRPr="00AF6ECA">
        <w:rPr>
          <w:rFonts w:ascii="Arial" w:hAnsi="Arial" w:cs="Arial"/>
          <w:b/>
          <w:bCs/>
          <w:sz w:val="21"/>
          <w:szCs w:val="21"/>
        </w:rPr>
        <w:t>First Tranche</w:t>
      </w:r>
      <w:r w:rsidRPr="00AF6ECA">
        <w:rPr>
          <w:rFonts w:ascii="Arial" w:hAnsi="Arial" w:cs="Arial"/>
          <w:sz w:val="21"/>
          <w:szCs w:val="21"/>
        </w:rPr>
        <w:t xml:space="preserve">”) of </w:t>
      </w:r>
      <w:r>
        <w:rPr>
          <w:rFonts w:ascii="Arial" w:hAnsi="Arial" w:cs="Arial"/>
          <w:sz w:val="21"/>
          <w:szCs w:val="21"/>
        </w:rPr>
        <w:t>the</w:t>
      </w:r>
      <w:r w:rsidRPr="00AF6ECA">
        <w:rPr>
          <w:rFonts w:ascii="Arial" w:hAnsi="Arial" w:cs="Arial"/>
          <w:sz w:val="21"/>
          <w:szCs w:val="21"/>
        </w:rPr>
        <w:t xml:space="preserve"> non-brokered private placement (the “</w:t>
      </w:r>
      <w:r w:rsidRPr="00AF6ECA">
        <w:rPr>
          <w:rFonts w:ascii="Arial" w:hAnsi="Arial" w:cs="Arial"/>
          <w:b/>
          <w:bCs/>
          <w:sz w:val="21"/>
          <w:szCs w:val="21"/>
        </w:rPr>
        <w:t>Offering</w:t>
      </w:r>
      <w:r w:rsidRPr="00AF6ECA">
        <w:rPr>
          <w:rFonts w:ascii="Arial" w:hAnsi="Arial" w:cs="Arial"/>
          <w:sz w:val="21"/>
          <w:szCs w:val="21"/>
        </w:rPr>
        <w:t xml:space="preserve">”) announced </w:t>
      </w:r>
      <w:r>
        <w:rPr>
          <w:rFonts w:ascii="Arial" w:hAnsi="Arial" w:cs="Arial"/>
          <w:sz w:val="21"/>
          <w:szCs w:val="21"/>
        </w:rPr>
        <w:t xml:space="preserve">August 25, 2020. </w:t>
      </w:r>
      <w:r w:rsidRPr="00AF6ECA">
        <w:rPr>
          <w:rFonts w:ascii="Arial" w:hAnsi="Arial" w:cs="Arial"/>
          <w:sz w:val="21"/>
          <w:szCs w:val="21"/>
        </w:rPr>
        <w:t xml:space="preserve"> The First Tranche comprise</w:t>
      </w:r>
      <w:r>
        <w:rPr>
          <w:rFonts w:ascii="Arial" w:hAnsi="Arial" w:cs="Arial"/>
          <w:sz w:val="21"/>
          <w:szCs w:val="21"/>
        </w:rPr>
        <w:t>s</w:t>
      </w:r>
      <w:r w:rsidRPr="00AF6ECA">
        <w:rPr>
          <w:rFonts w:ascii="Arial" w:hAnsi="Arial" w:cs="Arial"/>
          <w:sz w:val="21"/>
          <w:szCs w:val="21"/>
        </w:rPr>
        <w:t xml:space="preserve"> 1,963,000 Units of the Company (the “</w:t>
      </w:r>
      <w:r w:rsidRPr="00AF6ECA">
        <w:rPr>
          <w:rFonts w:ascii="Arial" w:hAnsi="Arial" w:cs="Arial"/>
          <w:b/>
          <w:bCs/>
          <w:sz w:val="21"/>
          <w:szCs w:val="21"/>
        </w:rPr>
        <w:t>Units</w:t>
      </w:r>
      <w:r w:rsidRPr="00AF6ECA">
        <w:rPr>
          <w:rFonts w:ascii="Arial" w:hAnsi="Arial" w:cs="Arial"/>
          <w:sz w:val="21"/>
          <w:szCs w:val="21"/>
        </w:rPr>
        <w:t>”) issued at a price of $0.35 per Unit for aggregate gross proceeds of $687,050. Each Unit consists of one common share in the capital of the Issuer (each a “</w:t>
      </w:r>
      <w:r w:rsidRPr="00AF6ECA">
        <w:rPr>
          <w:rFonts w:ascii="Arial" w:hAnsi="Arial" w:cs="Arial"/>
          <w:b/>
          <w:bCs/>
          <w:sz w:val="21"/>
          <w:szCs w:val="21"/>
        </w:rPr>
        <w:t>Common Share</w:t>
      </w:r>
      <w:r w:rsidRPr="00AF6ECA">
        <w:rPr>
          <w:rFonts w:ascii="Arial" w:hAnsi="Arial" w:cs="Arial"/>
          <w:sz w:val="21"/>
          <w:szCs w:val="21"/>
        </w:rPr>
        <w:t>”) and one common share purchase warrant (each, a “</w:t>
      </w:r>
      <w:r w:rsidRPr="00AF6ECA">
        <w:rPr>
          <w:rFonts w:ascii="Arial" w:hAnsi="Arial" w:cs="Arial"/>
          <w:b/>
          <w:bCs/>
          <w:sz w:val="21"/>
          <w:szCs w:val="21"/>
        </w:rPr>
        <w:t>Warrant</w:t>
      </w:r>
      <w:r w:rsidRPr="00AF6ECA">
        <w:rPr>
          <w:rFonts w:ascii="Arial" w:hAnsi="Arial" w:cs="Arial"/>
          <w:sz w:val="21"/>
          <w:szCs w:val="21"/>
        </w:rPr>
        <w:t>”). Each Warrant entitles the holder thereof to acquire one Common Share at the price of $0.60 for a period of three years from closing. The Common Shares and Warrants, and any Common Shares issuable upon the exercise of the Warrants issued pursuant to the First Tranche, are subject to a statutory hold period of four months and one day from the closing.</w:t>
      </w:r>
    </w:p>
    <w:p w14:paraId="41EAC333" w14:textId="77777777" w:rsidR="0021376D" w:rsidRPr="00AF6ECA" w:rsidRDefault="0021376D" w:rsidP="0021376D">
      <w:pPr>
        <w:jc w:val="both"/>
        <w:rPr>
          <w:rFonts w:ascii="Arial" w:hAnsi="Arial" w:cs="Arial"/>
          <w:sz w:val="21"/>
          <w:szCs w:val="21"/>
        </w:rPr>
      </w:pPr>
    </w:p>
    <w:p w14:paraId="664F5391" w14:textId="77777777" w:rsidR="0021376D" w:rsidRPr="00AF6ECA" w:rsidRDefault="0021376D" w:rsidP="0021376D">
      <w:pPr>
        <w:jc w:val="both"/>
        <w:rPr>
          <w:rFonts w:ascii="Arial" w:hAnsi="Arial" w:cs="Arial"/>
          <w:sz w:val="21"/>
          <w:szCs w:val="21"/>
        </w:rPr>
      </w:pPr>
      <w:r w:rsidRPr="00AF6ECA">
        <w:rPr>
          <w:rFonts w:ascii="Arial" w:hAnsi="Arial" w:cs="Arial"/>
          <w:sz w:val="21"/>
          <w:szCs w:val="21"/>
        </w:rPr>
        <w:t xml:space="preserve">In connection with the offering, the Corporation paid to finders, </w:t>
      </w:r>
      <w:r>
        <w:rPr>
          <w:rFonts w:ascii="Arial" w:hAnsi="Arial" w:cs="Arial"/>
          <w:sz w:val="21"/>
          <w:szCs w:val="21"/>
        </w:rPr>
        <w:t>each</w:t>
      </w:r>
      <w:r w:rsidRPr="00AF6ECA">
        <w:rPr>
          <w:rFonts w:ascii="Arial" w:hAnsi="Arial" w:cs="Arial"/>
          <w:sz w:val="21"/>
          <w:szCs w:val="21"/>
        </w:rPr>
        <w:t xml:space="preserve"> at arms’ length </w:t>
      </w:r>
      <w:r>
        <w:rPr>
          <w:rFonts w:ascii="Arial" w:hAnsi="Arial" w:cs="Arial"/>
          <w:sz w:val="21"/>
          <w:szCs w:val="21"/>
        </w:rPr>
        <w:t>to</w:t>
      </w:r>
      <w:r w:rsidRPr="00AF6ECA">
        <w:rPr>
          <w:rFonts w:ascii="Arial" w:hAnsi="Arial" w:cs="Arial"/>
          <w:sz w:val="21"/>
          <w:szCs w:val="21"/>
        </w:rPr>
        <w:t xml:space="preserve"> the Corporation, finders’ fees of 6% for a total of $21,000 in cash and issued 60,000 </w:t>
      </w:r>
      <w:r>
        <w:rPr>
          <w:rFonts w:ascii="Arial" w:hAnsi="Arial" w:cs="Arial"/>
          <w:sz w:val="21"/>
          <w:szCs w:val="21"/>
        </w:rPr>
        <w:t>b</w:t>
      </w:r>
      <w:r w:rsidRPr="00AF6ECA">
        <w:rPr>
          <w:rFonts w:ascii="Arial" w:hAnsi="Arial" w:cs="Arial"/>
          <w:sz w:val="21"/>
          <w:szCs w:val="21"/>
        </w:rPr>
        <w:t xml:space="preserve">roker </w:t>
      </w:r>
      <w:r>
        <w:rPr>
          <w:rFonts w:ascii="Arial" w:hAnsi="Arial" w:cs="Arial"/>
          <w:sz w:val="21"/>
          <w:szCs w:val="21"/>
        </w:rPr>
        <w:t>w</w:t>
      </w:r>
      <w:r w:rsidRPr="00AF6ECA">
        <w:rPr>
          <w:rFonts w:ascii="Arial" w:hAnsi="Arial" w:cs="Arial"/>
          <w:sz w:val="21"/>
          <w:szCs w:val="21"/>
        </w:rPr>
        <w:t xml:space="preserve">arrants, with each </w:t>
      </w:r>
      <w:r>
        <w:rPr>
          <w:rFonts w:ascii="Arial" w:hAnsi="Arial" w:cs="Arial"/>
          <w:sz w:val="21"/>
          <w:szCs w:val="21"/>
        </w:rPr>
        <w:t>w</w:t>
      </w:r>
      <w:r w:rsidRPr="00AF6ECA">
        <w:rPr>
          <w:rFonts w:ascii="Arial" w:hAnsi="Arial" w:cs="Arial"/>
          <w:sz w:val="21"/>
          <w:szCs w:val="21"/>
        </w:rPr>
        <w:t xml:space="preserve">arrant entitling the holder to acquire one (1) </w:t>
      </w:r>
      <w:r>
        <w:rPr>
          <w:rFonts w:ascii="Arial" w:hAnsi="Arial" w:cs="Arial"/>
          <w:sz w:val="21"/>
          <w:szCs w:val="21"/>
        </w:rPr>
        <w:t xml:space="preserve">Common </w:t>
      </w:r>
      <w:r w:rsidRPr="00AF6ECA">
        <w:rPr>
          <w:rFonts w:ascii="Arial" w:hAnsi="Arial" w:cs="Arial"/>
          <w:sz w:val="21"/>
          <w:szCs w:val="21"/>
        </w:rPr>
        <w:t>Share of the Corporation at a price of $0.60 over a period of 12 months from the closing date.</w:t>
      </w:r>
    </w:p>
    <w:p w14:paraId="0C45CBED" w14:textId="77777777" w:rsidR="0021376D" w:rsidRPr="00AF6ECA" w:rsidRDefault="0021376D" w:rsidP="0021376D">
      <w:pPr>
        <w:jc w:val="both"/>
        <w:rPr>
          <w:rFonts w:ascii="Arial" w:hAnsi="Arial" w:cs="Arial"/>
          <w:sz w:val="21"/>
          <w:szCs w:val="21"/>
        </w:rPr>
      </w:pPr>
    </w:p>
    <w:p w14:paraId="6CAD0C4D" w14:textId="77777777" w:rsidR="0021376D" w:rsidRPr="007421A5" w:rsidRDefault="0021376D" w:rsidP="0021376D">
      <w:pPr>
        <w:jc w:val="both"/>
        <w:rPr>
          <w:rFonts w:ascii="Arial" w:hAnsi="Arial" w:cs="Arial"/>
          <w:sz w:val="21"/>
          <w:szCs w:val="21"/>
        </w:rPr>
      </w:pPr>
      <w:r w:rsidRPr="00AF6ECA">
        <w:rPr>
          <w:rFonts w:ascii="Arial" w:hAnsi="Arial" w:cs="Arial"/>
          <w:sz w:val="21"/>
          <w:szCs w:val="21"/>
        </w:rPr>
        <w:t xml:space="preserve">The purchase of 813,000 </w:t>
      </w:r>
      <w:r>
        <w:rPr>
          <w:rFonts w:ascii="Arial" w:hAnsi="Arial" w:cs="Arial"/>
          <w:sz w:val="21"/>
          <w:szCs w:val="21"/>
        </w:rPr>
        <w:t>U</w:t>
      </w:r>
      <w:r w:rsidRPr="007421A5">
        <w:rPr>
          <w:rFonts w:ascii="Arial" w:hAnsi="Arial" w:cs="Arial"/>
          <w:sz w:val="21"/>
          <w:szCs w:val="21"/>
        </w:rPr>
        <w:t xml:space="preserve">nits for gross proceeds of </w:t>
      </w:r>
      <w:r w:rsidRPr="00085E69">
        <w:rPr>
          <w:rFonts w:ascii="Arial" w:hAnsi="Arial" w:cs="Arial"/>
          <w:sz w:val="21"/>
          <w:szCs w:val="21"/>
        </w:rPr>
        <w:t>$284,550</w:t>
      </w:r>
      <w:r w:rsidRPr="00AF6ECA">
        <w:rPr>
          <w:rFonts w:ascii="Arial" w:hAnsi="Arial" w:cs="Arial"/>
          <w:sz w:val="21"/>
          <w:szCs w:val="21"/>
        </w:rPr>
        <w:t xml:space="preserve"> under the First Tranche constituted a “related party transaction” </w:t>
      </w:r>
      <w:r w:rsidRPr="007421A5">
        <w:rPr>
          <w:rFonts w:ascii="Arial" w:hAnsi="Arial" w:cs="Arial"/>
          <w:sz w:val="21"/>
          <w:szCs w:val="21"/>
        </w:rPr>
        <w:t xml:space="preserve">as defined under Multilateral Instrument 61-101 (“MI 61-101”). The transaction is exempt from the formal valuation and minority shareholder approval requirements of MI 61-101 as neither the fair market value of any </w:t>
      </w:r>
      <w:r>
        <w:rPr>
          <w:rFonts w:ascii="Arial" w:hAnsi="Arial" w:cs="Arial"/>
          <w:sz w:val="21"/>
          <w:szCs w:val="21"/>
        </w:rPr>
        <w:t>S</w:t>
      </w:r>
      <w:r w:rsidRPr="007421A5">
        <w:rPr>
          <w:rFonts w:ascii="Arial" w:hAnsi="Arial" w:cs="Arial"/>
          <w:sz w:val="21"/>
          <w:szCs w:val="21"/>
        </w:rPr>
        <w:t xml:space="preserve">hares issued to </w:t>
      </w:r>
      <w:r>
        <w:rPr>
          <w:rFonts w:ascii="Arial" w:hAnsi="Arial" w:cs="Arial"/>
          <w:sz w:val="21"/>
          <w:szCs w:val="21"/>
        </w:rPr>
        <w:t>n</w:t>
      </w:r>
      <w:r w:rsidRPr="007421A5">
        <w:rPr>
          <w:rFonts w:ascii="Arial" w:hAnsi="Arial" w:cs="Arial"/>
          <w:sz w:val="21"/>
          <w:szCs w:val="21"/>
        </w:rPr>
        <w:t>or the consideration paid by such persons exceeded 25% of the Company’s market capitalization.</w:t>
      </w:r>
    </w:p>
    <w:p w14:paraId="45BDD192" w14:textId="77777777" w:rsidR="0021376D" w:rsidRPr="00AF6ECA" w:rsidRDefault="0021376D" w:rsidP="0021376D">
      <w:pPr>
        <w:jc w:val="both"/>
        <w:rPr>
          <w:rFonts w:ascii="Arial" w:hAnsi="Arial" w:cs="Arial"/>
          <w:sz w:val="21"/>
          <w:szCs w:val="21"/>
        </w:rPr>
      </w:pPr>
    </w:p>
    <w:p w14:paraId="1E1DA196" w14:textId="77777777" w:rsidR="0021376D" w:rsidRDefault="0021376D" w:rsidP="0021376D">
      <w:pPr>
        <w:jc w:val="both"/>
        <w:rPr>
          <w:rFonts w:ascii="Arial" w:hAnsi="Arial" w:cs="Arial"/>
          <w:sz w:val="21"/>
          <w:szCs w:val="21"/>
        </w:rPr>
      </w:pPr>
      <w:r w:rsidRPr="00AF6ECA">
        <w:rPr>
          <w:rFonts w:ascii="Arial" w:hAnsi="Arial" w:cs="Arial"/>
          <w:sz w:val="21"/>
          <w:szCs w:val="21"/>
        </w:rPr>
        <w:t>The corporation will use the proceeds of the Offering for general working capital purposes.</w:t>
      </w:r>
    </w:p>
    <w:p w14:paraId="71CCBF45" w14:textId="77777777" w:rsidR="0021376D" w:rsidRPr="00DB3A02" w:rsidRDefault="0021376D" w:rsidP="0021376D">
      <w:pPr>
        <w:jc w:val="both"/>
        <w:rPr>
          <w:rFonts w:ascii="Arial" w:hAnsi="Arial" w:cs="Arial"/>
          <w:sz w:val="21"/>
          <w:szCs w:val="21"/>
        </w:rPr>
      </w:pPr>
    </w:p>
    <w:p w14:paraId="56D2BAB8" w14:textId="77777777" w:rsidR="0021376D" w:rsidRPr="00AF6ECA" w:rsidRDefault="0021376D" w:rsidP="0021376D">
      <w:pPr>
        <w:spacing w:after="180"/>
        <w:jc w:val="both"/>
        <w:rPr>
          <w:rFonts w:ascii="Arial" w:hAnsi="Arial" w:cs="Arial"/>
          <w:sz w:val="21"/>
          <w:szCs w:val="21"/>
        </w:rPr>
      </w:pPr>
      <w:r w:rsidRPr="00AF6ECA">
        <w:rPr>
          <w:rFonts w:ascii="Arial" w:hAnsi="Arial" w:cs="Arial"/>
          <w:b/>
          <w:sz w:val="21"/>
          <w:szCs w:val="21"/>
        </w:rPr>
        <w:t xml:space="preserve">About CENTR Brands Corp. </w:t>
      </w:r>
      <w:r w:rsidRPr="00AF6ECA">
        <w:rPr>
          <w:rFonts w:ascii="Arial" w:hAnsi="Arial" w:cs="Arial"/>
          <w:sz w:val="21"/>
          <w:szCs w:val="21"/>
        </w:rPr>
        <w:t xml:space="preserve">CENTR Brands Corp. is a better beverage company, involved in the development and marketing of non-alcoholic beverages for the global market. The Company’s first product, named CENTR, is a sparkling, low-calorie, cannabidiol (CBD) infused beverage. </w:t>
      </w:r>
    </w:p>
    <w:p w14:paraId="6D51FA09" w14:textId="77777777" w:rsidR="0021376D" w:rsidRPr="00AF6ECA" w:rsidRDefault="0021376D" w:rsidP="0021376D">
      <w:pPr>
        <w:spacing w:after="180"/>
        <w:jc w:val="both"/>
        <w:rPr>
          <w:rFonts w:ascii="Arial" w:hAnsi="Arial" w:cs="Arial"/>
          <w:sz w:val="21"/>
          <w:szCs w:val="21"/>
        </w:rPr>
      </w:pPr>
      <w:hyperlink r:id="rId12" w:history="1">
        <w:r w:rsidRPr="00AF6ECA">
          <w:rPr>
            <w:rStyle w:val="Hyperlink"/>
            <w:rFonts w:ascii="Arial" w:hAnsi="Arial" w:cs="Arial"/>
            <w:sz w:val="21"/>
            <w:szCs w:val="21"/>
          </w:rPr>
          <w:t>www.findyourcentr.com</w:t>
        </w:r>
      </w:hyperlink>
      <w:r w:rsidRPr="00AF6ECA">
        <w:rPr>
          <w:rFonts w:ascii="Arial" w:hAnsi="Arial" w:cs="Arial"/>
          <w:sz w:val="21"/>
          <w:szCs w:val="21"/>
        </w:rPr>
        <w:t xml:space="preserve"> </w:t>
      </w:r>
    </w:p>
    <w:p w14:paraId="7CF21943" w14:textId="77777777" w:rsidR="0021376D" w:rsidRPr="00AF6ECA" w:rsidRDefault="0021376D" w:rsidP="0021376D">
      <w:pPr>
        <w:spacing w:after="180"/>
        <w:jc w:val="both"/>
        <w:rPr>
          <w:rFonts w:ascii="Arial" w:hAnsi="Arial" w:cs="Arial"/>
          <w:sz w:val="21"/>
          <w:szCs w:val="21"/>
        </w:rPr>
      </w:pPr>
      <w:r w:rsidRPr="00AF6ECA">
        <w:rPr>
          <w:rFonts w:ascii="Arial" w:hAnsi="Arial" w:cs="Arial"/>
          <w:sz w:val="21"/>
          <w:szCs w:val="21"/>
        </w:rPr>
        <w:t>For further information, contact Joseph Meehan at 1.604.733.1514.</w:t>
      </w:r>
    </w:p>
    <w:p w14:paraId="6EC0120D" w14:textId="07427171" w:rsidR="0021376D" w:rsidRPr="00AF6ECA" w:rsidRDefault="0021376D" w:rsidP="0021376D">
      <w:pPr>
        <w:spacing w:after="180"/>
        <w:rPr>
          <w:rFonts w:ascii="Arial" w:hAnsi="Arial" w:cs="Arial"/>
          <w:sz w:val="21"/>
          <w:szCs w:val="21"/>
        </w:rPr>
      </w:pPr>
    </w:p>
    <w:p w14:paraId="59818085" w14:textId="77777777" w:rsidR="0021376D" w:rsidRPr="00085E69" w:rsidRDefault="0021376D" w:rsidP="0021376D">
      <w:pPr>
        <w:spacing w:after="180"/>
        <w:rPr>
          <w:rFonts w:ascii="Arial" w:hAnsi="Arial" w:cs="Arial"/>
          <w:b/>
        </w:rPr>
      </w:pPr>
      <w:r w:rsidRPr="00085E69">
        <w:rPr>
          <w:rFonts w:ascii="Arial" w:hAnsi="Arial" w:cs="Arial"/>
          <w:b/>
        </w:rPr>
        <w:t>CENTR BRANDS CORP.</w:t>
      </w:r>
    </w:p>
    <w:p w14:paraId="582C5BA3" w14:textId="77777777" w:rsidR="0021376D" w:rsidRDefault="0021376D" w:rsidP="0021376D">
      <w:pPr>
        <w:spacing w:after="180"/>
      </w:pPr>
      <w:r>
        <w:rPr>
          <w:b/>
          <w:noProof/>
        </w:rPr>
        <w:drawing>
          <wp:inline distT="0" distB="0" distL="0" distR="0" wp14:anchorId="77C227B2" wp14:editId="6E79C14F">
            <wp:extent cx="1828800" cy="469900"/>
            <wp:effectExtent l="0" t="0" r="0" b="12700"/>
            <wp:docPr id="3" name="Picture 3" descr="jo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e s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9900"/>
                    </a:xfrm>
                    <a:prstGeom prst="rect">
                      <a:avLst/>
                    </a:prstGeom>
                    <a:noFill/>
                    <a:ln>
                      <a:noFill/>
                    </a:ln>
                  </pic:spPr>
                </pic:pic>
              </a:graphicData>
            </a:graphic>
          </wp:inline>
        </w:drawing>
      </w:r>
    </w:p>
    <w:p w14:paraId="38C45694" w14:textId="77777777" w:rsidR="0021376D" w:rsidRPr="00085E69" w:rsidRDefault="0021376D" w:rsidP="0021376D">
      <w:pPr>
        <w:spacing w:after="180"/>
        <w:rPr>
          <w:rFonts w:ascii="Arial" w:hAnsi="Arial" w:cs="Arial"/>
        </w:rPr>
      </w:pPr>
      <w:r w:rsidRPr="00085E69">
        <w:rPr>
          <w:rFonts w:ascii="Arial" w:hAnsi="Arial" w:cs="Arial"/>
        </w:rPr>
        <w:t>Joseph Meehan, Chief Executive Officer</w:t>
      </w:r>
    </w:p>
    <w:p w14:paraId="5F3A47DA" w14:textId="77777777" w:rsidR="0021376D" w:rsidRPr="003E64D8" w:rsidRDefault="0021376D" w:rsidP="0021376D">
      <w:pPr>
        <w:jc w:val="both"/>
        <w:rPr>
          <w:rFonts w:ascii="Arial" w:hAnsi="Arial" w:cs="Arial"/>
          <w:i/>
          <w:sz w:val="18"/>
          <w:szCs w:val="18"/>
        </w:rPr>
      </w:pPr>
      <w:r w:rsidRPr="003E64D8">
        <w:rPr>
          <w:rFonts w:ascii="Arial" w:hAnsi="Arial" w:cs="Arial"/>
          <w:i/>
          <w:sz w:val="18"/>
          <w:szCs w:val="18"/>
        </w:rPr>
        <w:t xml:space="preserve">This news release may contain certain “Forward-Looking Statements” within the meaning of applicable Canadian securities laws.  When or if used in this news release, the words “anticipate”, “believe”, “estimate”, “expect”, “target, “plan”, “forecast”, “may”, “schedule” and similar words or expressions identify forward-looking statements or information.  These forward-looking statements or information may relate to the development of the business of CENTR Brands Corp., the timing for the launch of the Company’s products and other matters and the use of the net proceeds of the Financing.  Such statements represent the Company’s current views with respect to future events and are </w:t>
      </w:r>
      <w:r w:rsidRPr="003E64D8">
        <w:rPr>
          <w:rFonts w:ascii="Arial" w:hAnsi="Arial" w:cs="Arial"/>
          <w:i/>
          <w:sz w:val="18"/>
          <w:szCs w:val="18"/>
        </w:rPr>
        <w:lastRenderedPageBreak/>
        <w:t>necessarily based upon a number of assumptions and estimates that, while considered reasonable by the Company, are inherently subject to significant business, economic, competitive, political and social risks, contingencies and uncertainties.  Many factors, both known and unknown, could cause results, performance or achievements to be materially different from the results, performance or achievements that are or may be expressed or implied by such forward-looking statements. The Company does not intend, and does not assume any obligation, to update these forward-looking statements or information to reflect changes in assumptions or changes in circumstances or any other events affecting such statements and information other than as required by applicable laws, rules and regulations.</w:t>
      </w:r>
    </w:p>
    <w:p w14:paraId="59E35919" w14:textId="77777777" w:rsidR="0021376D" w:rsidRDefault="0021376D" w:rsidP="0021376D">
      <w:pPr>
        <w:rPr>
          <w:rFonts w:ascii="Arial" w:hAnsi="Arial" w:cs="Arial"/>
          <w:i/>
          <w:iCs/>
          <w:color w:val="1E1F20"/>
          <w:sz w:val="18"/>
          <w:szCs w:val="18"/>
          <w:shd w:val="clear" w:color="auto" w:fill="FFFFFF"/>
        </w:rPr>
      </w:pPr>
    </w:p>
    <w:p w14:paraId="01DE0B4C" w14:textId="77777777" w:rsidR="0021376D" w:rsidRPr="003E64D8" w:rsidRDefault="0021376D" w:rsidP="0021376D">
      <w:pPr>
        <w:jc w:val="both"/>
        <w:rPr>
          <w:rFonts w:ascii="Arial" w:hAnsi="Arial" w:cs="Arial"/>
          <w:i/>
          <w:iCs/>
          <w:sz w:val="18"/>
          <w:szCs w:val="18"/>
        </w:rPr>
      </w:pPr>
      <w:r w:rsidRPr="003E64D8">
        <w:rPr>
          <w:rFonts w:ascii="Arial" w:hAnsi="Arial" w:cs="Arial"/>
          <w:i/>
          <w:iCs/>
          <w:color w:val="1E1F20"/>
          <w:sz w:val="18"/>
          <w:szCs w:val="18"/>
          <w:shd w:val="clear" w:color="auto" w:fill="FFFFFF"/>
        </w:rPr>
        <w:t>The offered securities have not been, nor will they be, registered under the United States Securities Act of 1933, as amended (the "</w:t>
      </w:r>
      <w:r w:rsidRPr="003E64D8">
        <w:rPr>
          <w:rFonts w:ascii="Arial" w:hAnsi="Arial" w:cs="Arial"/>
          <w:b/>
          <w:bCs/>
          <w:i/>
          <w:iCs/>
          <w:color w:val="1E1F20"/>
          <w:sz w:val="18"/>
          <w:szCs w:val="18"/>
        </w:rPr>
        <w:t>Securities Act</w:t>
      </w:r>
      <w:r w:rsidRPr="003E64D8">
        <w:rPr>
          <w:rFonts w:ascii="Arial" w:hAnsi="Arial" w:cs="Arial"/>
          <w:i/>
          <w:iCs/>
          <w:color w:val="1E1F20"/>
          <w:sz w:val="18"/>
          <w:szCs w:val="18"/>
          <w:shd w:val="clear" w:color="auto" w:fill="FFFFFF"/>
        </w:rPr>
        <w:t>") or any state securities laws, and may not be offered or sold to, or for the account or benefit of, any person in the United States or any "U.S. person", as such term is defined in Regulation S under the Securities Act, absent registration or an applicable exemption from registration requirements. This press release shall not constitute an offer to sell or the solicitation of an offer to buy nor shall there be any sale of the securities in any state in which such offer, solicitation or sale would be unlawful.</w:t>
      </w:r>
    </w:p>
    <w:p w14:paraId="3E6415B6" w14:textId="77777777" w:rsidR="0021376D" w:rsidRDefault="0021376D" w:rsidP="0021376D">
      <w:pPr>
        <w:jc w:val="both"/>
        <w:rPr>
          <w:rFonts w:ascii="Arial" w:hAnsi="Arial" w:cs="Arial"/>
          <w:sz w:val="18"/>
          <w:szCs w:val="18"/>
        </w:rPr>
      </w:pPr>
    </w:p>
    <w:p w14:paraId="47E74C23" w14:textId="20A1BC51" w:rsidR="0021376D" w:rsidRDefault="0021376D" w:rsidP="0021376D">
      <w:pPr>
        <w:rPr>
          <w:rFonts w:ascii="Arial" w:hAnsi="Arial" w:cs="Arial"/>
          <w:i/>
          <w:iCs/>
          <w:sz w:val="16"/>
          <w:szCs w:val="16"/>
        </w:rPr>
      </w:pPr>
      <w:r w:rsidRPr="003E64D8">
        <w:rPr>
          <w:rFonts w:ascii="Arial" w:hAnsi="Arial" w:cs="Arial"/>
          <w:i/>
          <w:iCs/>
          <w:color w:val="1E1F20"/>
          <w:sz w:val="18"/>
          <w:szCs w:val="18"/>
          <w:shd w:val="clear" w:color="auto" w:fill="FFFFFF"/>
        </w:rPr>
        <w:t xml:space="preserve">The securities issued pursuant to the </w:t>
      </w:r>
      <w:r>
        <w:rPr>
          <w:rFonts w:ascii="Arial" w:hAnsi="Arial" w:cs="Arial"/>
          <w:i/>
          <w:iCs/>
          <w:color w:val="1E1F20"/>
          <w:sz w:val="18"/>
          <w:szCs w:val="18"/>
          <w:shd w:val="clear" w:color="auto" w:fill="FFFFFF"/>
        </w:rPr>
        <w:t>Offeri</w:t>
      </w:r>
      <w:r w:rsidRPr="003E64D8">
        <w:rPr>
          <w:rFonts w:ascii="Arial" w:hAnsi="Arial" w:cs="Arial"/>
          <w:i/>
          <w:iCs/>
          <w:color w:val="1E1F20"/>
          <w:sz w:val="18"/>
          <w:szCs w:val="18"/>
          <w:shd w:val="clear" w:color="auto" w:fill="FFFFFF"/>
        </w:rPr>
        <w:t>ng will be subject to a four month and one day statutory hold period in Canada. Completion of the proposed Financing is subject to the receipt of all necessary approvals, including the approval of the Canadian Securities Exchange.</w:t>
      </w:r>
    </w:p>
    <w:p w14:paraId="799025D1" w14:textId="77777777" w:rsidR="0021376D" w:rsidRDefault="0021376D">
      <w:pPr>
        <w:rPr>
          <w:rFonts w:ascii="Arial" w:hAnsi="Arial" w:cs="Arial"/>
          <w:i/>
          <w:iCs/>
          <w:sz w:val="16"/>
          <w:szCs w:val="16"/>
        </w:rPr>
      </w:pPr>
    </w:p>
    <w:p w14:paraId="580B55D4" w14:textId="77777777" w:rsidR="0021376D" w:rsidRDefault="0021376D">
      <w:pPr>
        <w:rPr>
          <w:rFonts w:ascii="Arial" w:hAnsi="Arial" w:cs="Arial"/>
          <w:i/>
          <w:iCs/>
          <w:sz w:val="16"/>
          <w:szCs w:val="16"/>
        </w:rPr>
      </w:pPr>
    </w:p>
    <w:p w14:paraId="5CDA5922" w14:textId="77777777" w:rsidR="0021376D" w:rsidRDefault="0021376D">
      <w:pPr>
        <w:rPr>
          <w:rFonts w:ascii="Arial" w:hAnsi="Arial" w:cs="Arial"/>
          <w:b/>
        </w:rPr>
      </w:pPr>
      <w:r>
        <w:rPr>
          <w:rFonts w:ascii="Arial" w:hAnsi="Arial" w:cs="Arial"/>
          <w:b/>
        </w:rPr>
        <w:br w:type="page"/>
      </w:r>
    </w:p>
    <w:p w14:paraId="2B046A85" w14:textId="59B3AC00" w:rsidR="0021376D" w:rsidRPr="00F10A5C" w:rsidRDefault="0021376D" w:rsidP="0021376D">
      <w:pPr>
        <w:tabs>
          <w:tab w:val="left" w:pos="2340"/>
        </w:tabs>
        <w:spacing w:after="180"/>
        <w:jc w:val="center"/>
        <w:rPr>
          <w:rFonts w:ascii="Arial" w:hAnsi="Arial" w:cs="Arial"/>
        </w:rPr>
      </w:pPr>
      <w:r>
        <w:rPr>
          <w:rFonts w:ascii="Arial" w:hAnsi="Arial" w:cs="Arial"/>
          <w:b/>
        </w:rPr>
        <w:lastRenderedPageBreak/>
        <w:t>CE</w:t>
      </w:r>
      <w:r w:rsidRPr="00F10A5C">
        <w:rPr>
          <w:rFonts w:ascii="Arial" w:hAnsi="Arial" w:cs="Arial"/>
          <w:b/>
        </w:rPr>
        <w:t>NTR BRANDS CORP.</w:t>
      </w:r>
      <w:r w:rsidRPr="00F10A5C">
        <w:rPr>
          <w:rFonts w:ascii="Arial" w:hAnsi="Arial" w:cs="Arial"/>
          <w:b/>
        </w:rPr>
        <w:br/>
      </w:r>
      <w:r w:rsidRPr="00F10A5C">
        <w:rPr>
          <w:rFonts w:ascii="Arial" w:hAnsi="Arial" w:cs="Arial"/>
        </w:rPr>
        <w:t>200-2318 Oak St.</w:t>
      </w:r>
      <w:r w:rsidRPr="00F10A5C">
        <w:rPr>
          <w:rFonts w:ascii="Arial" w:hAnsi="Arial" w:cs="Arial"/>
        </w:rPr>
        <w:br/>
        <w:t>Vancouver, British Columbia</w:t>
      </w:r>
      <w:r w:rsidRPr="00F10A5C">
        <w:rPr>
          <w:rFonts w:ascii="Arial" w:hAnsi="Arial" w:cs="Arial"/>
        </w:rPr>
        <w:br/>
        <w:t>V6H 4J1</w:t>
      </w:r>
    </w:p>
    <w:p w14:paraId="637727B0" w14:textId="77777777" w:rsidR="0021376D" w:rsidRPr="00F10A5C" w:rsidRDefault="0021376D" w:rsidP="0021376D">
      <w:pPr>
        <w:spacing w:after="180"/>
        <w:jc w:val="center"/>
        <w:rPr>
          <w:rFonts w:ascii="Arial" w:hAnsi="Arial" w:cs="Arial"/>
          <w:b/>
          <w:sz w:val="28"/>
          <w:szCs w:val="28"/>
        </w:rPr>
      </w:pPr>
      <w:r w:rsidRPr="00F10A5C">
        <w:rPr>
          <w:rFonts w:ascii="Arial" w:hAnsi="Arial" w:cs="Arial"/>
          <w:b/>
          <w:sz w:val="28"/>
          <w:szCs w:val="28"/>
        </w:rPr>
        <w:t>NEWS RELEASE</w:t>
      </w:r>
    </w:p>
    <w:p w14:paraId="6D3A6DB1" w14:textId="77777777" w:rsidR="0021376D" w:rsidRPr="00F10A5C" w:rsidRDefault="0021376D" w:rsidP="0021376D">
      <w:pPr>
        <w:spacing w:after="180"/>
        <w:jc w:val="center"/>
        <w:rPr>
          <w:rFonts w:ascii="Arial" w:hAnsi="Arial" w:cs="Arial"/>
          <w:b/>
        </w:rPr>
      </w:pPr>
      <w:r w:rsidRPr="00F10A5C">
        <w:rPr>
          <w:rFonts w:ascii="Arial" w:hAnsi="Arial" w:cs="Arial"/>
          <w:b/>
        </w:rPr>
        <w:t>CENTR BRANDS CORP. CORPORATE UPDATE</w:t>
      </w:r>
    </w:p>
    <w:p w14:paraId="758F0892" w14:textId="77777777" w:rsidR="0021376D" w:rsidRDefault="0021376D" w:rsidP="0021376D">
      <w:pPr>
        <w:jc w:val="both"/>
        <w:rPr>
          <w:rFonts w:ascii="Arial" w:hAnsi="Arial" w:cs="Arial"/>
          <w:sz w:val="22"/>
          <w:szCs w:val="22"/>
        </w:rPr>
      </w:pPr>
      <w:r w:rsidRPr="00F10A5C">
        <w:rPr>
          <w:rFonts w:ascii="Arial" w:hAnsi="Arial" w:cs="Arial"/>
          <w:sz w:val="22"/>
          <w:szCs w:val="22"/>
        </w:rPr>
        <w:t>September 30, 2020 – Vancouver, British Columbia – CENTR Brands Corp. (the “</w:t>
      </w:r>
      <w:r w:rsidRPr="00F10A5C">
        <w:rPr>
          <w:rFonts w:ascii="Arial" w:hAnsi="Arial" w:cs="Arial"/>
          <w:b/>
          <w:sz w:val="22"/>
          <w:szCs w:val="22"/>
        </w:rPr>
        <w:t>Company</w:t>
      </w:r>
      <w:r w:rsidRPr="00F10A5C">
        <w:rPr>
          <w:rFonts w:ascii="Arial" w:hAnsi="Arial" w:cs="Arial"/>
          <w:sz w:val="22"/>
          <w:szCs w:val="22"/>
        </w:rPr>
        <w:t xml:space="preserve">”) (CSE: CNTR, FRA: 303: OTCX: CNTRF) announced today its financial results for year ended May 31, 2020.  Selected financial information for the year is set forth below with the full financial statements for the year and the related management’s discussion and analysis (“MD&amp;A”) available under the Company’s SEDAR profile at </w:t>
      </w:r>
      <w:hyperlink r:id="rId14" w:history="1">
        <w:r w:rsidRPr="00F10A5C">
          <w:rPr>
            <w:rStyle w:val="Hyperlink"/>
            <w:rFonts w:ascii="Arial" w:hAnsi="Arial" w:cs="Arial"/>
            <w:sz w:val="22"/>
            <w:szCs w:val="22"/>
          </w:rPr>
          <w:t>www.sedar.com</w:t>
        </w:r>
      </w:hyperlink>
      <w:r w:rsidRPr="00F10A5C">
        <w:rPr>
          <w:rFonts w:ascii="Arial" w:hAnsi="Arial" w:cs="Arial"/>
          <w:sz w:val="22"/>
          <w:szCs w:val="22"/>
        </w:rPr>
        <w:t>. All amounts are expressed in United States Dollars, unless otherwise stated:</w:t>
      </w:r>
    </w:p>
    <w:p w14:paraId="0B48D130" w14:textId="77777777" w:rsidR="0021376D" w:rsidRPr="00F10A5C" w:rsidRDefault="0021376D" w:rsidP="0021376D">
      <w:pPr>
        <w:jc w:val="both"/>
        <w:rPr>
          <w:rFonts w:ascii="Arial" w:hAnsi="Arial" w:cs="Arial"/>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39"/>
        <w:gridCol w:w="1195"/>
        <w:gridCol w:w="2404"/>
        <w:gridCol w:w="340"/>
        <w:gridCol w:w="1195"/>
      </w:tblGrid>
      <w:tr w:rsidR="0021376D" w:rsidRPr="00F10A5C" w14:paraId="4B2AC575" w14:textId="77777777" w:rsidTr="0004107B">
        <w:tc>
          <w:tcPr>
            <w:tcW w:w="2405" w:type="dxa"/>
          </w:tcPr>
          <w:p w14:paraId="038DD391"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Sales</w:t>
            </w:r>
          </w:p>
        </w:tc>
        <w:tc>
          <w:tcPr>
            <w:tcW w:w="339" w:type="dxa"/>
          </w:tcPr>
          <w:p w14:paraId="72FA0CD5"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w:t>
            </w:r>
          </w:p>
        </w:tc>
        <w:tc>
          <w:tcPr>
            <w:tcW w:w="1195" w:type="dxa"/>
          </w:tcPr>
          <w:p w14:paraId="7DCB3931"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463,154</w:t>
            </w:r>
          </w:p>
        </w:tc>
        <w:tc>
          <w:tcPr>
            <w:tcW w:w="2404" w:type="dxa"/>
          </w:tcPr>
          <w:p w14:paraId="785E09B4"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Total Assets</w:t>
            </w:r>
          </w:p>
        </w:tc>
        <w:tc>
          <w:tcPr>
            <w:tcW w:w="340" w:type="dxa"/>
          </w:tcPr>
          <w:p w14:paraId="4AA736CD"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w:t>
            </w:r>
          </w:p>
        </w:tc>
        <w:tc>
          <w:tcPr>
            <w:tcW w:w="1195" w:type="dxa"/>
          </w:tcPr>
          <w:p w14:paraId="0BEE2C6B"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985,748</w:t>
            </w:r>
          </w:p>
        </w:tc>
      </w:tr>
      <w:tr w:rsidR="0021376D" w:rsidRPr="00F10A5C" w14:paraId="708BF93F" w14:textId="77777777" w:rsidTr="0004107B">
        <w:tc>
          <w:tcPr>
            <w:tcW w:w="2405" w:type="dxa"/>
          </w:tcPr>
          <w:p w14:paraId="42E6095F"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Gross Profit</w:t>
            </w:r>
          </w:p>
        </w:tc>
        <w:tc>
          <w:tcPr>
            <w:tcW w:w="339" w:type="dxa"/>
          </w:tcPr>
          <w:p w14:paraId="0E02629F"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w:t>
            </w:r>
          </w:p>
        </w:tc>
        <w:tc>
          <w:tcPr>
            <w:tcW w:w="1195" w:type="dxa"/>
          </w:tcPr>
          <w:p w14:paraId="0C8E30D3"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146,236</w:t>
            </w:r>
          </w:p>
        </w:tc>
        <w:tc>
          <w:tcPr>
            <w:tcW w:w="2404" w:type="dxa"/>
          </w:tcPr>
          <w:p w14:paraId="45F3D7EF"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Total Liabilities</w:t>
            </w:r>
          </w:p>
        </w:tc>
        <w:tc>
          <w:tcPr>
            <w:tcW w:w="340" w:type="dxa"/>
          </w:tcPr>
          <w:p w14:paraId="36AFB807"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w:t>
            </w:r>
          </w:p>
        </w:tc>
        <w:tc>
          <w:tcPr>
            <w:tcW w:w="1195" w:type="dxa"/>
          </w:tcPr>
          <w:p w14:paraId="0E33B3F8"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608,717</w:t>
            </w:r>
          </w:p>
        </w:tc>
      </w:tr>
      <w:tr w:rsidR="0021376D" w:rsidRPr="00F10A5C" w14:paraId="69A5EFF8" w14:textId="77777777" w:rsidTr="0004107B">
        <w:tc>
          <w:tcPr>
            <w:tcW w:w="2405" w:type="dxa"/>
          </w:tcPr>
          <w:p w14:paraId="44E5E304"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Expenses</w:t>
            </w:r>
          </w:p>
        </w:tc>
        <w:tc>
          <w:tcPr>
            <w:tcW w:w="339" w:type="dxa"/>
          </w:tcPr>
          <w:p w14:paraId="4242F77B"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w:t>
            </w:r>
          </w:p>
        </w:tc>
        <w:tc>
          <w:tcPr>
            <w:tcW w:w="1195" w:type="dxa"/>
          </w:tcPr>
          <w:p w14:paraId="1E1CFA29"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2,758,794</w:t>
            </w:r>
          </w:p>
        </w:tc>
        <w:tc>
          <w:tcPr>
            <w:tcW w:w="2404" w:type="dxa"/>
          </w:tcPr>
          <w:p w14:paraId="58B5AD84" w14:textId="77777777" w:rsidR="0021376D" w:rsidRPr="00F10A5C" w:rsidRDefault="0021376D" w:rsidP="0004107B">
            <w:pPr>
              <w:jc w:val="both"/>
              <w:rPr>
                <w:rFonts w:ascii="Arial" w:hAnsi="Arial" w:cs="Arial"/>
                <w:sz w:val="22"/>
                <w:szCs w:val="22"/>
              </w:rPr>
            </w:pPr>
          </w:p>
        </w:tc>
        <w:tc>
          <w:tcPr>
            <w:tcW w:w="340" w:type="dxa"/>
          </w:tcPr>
          <w:p w14:paraId="4CCE8AC0" w14:textId="77777777" w:rsidR="0021376D" w:rsidRPr="00F10A5C" w:rsidRDefault="0021376D" w:rsidP="0004107B">
            <w:pPr>
              <w:jc w:val="both"/>
              <w:rPr>
                <w:rFonts w:ascii="Arial" w:hAnsi="Arial" w:cs="Arial"/>
                <w:sz w:val="22"/>
                <w:szCs w:val="22"/>
              </w:rPr>
            </w:pPr>
          </w:p>
        </w:tc>
        <w:tc>
          <w:tcPr>
            <w:tcW w:w="1195" w:type="dxa"/>
          </w:tcPr>
          <w:p w14:paraId="2AADD3E0" w14:textId="77777777" w:rsidR="0021376D" w:rsidRPr="00F10A5C" w:rsidRDefault="0021376D" w:rsidP="0004107B">
            <w:pPr>
              <w:jc w:val="both"/>
              <w:rPr>
                <w:rFonts w:ascii="Arial" w:hAnsi="Arial" w:cs="Arial"/>
                <w:sz w:val="22"/>
                <w:szCs w:val="22"/>
              </w:rPr>
            </w:pPr>
          </w:p>
        </w:tc>
      </w:tr>
      <w:tr w:rsidR="0021376D" w:rsidRPr="00F10A5C" w14:paraId="2FB2F310" w14:textId="77777777" w:rsidTr="0004107B">
        <w:tc>
          <w:tcPr>
            <w:tcW w:w="2405" w:type="dxa"/>
          </w:tcPr>
          <w:p w14:paraId="1DF3F4C2"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Net Loss</w:t>
            </w:r>
          </w:p>
        </w:tc>
        <w:tc>
          <w:tcPr>
            <w:tcW w:w="339" w:type="dxa"/>
          </w:tcPr>
          <w:p w14:paraId="33016D07"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w:t>
            </w:r>
          </w:p>
        </w:tc>
        <w:tc>
          <w:tcPr>
            <w:tcW w:w="1195" w:type="dxa"/>
          </w:tcPr>
          <w:p w14:paraId="58C06202"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2,612,216</w:t>
            </w:r>
          </w:p>
        </w:tc>
        <w:tc>
          <w:tcPr>
            <w:tcW w:w="2404" w:type="dxa"/>
          </w:tcPr>
          <w:p w14:paraId="677CD6F8"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Net Loss per Share</w:t>
            </w:r>
          </w:p>
        </w:tc>
        <w:tc>
          <w:tcPr>
            <w:tcW w:w="340" w:type="dxa"/>
          </w:tcPr>
          <w:p w14:paraId="3B4FC5AE"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w:t>
            </w:r>
          </w:p>
        </w:tc>
        <w:tc>
          <w:tcPr>
            <w:tcW w:w="1195" w:type="dxa"/>
          </w:tcPr>
          <w:p w14:paraId="7E5F7907" w14:textId="77777777" w:rsidR="0021376D" w:rsidRPr="00F10A5C" w:rsidRDefault="0021376D" w:rsidP="0004107B">
            <w:pPr>
              <w:jc w:val="both"/>
              <w:rPr>
                <w:rFonts w:ascii="Arial" w:hAnsi="Arial" w:cs="Arial"/>
                <w:sz w:val="22"/>
                <w:szCs w:val="22"/>
              </w:rPr>
            </w:pPr>
            <w:r w:rsidRPr="00F10A5C">
              <w:rPr>
                <w:rFonts w:ascii="Arial" w:hAnsi="Arial" w:cs="Arial"/>
                <w:sz w:val="22"/>
                <w:szCs w:val="22"/>
              </w:rPr>
              <w:t>0.04</w:t>
            </w:r>
          </w:p>
        </w:tc>
      </w:tr>
    </w:tbl>
    <w:p w14:paraId="7F23677A" w14:textId="77777777" w:rsidR="0021376D" w:rsidRPr="00F10A5C" w:rsidRDefault="0021376D" w:rsidP="0021376D">
      <w:pPr>
        <w:jc w:val="both"/>
        <w:rPr>
          <w:rFonts w:ascii="Arial" w:hAnsi="Arial" w:cs="Arial"/>
          <w:sz w:val="22"/>
          <w:szCs w:val="22"/>
        </w:rPr>
      </w:pPr>
      <w:r w:rsidRPr="00F10A5C">
        <w:rPr>
          <w:rFonts w:ascii="Arial" w:hAnsi="Arial" w:cs="Arial"/>
          <w:sz w:val="22"/>
          <w:szCs w:val="22"/>
        </w:rPr>
        <w:br w:type="textWrapping" w:clear="all"/>
      </w:r>
    </w:p>
    <w:p w14:paraId="0C45BC25" w14:textId="77777777" w:rsidR="0021376D" w:rsidRPr="00F10A5C" w:rsidRDefault="0021376D" w:rsidP="0021376D">
      <w:pPr>
        <w:spacing w:after="180"/>
        <w:jc w:val="both"/>
        <w:rPr>
          <w:rFonts w:ascii="Arial" w:hAnsi="Arial" w:cs="Arial"/>
          <w:bCs/>
          <w:sz w:val="22"/>
          <w:szCs w:val="22"/>
        </w:rPr>
      </w:pPr>
      <w:r w:rsidRPr="00F10A5C">
        <w:rPr>
          <w:rFonts w:ascii="Arial" w:hAnsi="Arial" w:cs="Arial"/>
          <w:bCs/>
          <w:sz w:val="22"/>
          <w:szCs w:val="22"/>
        </w:rPr>
        <w:t>“</w:t>
      </w:r>
      <w:r>
        <w:rPr>
          <w:rFonts w:ascii="Arial" w:hAnsi="Arial" w:cs="Arial"/>
          <w:bCs/>
          <w:sz w:val="22"/>
          <w:szCs w:val="22"/>
        </w:rPr>
        <w:t>CENTR continues to generate record quarterly sales”</w:t>
      </w:r>
      <w:r w:rsidRPr="00F10A5C">
        <w:rPr>
          <w:rFonts w:ascii="Arial" w:hAnsi="Arial" w:cs="Arial"/>
          <w:bCs/>
          <w:sz w:val="22"/>
          <w:szCs w:val="22"/>
        </w:rPr>
        <w:t xml:space="preserve"> said Company CEO Joseph Meehan. “</w:t>
      </w:r>
      <w:r>
        <w:rPr>
          <w:rFonts w:ascii="Arial" w:hAnsi="Arial" w:cs="Arial"/>
          <w:bCs/>
          <w:sz w:val="22"/>
          <w:szCs w:val="22"/>
        </w:rPr>
        <w:t>We consistently grow awareness of CENTR as the leading CBD beverage brand – and we demonstrate it by our growing sales across the Unites States</w:t>
      </w:r>
      <w:r w:rsidRPr="00F10A5C">
        <w:rPr>
          <w:rFonts w:ascii="Arial" w:hAnsi="Arial" w:cs="Arial"/>
          <w:bCs/>
          <w:sz w:val="22"/>
          <w:szCs w:val="22"/>
        </w:rPr>
        <w:t>.</w:t>
      </w:r>
      <w:r>
        <w:rPr>
          <w:rFonts w:ascii="Arial" w:hAnsi="Arial" w:cs="Arial"/>
          <w:bCs/>
          <w:sz w:val="22"/>
          <w:szCs w:val="22"/>
        </w:rPr>
        <w:t>”</w:t>
      </w:r>
    </w:p>
    <w:p w14:paraId="6A4F7EA0" w14:textId="77777777" w:rsidR="0021376D" w:rsidRDefault="0021376D" w:rsidP="0021376D">
      <w:pPr>
        <w:jc w:val="both"/>
        <w:rPr>
          <w:rFonts w:ascii="Arial" w:hAnsi="Arial" w:cs="Arial"/>
          <w:sz w:val="22"/>
          <w:szCs w:val="22"/>
        </w:rPr>
      </w:pPr>
      <w:r w:rsidRPr="00F10A5C">
        <w:rPr>
          <w:rFonts w:ascii="Arial" w:hAnsi="Arial" w:cs="Arial"/>
          <w:sz w:val="22"/>
          <w:szCs w:val="22"/>
        </w:rPr>
        <w:t>The Company is also pleased to provide an update on the following corporate strategic initiatives:</w:t>
      </w:r>
    </w:p>
    <w:p w14:paraId="06B9C042" w14:textId="77777777" w:rsidR="0021376D" w:rsidRPr="00F10A5C" w:rsidRDefault="0021376D" w:rsidP="0021376D">
      <w:pPr>
        <w:jc w:val="both"/>
        <w:rPr>
          <w:rFonts w:ascii="Arial" w:eastAsia="Arial" w:hAnsi="Arial" w:cs="Arial"/>
          <w:color w:val="000000"/>
          <w:sz w:val="22"/>
          <w:szCs w:val="22"/>
          <w:lang w:eastAsia="en-CA"/>
        </w:rPr>
      </w:pPr>
    </w:p>
    <w:p w14:paraId="1F114852" w14:textId="77777777" w:rsidR="0021376D" w:rsidRPr="00F10A5C" w:rsidRDefault="0021376D" w:rsidP="0021376D">
      <w:pPr>
        <w:jc w:val="both"/>
        <w:rPr>
          <w:rFonts w:ascii="Arial" w:hAnsi="Arial" w:cs="Arial"/>
          <w:sz w:val="22"/>
          <w:szCs w:val="22"/>
        </w:rPr>
      </w:pPr>
      <w:r w:rsidRPr="00F10A5C">
        <w:rPr>
          <w:rFonts w:ascii="Arial" w:hAnsi="Arial" w:cs="Arial"/>
          <w:i/>
          <w:iCs/>
          <w:sz w:val="22"/>
          <w:szCs w:val="22"/>
        </w:rPr>
        <w:t xml:space="preserve">Private Placement:  </w:t>
      </w:r>
      <w:r w:rsidRPr="00F10A5C">
        <w:rPr>
          <w:rFonts w:ascii="Arial" w:hAnsi="Arial" w:cs="Arial"/>
          <w:sz w:val="22"/>
          <w:szCs w:val="22"/>
        </w:rPr>
        <w:t>The Company closed the second tranche (the “</w:t>
      </w:r>
      <w:r w:rsidRPr="00F10A5C">
        <w:rPr>
          <w:rFonts w:ascii="Arial" w:hAnsi="Arial" w:cs="Arial"/>
          <w:b/>
          <w:bCs/>
          <w:sz w:val="22"/>
          <w:szCs w:val="22"/>
        </w:rPr>
        <w:t>Second Tranche</w:t>
      </w:r>
      <w:r w:rsidRPr="00F10A5C">
        <w:rPr>
          <w:rFonts w:ascii="Arial" w:hAnsi="Arial" w:cs="Arial"/>
          <w:sz w:val="22"/>
          <w:szCs w:val="22"/>
        </w:rPr>
        <w:t>”) of the non-brokered private placement (the “</w:t>
      </w:r>
      <w:r w:rsidRPr="00F10A5C">
        <w:rPr>
          <w:rFonts w:ascii="Arial" w:hAnsi="Arial" w:cs="Arial"/>
          <w:b/>
          <w:bCs/>
          <w:sz w:val="22"/>
          <w:szCs w:val="22"/>
        </w:rPr>
        <w:t>Offering</w:t>
      </w:r>
      <w:r w:rsidRPr="00F10A5C">
        <w:rPr>
          <w:rFonts w:ascii="Arial" w:hAnsi="Arial" w:cs="Arial"/>
          <w:sz w:val="22"/>
          <w:szCs w:val="22"/>
        </w:rPr>
        <w:t>”) announced August 25, 2020.  The Second Tranche comprises 1,132,500 Units of the Company (the “</w:t>
      </w:r>
      <w:r w:rsidRPr="00F10A5C">
        <w:rPr>
          <w:rFonts w:ascii="Arial" w:hAnsi="Arial" w:cs="Arial"/>
          <w:b/>
          <w:bCs/>
          <w:sz w:val="22"/>
          <w:szCs w:val="22"/>
        </w:rPr>
        <w:t>Units</w:t>
      </w:r>
      <w:r w:rsidRPr="00F10A5C">
        <w:rPr>
          <w:rFonts w:ascii="Arial" w:hAnsi="Arial" w:cs="Arial"/>
          <w:sz w:val="22"/>
          <w:szCs w:val="22"/>
        </w:rPr>
        <w:t xml:space="preserve">”) issued at a price of $0.35 per Unit for aggregate gross proceeds of $396,375. Each Unit consists of one common share in the capital of the </w:t>
      </w:r>
      <w:r>
        <w:rPr>
          <w:rFonts w:ascii="Arial" w:hAnsi="Arial" w:cs="Arial"/>
          <w:sz w:val="22"/>
          <w:szCs w:val="22"/>
        </w:rPr>
        <w:t>Company</w:t>
      </w:r>
      <w:r w:rsidRPr="00F10A5C">
        <w:rPr>
          <w:rFonts w:ascii="Arial" w:hAnsi="Arial" w:cs="Arial"/>
          <w:sz w:val="22"/>
          <w:szCs w:val="22"/>
        </w:rPr>
        <w:t xml:space="preserve"> (each a “</w:t>
      </w:r>
      <w:r w:rsidRPr="00F10A5C">
        <w:rPr>
          <w:rFonts w:ascii="Arial" w:hAnsi="Arial" w:cs="Arial"/>
          <w:b/>
          <w:bCs/>
          <w:sz w:val="22"/>
          <w:szCs w:val="22"/>
        </w:rPr>
        <w:t>Common Share</w:t>
      </w:r>
      <w:r w:rsidRPr="00F10A5C">
        <w:rPr>
          <w:rFonts w:ascii="Arial" w:hAnsi="Arial" w:cs="Arial"/>
          <w:sz w:val="22"/>
          <w:szCs w:val="22"/>
        </w:rPr>
        <w:t>”) and one common share purchase warrant (each, a “</w:t>
      </w:r>
      <w:r w:rsidRPr="00F10A5C">
        <w:rPr>
          <w:rFonts w:ascii="Arial" w:hAnsi="Arial" w:cs="Arial"/>
          <w:b/>
          <w:bCs/>
          <w:sz w:val="22"/>
          <w:szCs w:val="22"/>
        </w:rPr>
        <w:t>Warrant</w:t>
      </w:r>
      <w:r w:rsidRPr="00F10A5C">
        <w:rPr>
          <w:rFonts w:ascii="Arial" w:hAnsi="Arial" w:cs="Arial"/>
          <w:sz w:val="22"/>
          <w:szCs w:val="22"/>
        </w:rPr>
        <w:t>”). Each Warrant entitles the holder thereof to acquire one Common Share at the price of $0.60 for a period of three years from closing. The Common Shares and Warrants, and any Common Shares issuable upon the exercise of the Warrants issued pursuant to the Second Tranche, are subject to a statutory hold period of four months and one day from the closing.</w:t>
      </w:r>
    </w:p>
    <w:p w14:paraId="751028EF" w14:textId="77777777" w:rsidR="0021376D" w:rsidRDefault="0021376D" w:rsidP="0021376D">
      <w:pPr>
        <w:jc w:val="both"/>
        <w:rPr>
          <w:rFonts w:ascii="Arial" w:hAnsi="Arial" w:cs="Arial"/>
          <w:sz w:val="22"/>
          <w:szCs w:val="22"/>
        </w:rPr>
      </w:pPr>
    </w:p>
    <w:p w14:paraId="07FF4D0B" w14:textId="77777777" w:rsidR="0021376D" w:rsidRDefault="0021376D" w:rsidP="0021376D">
      <w:pPr>
        <w:jc w:val="both"/>
        <w:rPr>
          <w:rFonts w:ascii="Arial" w:hAnsi="Arial" w:cs="Arial"/>
          <w:sz w:val="22"/>
          <w:szCs w:val="22"/>
        </w:rPr>
      </w:pPr>
      <w:r w:rsidRPr="00F10A5C">
        <w:rPr>
          <w:rFonts w:ascii="Arial" w:hAnsi="Arial" w:cs="Arial"/>
          <w:sz w:val="22"/>
          <w:szCs w:val="22"/>
        </w:rPr>
        <w:t>In connection with the closing of the Second Tranche, the Company paid to finders, each at arms’ length to the Company, finders’ fees of 6% for a total of $15,382.50 in cash and issued 43,950 broker warrants, with each warrant entitling the holder to acquire one (1) Common Share of the Company at a price of $0.60 over a period of 12 months from the closing date.</w:t>
      </w:r>
    </w:p>
    <w:p w14:paraId="683B47FB" w14:textId="77777777" w:rsidR="0021376D" w:rsidRPr="00F10A5C" w:rsidRDefault="0021376D" w:rsidP="0021376D">
      <w:pPr>
        <w:jc w:val="both"/>
        <w:rPr>
          <w:rFonts w:ascii="Arial" w:hAnsi="Arial" w:cs="Arial"/>
          <w:sz w:val="22"/>
          <w:szCs w:val="22"/>
        </w:rPr>
      </w:pPr>
    </w:p>
    <w:p w14:paraId="45454FBC" w14:textId="77777777" w:rsidR="0021376D" w:rsidRPr="00F10A5C" w:rsidRDefault="0021376D" w:rsidP="0021376D">
      <w:pPr>
        <w:spacing w:after="240"/>
        <w:jc w:val="both"/>
        <w:outlineLvl w:val="0"/>
        <w:rPr>
          <w:rFonts w:ascii="Arial" w:eastAsiaTheme="majorEastAsia" w:hAnsi="Arial" w:cs="Arial"/>
          <w:bCs/>
          <w:sz w:val="22"/>
          <w:szCs w:val="22"/>
        </w:rPr>
      </w:pPr>
      <w:r w:rsidRPr="00F10A5C">
        <w:rPr>
          <w:rFonts w:ascii="Arial" w:eastAsiaTheme="majorEastAsia" w:hAnsi="Arial" w:cs="Arial"/>
          <w:bCs/>
          <w:i/>
          <w:iCs/>
          <w:sz w:val="22"/>
          <w:szCs w:val="22"/>
        </w:rPr>
        <w:t>RSU/Share Issuance</w:t>
      </w:r>
      <w:r w:rsidRPr="00F10A5C">
        <w:rPr>
          <w:rFonts w:ascii="Arial" w:eastAsiaTheme="majorEastAsia" w:hAnsi="Arial" w:cs="Arial"/>
          <w:bCs/>
          <w:sz w:val="22"/>
          <w:szCs w:val="22"/>
        </w:rPr>
        <w:t xml:space="preserve">: </w:t>
      </w:r>
      <w:r w:rsidRPr="00F10A5C">
        <w:rPr>
          <w:rFonts w:ascii="Arial" w:eastAsiaTheme="majorEastAsia" w:hAnsi="Arial" w:cs="Arial"/>
          <w:bCs/>
          <w:color w:val="000000"/>
          <w:sz w:val="22"/>
          <w:szCs w:val="22"/>
        </w:rPr>
        <w:t>The Company issue</w:t>
      </w:r>
      <w:r w:rsidRPr="00F10A5C">
        <w:rPr>
          <w:rFonts w:ascii="Arial" w:eastAsiaTheme="majorEastAsia" w:hAnsi="Arial" w:cs="Arial"/>
          <w:bCs/>
          <w:sz w:val="22"/>
          <w:szCs w:val="22"/>
        </w:rPr>
        <w:t xml:space="preserve">d: (i) 645,000 restricted stock units (“RSUs”) to certain employees, directors and consultants of the Company, pursuant to the terms of the Company’s RSU Plan; and (i) </w:t>
      </w:r>
      <w:r w:rsidRPr="00F10A5C">
        <w:rPr>
          <w:rFonts w:ascii="Arial" w:eastAsiaTheme="majorEastAsia" w:hAnsi="Arial" w:cs="Arial"/>
          <w:bCs/>
          <w:color w:val="000000"/>
          <w:sz w:val="22"/>
          <w:szCs w:val="22"/>
        </w:rPr>
        <w:t xml:space="preserve">167,564 Common Shares to </w:t>
      </w:r>
      <w:r w:rsidRPr="00F10A5C">
        <w:rPr>
          <w:rFonts w:ascii="Arial" w:eastAsiaTheme="majorEastAsia" w:hAnsi="Arial" w:cs="Arial"/>
          <w:bCs/>
          <w:sz w:val="22"/>
          <w:szCs w:val="22"/>
        </w:rPr>
        <w:t>the Company’s CEO</w:t>
      </w:r>
      <w:r w:rsidRPr="00F10A5C">
        <w:rPr>
          <w:rFonts w:ascii="Arial" w:eastAsiaTheme="majorEastAsia" w:hAnsi="Arial" w:cs="Arial"/>
          <w:bCs/>
          <w:color w:val="000000"/>
          <w:sz w:val="22"/>
          <w:szCs w:val="22"/>
        </w:rPr>
        <w:t xml:space="preserve"> and 129,481 Common Shares to </w:t>
      </w:r>
      <w:r w:rsidRPr="00F10A5C">
        <w:rPr>
          <w:rFonts w:ascii="Arial" w:eastAsiaTheme="majorEastAsia" w:hAnsi="Arial" w:cs="Arial"/>
          <w:bCs/>
          <w:sz w:val="22"/>
          <w:szCs w:val="22"/>
        </w:rPr>
        <w:t>its President, each</w:t>
      </w:r>
      <w:r w:rsidRPr="00F10A5C">
        <w:rPr>
          <w:rFonts w:ascii="Arial" w:eastAsiaTheme="majorEastAsia" w:hAnsi="Arial" w:cs="Arial"/>
          <w:bCs/>
          <w:color w:val="000000"/>
          <w:sz w:val="22"/>
          <w:szCs w:val="22"/>
        </w:rPr>
        <w:t xml:space="preserve"> </w:t>
      </w:r>
      <w:r w:rsidRPr="00F10A5C">
        <w:rPr>
          <w:rFonts w:ascii="Arial" w:eastAsiaTheme="majorEastAsia" w:hAnsi="Arial" w:cs="Arial"/>
          <w:bCs/>
          <w:sz w:val="22"/>
          <w:szCs w:val="22"/>
        </w:rPr>
        <w:t>in</w:t>
      </w:r>
      <w:r w:rsidRPr="00F10A5C">
        <w:rPr>
          <w:rFonts w:ascii="Arial" w:eastAsiaTheme="majorEastAsia" w:hAnsi="Arial" w:cs="Arial"/>
          <w:bCs/>
          <w:color w:val="000000"/>
          <w:sz w:val="22"/>
          <w:szCs w:val="22"/>
        </w:rPr>
        <w:t xml:space="preserve"> payment for</w:t>
      </w:r>
      <w:r w:rsidRPr="00F10A5C">
        <w:rPr>
          <w:rFonts w:ascii="Arial" w:eastAsiaTheme="majorEastAsia" w:hAnsi="Arial" w:cs="Arial"/>
          <w:bCs/>
          <w:sz w:val="22"/>
          <w:szCs w:val="22"/>
        </w:rPr>
        <w:t xml:space="preserve"> amounts owed to such parties by the Company.</w:t>
      </w:r>
      <w:r w:rsidRPr="00F10A5C">
        <w:rPr>
          <w:rFonts w:ascii="Arial" w:hAnsi="Arial" w:cs="Arial"/>
          <w:sz w:val="22"/>
          <w:szCs w:val="22"/>
        </w:rPr>
        <w:t>‎</w:t>
      </w:r>
    </w:p>
    <w:p w14:paraId="0F10BA30" w14:textId="77777777" w:rsidR="0021376D" w:rsidRPr="00F10A5C" w:rsidRDefault="0021376D" w:rsidP="0021376D">
      <w:pPr>
        <w:spacing w:after="180"/>
        <w:jc w:val="both"/>
        <w:rPr>
          <w:rFonts w:ascii="Arial" w:hAnsi="Arial" w:cs="Arial"/>
          <w:sz w:val="22"/>
          <w:szCs w:val="22"/>
        </w:rPr>
      </w:pPr>
      <w:r w:rsidRPr="00F10A5C">
        <w:rPr>
          <w:rFonts w:ascii="Arial" w:hAnsi="Arial" w:cs="Arial"/>
          <w:b/>
          <w:sz w:val="22"/>
          <w:szCs w:val="22"/>
        </w:rPr>
        <w:t xml:space="preserve">About CENTR Brands Corp. </w:t>
      </w:r>
      <w:r w:rsidRPr="00F10A5C">
        <w:rPr>
          <w:rFonts w:ascii="Arial" w:hAnsi="Arial" w:cs="Arial"/>
          <w:sz w:val="22"/>
          <w:szCs w:val="22"/>
        </w:rPr>
        <w:t xml:space="preserve">CENTR Brands Corp. is a better beverage company which develops and markets of non-alcoholic beverages for the global market. The Company’s first product, named CENTR, is a sparkling, low-calorie, cannabidiol (CBD) infused beverage. </w:t>
      </w:r>
    </w:p>
    <w:p w14:paraId="0FC38394" w14:textId="77777777" w:rsidR="0021376D" w:rsidRPr="00F10A5C" w:rsidRDefault="0021376D" w:rsidP="0021376D">
      <w:pPr>
        <w:spacing w:after="180"/>
        <w:jc w:val="both"/>
        <w:rPr>
          <w:rFonts w:ascii="Arial" w:hAnsi="Arial" w:cs="Arial"/>
          <w:sz w:val="22"/>
          <w:szCs w:val="22"/>
        </w:rPr>
      </w:pPr>
      <w:hyperlink r:id="rId15" w:history="1">
        <w:r w:rsidRPr="00F10A5C">
          <w:rPr>
            <w:rStyle w:val="Hyperlink"/>
            <w:rFonts w:ascii="Arial" w:hAnsi="Arial" w:cs="Arial"/>
            <w:sz w:val="22"/>
            <w:szCs w:val="22"/>
          </w:rPr>
          <w:t>www.findyourcentr.com</w:t>
        </w:r>
      </w:hyperlink>
      <w:r w:rsidRPr="00F10A5C">
        <w:rPr>
          <w:rFonts w:ascii="Arial" w:hAnsi="Arial" w:cs="Arial"/>
          <w:sz w:val="22"/>
          <w:szCs w:val="22"/>
        </w:rPr>
        <w:t xml:space="preserve"> </w:t>
      </w:r>
    </w:p>
    <w:p w14:paraId="5A9B8AD3" w14:textId="77777777" w:rsidR="0021376D" w:rsidRPr="00F10A5C" w:rsidRDefault="0021376D" w:rsidP="0021376D">
      <w:pPr>
        <w:spacing w:after="180"/>
        <w:jc w:val="both"/>
        <w:rPr>
          <w:rFonts w:ascii="Arial" w:hAnsi="Arial" w:cs="Arial"/>
          <w:sz w:val="22"/>
          <w:szCs w:val="22"/>
        </w:rPr>
      </w:pPr>
      <w:r w:rsidRPr="00F10A5C">
        <w:rPr>
          <w:rFonts w:ascii="Arial" w:hAnsi="Arial" w:cs="Arial"/>
          <w:sz w:val="22"/>
          <w:szCs w:val="22"/>
        </w:rPr>
        <w:t>For further information, contact Joseph Meehan at info@centrcorp.com</w:t>
      </w:r>
    </w:p>
    <w:p w14:paraId="1C299420" w14:textId="77777777" w:rsidR="0021376D" w:rsidRPr="00F10A5C" w:rsidRDefault="0021376D" w:rsidP="0021376D">
      <w:pPr>
        <w:spacing w:after="180"/>
        <w:jc w:val="both"/>
        <w:rPr>
          <w:rFonts w:ascii="Arial" w:hAnsi="Arial" w:cs="Arial"/>
          <w:sz w:val="22"/>
          <w:szCs w:val="22"/>
        </w:rPr>
      </w:pPr>
      <w:r w:rsidRPr="00F10A5C">
        <w:rPr>
          <w:rFonts w:ascii="Arial" w:hAnsi="Arial" w:cs="Arial"/>
          <w:sz w:val="22"/>
          <w:szCs w:val="22"/>
        </w:rPr>
        <w:t>On behalf of the Board,</w:t>
      </w:r>
    </w:p>
    <w:p w14:paraId="02245071" w14:textId="77777777" w:rsidR="0021376D" w:rsidRPr="00F10A5C" w:rsidRDefault="0021376D" w:rsidP="0021376D">
      <w:pPr>
        <w:spacing w:after="180"/>
        <w:jc w:val="both"/>
        <w:rPr>
          <w:rFonts w:ascii="Arial" w:hAnsi="Arial" w:cs="Arial"/>
          <w:b/>
          <w:sz w:val="22"/>
          <w:szCs w:val="22"/>
        </w:rPr>
      </w:pPr>
      <w:r w:rsidRPr="00F10A5C">
        <w:rPr>
          <w:rFonts w:ascii="Arial" w:hAnsi="Arial" w:cs="Arial"/>
          <w:b/>
          <w:sz w:val="22"/>
          <w:szCs w:val="22"/>
        </w:rPr>
        <w:lastRenderedPageBreak/>
        <w:t>CENTR BRANDS CORP.</w:t>
      </w:r>
    </w:p>
    <w:p w14:paraId="462EB719" w14:textId="77777777" w:rsidR="0021376D" w:rsidRPr="00F10A5C" w:rsidRDefault="0021376D" w:rsidP="0021376D">
      <w:pPr>
        <w:spacing w:after="180"/>
        <w:jc w:val="both"/>
        <w:rPr>
          <w:rFonts w:ascii="Arial" w:hAnsi="Arial" w:cs="Arial"/>
          <w:sz w:val="22"/>
          <w:szCs w:val="22"/>
        </w:rPr>
      </w:pPr>
      <w:r w:rsidRPr="00F10A5C">
        <w:rPr>
          <w:rFonts w:ascii="Arial" w:hAnsi="Arial" w:cs="Arial"/>
          <w:b/>
          <w:noProof/>
          <w:sz w:val="22"/>
          <w:szCs w:val="22"/>
        </w:rPr>
        <w:drawing>
          <wp:inline distT="0" distB="0" distL="0" distR="0" wp14:anchorId="0B01561C" wp14:editId="4D51345B">
            <wp:extent cx="1828800" cy="469900"/>
            <wp:effectExtent l="0" t="0" r="0" b="12700"/>
            <wp:docPr id="8" name="Picture 8" descr="jo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e s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9900"/>
                    </a:xfrm>
                    <a:prstGeom prst="rect">
                      <a:avLst/>
                    </a:prstGeom>
                    <a:noFill/>
                    <a:ln>
                      <a:noFill/>
                    </a:ln>
                  </pic:spPr>
                </pic:pic>
              </a:graphicData>
            </a:graphic>
          </wp:inline>
        </w:drawing>
      </w:r>
    </w:p>
    <w:p w14:paraId="09330ED5" w14:textId="77777777" w:rsidR="0021376D" w:rsidRPr="00F10A5C" w:rsidRDefault="0021376D" w:rsidP="0021376D">
      <w:pPr>
        <w:spacing w:after="180"/>
        <w:jc w:val="both"/>
        <w:rPr>
          <w:rFonts w:ascii="Arial" w:hAnsi="Arial" w:cs="Arial"/>
          <w:sz w:val="22"/>
          <w:szCs w:val="22"/>
        </w:rPr>
      </w:pPr>
      <w:r w:rsidRPr="00F10A5C">
        <w:rPr>
          <w:rFonts w:ascii="Arial" w:hAnsi="Arial" w:cs="Arial"/>
          <w:sz w:val="22"/>
          <w:szCs w:val="22"/>
        </w:rPr>
        <w:t>Joseph Meehan, Chief Executive Officer</w:t>
      </w:r>
    </w:p>
    <w:p w14:paraId="06CCB635" w14:textId="77777777" w:rsidR="0021376D" w:rsidRPr="00F10A5C" w:rsidRDefault="0021376D" w:rsidP="0021376D">
      <w:pPr>
        <w:jc w:val="both"/>
        <w:rPr>
          <w:rFonts w:ascii="Arial" w:hAnsi="Arial" w:cs="Arial"/>
          <w:i/>
          <w:sz w:val="22"/>
          <w:szCs w:val="22"/>
        </w:rPr>
      </w:pPr>
      <w:r w:rsidRPr="00F10A5C">
        <w:rPr>
          <w:rFonts w:ascii="Arial" w:hAnsi="Arial" w:cs="Arial"/>
          <w:i/>
          <w:sz w:val="22"/>
          <w:szCs w:val="22"/>
        </w:rPr>
        <w:t>This news release may contain certain “Forward-Looking Statements” within the meaning of applicable Canadian securities laws.  When or if used in this news release, the words “anticipate”, “believe”, “estimate”, “expect”, “target, “plan”, “forecast”, “may”, “schedule” and similar words or expressions identify forward-looking statements or information.  These forward-looking statements or information may relate to the development of the business of CENTR Brands Corp., the timing for the launch of the Company’s products and other matters and the use of the net proceeds of the Financing.  Such statements represent the Company’s current views with respect to future events and are necessarily based upon a number of assumptions and estimates that, while considered reasonable by the Company, are inherently subject to significant business, economic, competitive, political and social risks, contingencies and uncertainties.  Many factors, both known and unknown, could cause results, performance or achievements to be materially different from the results, performance or achievements that are or may be expressed or implied by such forward-looking statements. The Company does not intend, and does not assume any obligation, to update these forward-looking statements or information to reflect changes in assumptions or changes in circumstances or any other events affecting such statements and information other than as required by applicable laws, rules and regulations.</w:t>
      </w:r>
    </w:p>
    <w:p w14:paraId="7676C4E6" w14:textId="77777777" w:rsidR="0021376D" w:rsidRPr="00F10A5C" w:rsidRDefault="0021376D" w:rsidP="0021376D">
      <w:pPr>
        <w:jc w:val="both"/>
        <w:rPr>
          <w:rFonts w:ascii="Arial" w:hAnsi="Arial" w:cs="Arial"/>
          <w:i/>
          <w:iCs/>
          <w:color w:val="1E1F20"/>
          <w:sz w:val="22"/>
          <w:szCs w:val="22"/>
          <w:shd w:val="clear" w:color="auto" w:fill="FFFFFF"/>
        </w:rPr>
      </w:pPr>
    </w:p>
    <w:p w14:paraId="456CADDB" w14:textId="77777777" w:rsidR="0021376D" w:rsidRPr="00F10A5C" w:rsidRDefault="0021376D" w:rsidP="0021376D">
      <w:pPr>
        <w:jc w:val="both"/>
        <w:rPr>
          <w:rFonts w:ascii="Arial" w:hAnsi="Arial" w:cs="Arial"/>
          <w:i/>
          <w:iCs/>
          <w:sz w:val="22"/>
          <w:szCs w:val="22"/>
        </w:rPr>
      </w:pPr>
      <w:r w:rsidRPr="00F10A5C">
        <w:rPr>
          <w:rFonts w:ascii="Arial" w:hAnsi="Arial" w:cs="Arial"/>
          <w:i/>
          <w:iCs/>
          <w:color w:val="1E1F20"/>
          <w:sz w:val="22"/>
          <w:szCs w:val="22"/>
          <w:shd w:val="clear" w:color="auto" w:fill="FFFFFF"/>
        </w:rPr>
        <w:t>The offered securities have not been, nor will they be, registered under the United States Securities Act of 1933, as amended (the "</w:t>
      </w:r>
      <w:r w:rsidRPr="00F10A5C">
        <w:rPr>
          <w:rFonts w:ascii="Arial" w:hAnsi="Arial" w:cs="Arial"/>
          <w:b/>
          <w:bCs/>
          <w:i/>
          <w:iCs/>
          <w:color w:val="1E1F20"/>
          <w:sz w:val="22"/>
          <w:szCs w:val="22"/>
        </w:rPr>
        <w:t>Securities Act</w:t>
      </w:r>
      <w:r w:rsidRPr="00F10A5C">
        <w:rPr>
          <w:rFonts w:ascii="Arial" w:hAnsi="Arial" w:cs="Arial"/>
          <w:i/>
          <w:iCs/>
          <w:color w:val="1E1F20"/>
          <w:sz w:val="22"/>
          <w:szCs w:val="22"/>
          <w:shd w:val="clear" w:color="auto" w:fill="FFFFFF"/>
        </w:rPr>
        <w:t>") or any state securities laws, and may not be offered or sold to, or for the account or benefit of, any person in the United States or any "U.S. person", as such term is defined in Regulation S under the Securities Act, absent registration or an applicable exemption from registration requirements. This press release shall not constitute an offer to sell or the solicitation of an offer to buy nor shall there be any sale of the securities in any state in which such offer, solicitation or sale would be unlawful.</w:t>
      </w:r>
    </w:p>
    <w:p w14:paraId="75567F99" w14:textId="77777777" w:rsidR="0021376D" w:rsidRPr="00F10A5C" w:rsidRDefault="0021376D" w:rsidP="0021376D">
      <w:pPr>
        <w:jc w:val="both"/>
        <w:rPr>
          <w:rFonts w:ascii="Arial" w:hAnsi="Arial" w:cs="Arial"/>
          <w:sz w:val="22"/>
          <w:szCs w:val="22"/>
        </w:rPr>
      </w:pPr>
    </w:p>
    <w:p w14:paraId="126A1702" w14:textId="77777777" w:rsidR="0021376D" w:rsidRPr="00F10A5C" w:rsidRDefault="0021376D" w:rsidP="0021376D">
      <w:pPr>
        <w:jc w:val="both"/>
        <w:rPr>
          <w:rFonts w:ascii="Arial" w:hAnsi="Arial" w:cs="Arial"/>
          <w:i/>
          <w:iCs/>
          <w:sz w:val="22"/>
          <w:szCs w:val="22"/>
        </w:rPr>
      </w:pPr>
      <w:r w:rsidRPr="00F10A5C">
        <w:rPr>
          <w:rFonts w:ascii="Arial" w:hAnsi="Arial" w:cs="Arial"/>
          <w:i/>
          <w:iCs/>
          <w:color w:val="1E1F20"/>
          <w:sz w:val="22"/>
          <w:szCs w:val="22"/>
          <w:shd w:val="clear" w:color="auto" w:fill="FFFFFF"/>
        </w:rPr>
        <w:t>The securities issued pursuant to the proposed Financing will be subject to a four month and one day statutory hold period in Canada. Completion of the proposed Financing is subject to the receipt of all necessary approvals, including the approval of the Canadian Securities Exchange.</w:t>
      </w:r>
    </w:p>
    <w:p w14:paraId="5C4054DC" w14:textId="77777777" w:rsidR="00B70B7F" w:rsidRPr="00C2053E" w:rsidRDefault="00B70B7F" w:rsidP="00953939">
      <w:pPr>
        <w:rPr>
          <w:rFonts w:ascii="Arial" w:hAnsi="Arial" w:cs="Arial"/>
          <w:i/>
          <w:iCs/>
          <w:sz w:val="16"/>
          <w:szCs w:val="16"/>
        </w:rPr>
      </w:pPr>
    </w:p>
    <w:sectPr w:rsidR="00B70B7F" w:rsidRPr="00C2053E" w:rsidSect="000A1AB1">
      <w:footerReference w:type="defaul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1B11F" w14:textId="77777777" w:rsidR="00DB387A" w:rsidRDefault="00DB387A">
      <w:r>
        <w:separator/>
      </w:r>
    </w:p>
  </w:endnote>
  <w:endnote w:type="continuationSeparator" w:id="0">
    <w:p w14:paraId="0494A58B" w14:textId="77777777" w:rsidR="00DB387A" w:rsidRDefault="00DB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5C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5729E633" w:rsidR="00640E94" w:rsidRPr="006D1A06" w:rsidRDefault="0021376D" w:rsidP="008256C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September </w:t>
    </w:r>
    <w:r w:rsidR="00E56CCA">
      <w:rPr>
        <w:rStyle w:val="PageNumber"/>
        <w:rFonts w:ascii="Arial" w:hAnsi="Arial" w:cs="Arial"/>
        <w:sz w:val="16"/>
        <w:szCs w:val="16"/>
      </w:rPr>
      <w:t>20</w:t>
    </w:r>
    <w:r w:rsidR="0036670C">
      <w:rPr>
        <w:rStyle w:val="PageNumber"/>
        <w:rFonts w:ascii="Arial" w:hAnsi="Arial" w:cs="Arial"/>
        <w:sz w:val="16"/>
        <w:szCs w:val="16"/>
      </w:rPr>
      <w:t>20</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8A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AE3A8" w14:textId="77777777" w:rsidR="00DB387A" w:rsidRDefault="00DB387A">
      <w:r>
        <w:separator/>
      </w:r>
    </w:p>
  </w:footnote>
  <w:footnote w:type="continuationSeparator" w:id="0">
    <w:p w14:paraId="2961E1DD" w14:textId="77777777" w:rsidR="00DB387A" w:rsidRDefault="00DB3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4042E3"/>
    <w:multiLevelType w:val="multilevel"/>
    <w:tmpl w:val="931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F51BD"/>
    <w:multiLevelType w:val="singleLevel"/>
    <w:tmpl w:val="EC18EA08"/>
    <w:lvl w:ilvl="0">
      <w:start w:val="1"/>
      <w:numFmt w:val="decimal"/>
      <w:lvlText w:val="%1."/>
      <w:lvlJc w:val="left"/>
      <w:pPr>
        <w:tabs>
          <w:tab w:val="num" w:pos="720"/>
        </w:tabs>
        <w:ind w:left="720" w:hanging="720"/>
      </w:pPr>
      <w:rPr>
        <w:rFonts w:hint="default"/>
        <w:b w:val="0"/>
        <w:bCs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4"/>
  </w:num>
  <w:num w:numId="7">
    <w:abstractNumId w:val="9"/>
  </w:num>
  <w:num w:numId="8">
    <w:abstractNumId w:val="28"/>
  </w:num>
  <w:num w:numId="9">
    <w:abstractNumId w:val="21"/>
  </w:num>
  <w:num w:numId="10">
    <w:abstractNumId w:val="11"/>
  </w:num>
  <w:num w:numId="11">
    <w:abstractNumId w:val="15"/>
  </w:num>
  <w:num w:numId="12">
    <w:abstractNumId w:val="16"/>
  </w:num>
  <w:num w:numId="13">
    <w:abstractNumId w:val="30"/>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3"/>
  </w:num>
  <w:num w:numId="24">
    <w:abstractNumId w:val="20"/>
  </w:num>
  <w:num w:numId="25">
    <w:abstractNumId w:val="4"/>
  </w:num>
  <w:num w:numId="26">
    <w:abstractNumId w:val="29"/>
  </w:num>
  <w:num w:numId="27">
    <w:abstractNumId w:val="32"/>
  </w:num>
  <w:num w:numId="28">
    <w:abstractNumId w:val="6"/>
  </w:num>
  <w:num w:numId="29">
    <w:abstractNumId w:val="12"/>
  </w:num>
  <w:num w:numId="30">
    <w:abstractNumId w:val="26"/>
  </w:num>
  <w:num w:numId="31">
    <w:abstractNumId w:val="31"/>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059C5"/>
    <w:rsid w:val="000223C1"/>
    <w:rsid w:val="00026687"/>
    <w:rsid w:val="000337DA"/>
    <w:rsid w:val="00036E6A"/>
    <w:rsid w:val="0004319A"/>
    <w:rsid w:val="00066BA6"/>
    <w:rsid w:val="00081A11"/>
    <w:rsid w:val="000903D9"/>
    <w:rsid w:val="00093B61"/>
    <w:rsid w:val="000A1AB1"/>
    <w:rsid w:val="000A1DA0"/>
    <w:rsid w:val="000C0B9B"/>
    <w:rsid w:val="000C2077"/>
    <w:rsid w:val="000C22AB"/>
    <w:rsid w:val="000C7663"/>
    <w:rsid w:val="000D0A8E"/>
    <w:rsid w:val="000D2E12"/>
    <w:rsid w:val="000D5BD8"/>
    <w:rsid w:val="000D5E87"/>
    <w:rsid w:val="001069AD"/>
    <w:rsid w:val="00120CAC"/>
    <w:rsid w:val="00134488"/>
    <w:rsid w:val="00142DC3"/>
    <w:rsid w:val="00144032"/>
    <w:rsid w:val="00147A15"/>
    <w:rsid w:val="001504B2"/>
    <w:rsid w:val="00160A04"/>
    <w:rsid w:val="0016645E"/>
    <w:rsid w:val="001673C0"/>
    <w:rsid w:val="00170123"/>
    <w:rsid w:val="00171975"/>
    <w:rsid w:val="00185577"/>
    <w:rsid w:val="00185933"/>
    <w:rsid w:val="001933B6"/>
    <w:rsid w:val="001A3D61"/>
    <w:rsid w:val="001A648A"/>
    <w:rsid w:val="001C13E8"/>
    <w:rsid w:val="001C71CB"/>
    <w:rsid w:val="001E015B"/>
    <w:rsid w:val="001E4233"/>
    <w:rsid w:val="001E4B86"/>
    <w:rsid w:val="001F4BD5"/>
    <w:rsid w:val="0020186B"/>
    <w:rsid w:val="002023FE"/>
    <w:rsid w:val="0021376D"/>
    <w:rsid w:val="00214FA1"/>
    <w:rsid w:val="00236CC7"/>
    <w:rsid w:val="00247E1D"/>
    <w:rsid w:val="00261989"/>
    <w:rsid w:val="00285613"/>
    <w:rsid w:val="002A1BEE"/>
    <w:rsid w:val="002B52DE"/>
    <w:rsid w:val="002B7EFA"/>
    <w:rsid w:val="002C281E"/>
    <w:rsid w:val="002C7760"/>
    <w:rsid w:val="002D3E1F"/>
    <w:rsid w:val="002E1E2F"/>
    <w:rsid w:val="002E3207"/>
    <w:rsid w:val="002F00EB"/>
    <w:rsid w:val="002F56AD"/>
    <w:rsid w:val="003012F4"/>
    <w:rsid w:val="00302B6F"/>
    <w:rsid w:val="003030DA"/>
    <w:rsid w:val="00320083"/>
    <w:rsid w:val="003235C0"/>
    <w:rsid w:val="0033023B"/>
    <w:rsid w:val="00331C91"/>
    <w:rsid w:val="00357876"/>
    <w:rsid w:val="0036670C"/>
    <w:rsid w:val="003669A9"/>
    <w:rsid w:val="00371597"/>
    <w:rsid w:val="00371A64"/>
    <w:rsid w:val="003720A0"/>
    <w:rsid w:val="0037628D"/>
    <w:rsid w:val="00377E01"/>
    <w:rsid w:val="003809B8"/>
    <w:rsid w:val="00382C89"/>
    <w:rsid w:val="00387FA8"/>
    <w:rsid w:val="00396762"/>
    <w:rsid w:val="003A3305"/>
    <w:rsid w:val="003B1E46"/>
    <w:rsid w:val="003C1CA2"/>
    <w:rsid w:val="003D7B4F"/>
    <w:rsid w:val="003D7BEB"/>
    <w:rsid w:val="003E189C"/>
    <w:rsid w:val="003F2702"/>
    <w:rsid w:val="003F337A"/>
    <w:rsid w:val="003F3DEF"/>
    <w:rsid w:val="003F639C"/>
    <w:rsid w:val="003F6993"/>
    <w:rsid w:val="004017A3"/>
    <w:rsid w:val="00401CC4"/>
    <w:rsid w:val="004042E4"/>
    <w:rsid w:val="0040443F"/>
    <w:rsid w:val="00404CB4"/>
    <w:rsid w:val="0040755A"/>
    <w:rsid w:val="00414838"/>
    <w:rsid w:val="00424505"/>
    <w:rsid w:val="004301D6"/>
    <w:rsid w:val="00443B08"/>
    <w:rsid w:val="00446DA4"/>
    <w:rsid w:val="00455163"/>
    <w:rsid w:val="004700C5"/>
    <w:rsid w:val="00477467"/>
    <w:rsid w:val="004C5C57"/>
    <w:rsid w:val="004C74CC"/>
    <w:rsid w:val="004D0170"/>
    <w:rsid w:val="004D1EF2"/>
    <w:rsid w:val="004D705C"/>
    <w:rsid w:val="004E4EB9"/>
    <w:rsid w:val="004E5BF6"/>
    <w:rsid w:val="005133C4"/>
    <w:rsid w:val="00514D04"/>
    <w:rsid w:val="00515DD5"/>
    <w:rsid w:val="0052015C"/>
    <w:rsid w:val="005315D8"/>
    <w:rsid w:val="00534ADD"/>
    <w:rsid w:val="00537785"/>
    <w:rsid w:val="005453C8"/>
    <w:rsid w:val="005506DE"/>
    <w:rsid w:val="00556C58"/>
    <w:rsid w:val="00570439"/>
    <w:rsid w:val="00582DCD"/>
    <w:rsid w:val="005A3000"/>
    <w:rsid w:val="005A7548"/>
    <w:rsid w:val="005A7E68"/>
    <w:rsid w:val="005C70E6"/>
    <w:rsid w:val="005D77F2"/>
    <w:rsid w:val="005E3940"/>
    <w:rsid w:val="005F3B9B"/>
    <w:rsid w:val="005F6D8F"/>
    <w:rsid w:val="00600A14"/>
    <w:rsid w:val="00602029"/>
    <w:rsid w:val="00604037"/>
    <w:rsid w:val="00605424"/>
    <w:rsid w:val="00605D8B"/>
    <w:rsid w:val="00615E77"/>
    <w:rsid w:val="00617CD8"/>
    <w:rsid w:val="00620E7F"/>
    <w:rsid w:val="00633ED3"/>
    <w:rsid w:val="00635DD4"/>
    <w:rsid w:val="00635E9A"/>
    <w:rsid w:val="00640E94"/>
    <w:rsid w:val="0064467A"/>
    <w:rsid w:val="00667B4A"/>
    <w:rsid w:val="006744BF"/>
    <w:rsid w:val="00692EDD"/>
    <w:rsid w:val="00692F0E"/>
    <w:rsid w:val="00694758"/>
    <w:rsid w:val="006964BA"/>
    <w:rsid w:val="006A06FE"/>
    <w:rsid w:val="006A0C47"/>
    <w:rsid w:val="006A34A3"/>
    <w:rsid w:val="006A7FF9"/>
    <w:rsid w:val="006B1268"/>
    <w:rsid w:val="006B6DCA"/>
    <w:rsid w:val="006B7D58"/>
    <w:rsid w:val="006C2143"/>
    <w:rsid w:val="006C2C61"/>
    <w:rsid w:val="006C42CB"/>
    <w:rsid w:val="006C69AA"/>
    <w:rsid w:val="006D1A06"/>
    <w:rsid w:val="006D308A"/>
    <w:rsid w:val="006D7850"/>
    <w:rsid w:val="0070688D"/>
    <w:rsid w:val="00706E60"/>
    <w:rsid w:val="00707B58"/>
    <w:rsid w:val="007273F6"/>
    <w:rsid w:val="00730D18"/>
    <w:rsid w:val="00735247"/>
    <w:rsid w:val="007413C3"/>
    <w:rsid w:val="00751AAD"/>
    <w:rsid w:val="00756267"/>
    <w:rsid w:val="00761672"/>
    <w:rsid w:val="00765561"/>
    <w:rsid w:val="00776E09"/>
    <w:rsid w:val="00780364"/>
    <w:rsid w:val="00791EF5"/>
    <w:rsid w:val="007C4FAC"/>
    <w:rsid w:val="007C51D5"/>
    <w:rsid w:val="007C5559"/>
    <w:rsid w:val="007C7563"/>
    <w:rsid w:val="007E1BD3"/>
    <w:rsid w:val="007E715C"/>
    <w:rsid w:val="007F3722"/>
    <w:rsid w:val="007F37C3"/>
    <w:rsid w:val="00805763"/>
    <w:rsid w:val="00817A06"/>
    <w:rsid w:val="00821708"/>
    <w:rsid w:val="00823CF7"/>
    <w:rsid w:val="008256C8"/>
    <w:rsid w:val="00826D32"/>
    <w:rsid w:val="00832C64"/>
    <w:rsid w:val="00833D25"/>
    <w:rsid w:val="00842D64"/>
    <w:rsid w:val="00854186"/>
    <w:rsid w:val="00862DEF"/>
    <w:rsid w:val="00863498"/>
    <w:rsid w:val="008647C8"/>
    <w:rsid w:val="00867060"/>
    <w:rsid w:val="008802F9"/>
    <w:rsid w:val="00881CC1"/>
    <w:rsid w:val="00883163"/>
    <w:rsid w:val="008853BB"/>
    <w:rsid w:val="00897AF5"/>
    <w:rsid w:val="008A0CF8"/>
    <w:rsid w:val="008A45C2"/>
    <w:rsid w:val="008A4A24"/>
    <w:rsid w:val="008A64F3"/>
    <w:rsid w:val="008B4E03"/>
    <w:rsid w:val="008B6C9D"/>
    <w:rsid w:val="008B7E92"/>
    <w:rsid w:val="008B7F51"/>
    <w:rsid w:val="008C65B0"/>
    <w:rsid w:val="008E20F3"/>
    <w:rsid w:val="008F18CB"/>
    <w:rsid w:val="008F2683"/>
    <w:rsid w:val="008F311A"/>
    <w:rsid w:val="00900E70"/>
    <w:rsid w:val="0090389B"/>
    <w:rsid w:val="00912396"/>
    <w:rsid w:val="00914F17"/>
    <w:rsid w:val="009218C4"/>
    <w:rsid w:val="0092293D"/>
    <w:rsid w:val="00922A46"/>
    <w:rsid w:val="009259B1"/>
    <w:rsid w:val="00931BCA"/>
    <w:rsid w:val="00934912"/>
    <w:rsid w:val="00940D85"/>
    <w:rsid w:val="0094186C"/>
    <w:rsid w:val="009507DB"/>
    <w:rsid w:val="00952B9E"/>
    <w:rsid w:val="0095345A"/>
    <w:rsid w:val="00953939"/>
    <w:rsid w:val="0096234E"/>
    <w:rsid w:val="00981656"/>
    <w:rsid w:val="009832CF"/>
    <w:rsid w:val="00987506"/>
    <w:rsid w:val="0098761D"/>
    <w:rsid w:val="0098784C"/>
    <w:rsid w:val="00991781"/>
    <w:rsid w:val="009922E5"/>
    <w:rsid w:val="00993923"/>
    <w:rsid w:val="009A3720"/>
    <w:rsid w:val="009B095B"/>
    <w:rsid w:val="009B1FA2"/>
    <w:rsid w:val="009B3FE0"/>
    <w:rsid w:val="009B6A3F"/>
    <w:rsid w:val="009C3C1E"/>
    <w:rsid w:val="009C7E39"/>
    <w:rsid w:val="009D25DD"/>
    <w:rsid w:val="009E4115"/>
    <w:rsid w:val="009E5D8D"/>
    <w:rsid w:val="009F1173"/>
    <w:rsid w:val="009F3687"/>
    <w:rsid w:val="009F469B"/>
    <w:rsid w:val="009F5855"/>
    <w:rsid w:val="009F7D8F"/>
    <w:rsid w:val="00A11A5A"/>
    <w:rsid w:val="00A21547"/>
    <w:rsid w:val="00A21AFD"/>
    <w:rsid w:val="00A30096"/>
    <w:rsid w:val="00A46570"/>
    <w:rsid w:val="00A47914"/>
    <w:rsid w:val="00A74854"/>
    <w:rsid w:val="00A81E8B"/>
    <w:rsid w:val="00A87979"/>
    <w:rsid w:val="00A9673D"/>
    <w:rsid w:val="00A97F54"/>
    <w:rsid w:val="00AB2C7E"/>
    <w:rsid w:val="00AB2C8D"/>
    <w:rsid w:val="00AB37F0"/>
    <w:rsid w:val="00AC0830"/>
    <w:rsid w:val="00AC1129"/>
    <w:rsid w:val="00AC62D2"/>
    <w:rsid w:val="00AD061D"/>
    <w:rsid w:val="00AE3D43"/>
    <w:rsid w:val="00B01260"/>
    <w:rsid w:val="00B10146"/>
    <w:rsid w:val="00B14600"/>
    <w:rsid w:val="00B21FCC"/>
    <w:rsid w:val="00B221DB"/>
    <w:rsid w:val="00B340B8"/>
    <w:rsid w:val="00B431F1"/>
    <w:rsid w:val="00B4522F"/>
    <w:rsid w:val="00B520EF"/>
    <w:rsid w:val="00B70B7F"/>
    <w:rsid w:val="00B75173"/>
    <w:rsid w:val="00B76B0A"/>
    <w:rsid w:val="00B8334C"/>
    <w:rsid w:val="00B8747D"/>
    <w:rsid w:val="00B93E95"/>
    <w:rsid w:val="00B96D6D"/>
    <w:rsid w:val="00BA7104"/>
    <w:rsid w:val="00BB2A98"/>
    <w:rsid w:val="00BC2C83"/>
    <w:rsid w:val="00BD26A1"/>
    <w:rsid w:val="00BE50B0"/>
    <w:rsid w:val="00BF6E14"/>
    <w:rsid w:val="00C042CA"/>
    <w:rsid w:val="00C2053E"/>
    <w:rsid w:val="00C27A18"/>
    <w:rsid w:val="00C27B0C"/>
    <w:rsid w:val="00C325DC"/>
    <w:rsid w:val="00C35217"/>
    <w:rsid w:val="00C4267A"/>
    <w:rsid w:val="00C60CC1"/>
    <w:rsid w:val="00C613BD"/>
    <w:rsid w:val="00C6383E"/>
    <w:rsid w:val="00C83E3E"/>
    <w:rsid w:val="00CA405A"/>
    <w:rsid w:val="00CA6373"/>
    <w:rsid w:val="00CB6548"/>
    <w:rsid w:val="00CC3982"/>
    <w:rsid w:val="00CF5383"/>
    <w:rsid w:val="00D07BE1"/>
    <w:rsid w:val="00D134DC"/>
    <w:rsid w:val="00D14D0F"/>
    <w:rsid w:val="00D21BD0"/>
    <w:rsid w:val="00D2476B"/>
    <w:rsid w:val="00D270F5"/>
    <w:rsid w:val="00D27D57"/>
    <w:rsid w:val="00D32294"/>
    <w:rsid w:val="00D438F4"/>
    <w:rsid w:val="00D56F0F"/>
    <w:rsid w:val="00D65EB5"/>
    <w:rsid w:val="00D758E6"/>
    <w:rsid w:val="00D770A0"/>
    <w:rsid w:val="00D87F45"/>
    <w:rsid w:val="00D90E7B"/>
    <w:rsid w:val="00D93065"/>
    <w:rsid w:val="00DA0647"/>
    <w:rsid w:val="00DA25B2"/>
    <w:rsid w:val="00DA734B"/>
    <w:rsid w:val="00DB387A"/>
    <w:rsid w:val="00DB41E4"/>
    <w:rsid w:val="00DC0265"/>
    <w:rsid w:val="00DC3C96"/>
    <w:rsid w:val="00DD0B86"/>
    <w:rsid w:val="00DD1B47"/>
    <w:rsid w:val="00DD499C"/>
    <w:rsid w:val="00DE481D"/>
    <w:rsid w:val="00DF5213"/>
    <w:rsid w:val="00E0414F"/>
    <w:rsid w:val="00E05399"/>
    <w:rsid w:val="00E12215"/>
    <w:rsid w:val="00E13990"/>
    <w:rsid w:val="00E201A2"/>
    <w:rsid w:val="00E3298F"/>
    <w:rsid w:val="00E36141"/>
    <w:rsid w:val="00E3626E"/>
    <w:rsid w:val="00E3707C"/>
    <w:rsid w:val="00E50A7F"/>
    <w:rsid w:val="00E56CCA"/>
    <w:rsid w:val="00E60DCF"/>
    <w:rsid w:val="00E63CFE"/>
    <w:rsid w:val="00E7358C"/>
    <w:rsid w:val="00E74714"/>
    <w:rsid w:val="00E80899"/>
    <w:rsid w:val="00E8106F"/>
    <w:rsid w:val="00E83E58"/>
    <w:rsid w:val="00E84803"/>
    <w:rsid w:val="00E960E3"/>
    <w:rsid w:val="00E9775E"/>
    <w:rsid w:val="00EB6A3F"/>
    <w:rsid w:val="00EB7312"/>
    <w:rsid w:val="00ED075F"/>
    <w:rsid w:val="00ED168C"/>
    <w:rsid w:val="00EE1857"/>
    <w:rsid w:val="00EE461C"/>
    <w:rsid w:val="00EF1A1F"/>
    <w:rsid w:val="00F00BE7"/>
    <w:rsid w:val="00F01FCC"/>
    <w:rsid w:val="00F07315"/>
    <w:rsid w:val="00F07FFC"/>
    <w:rsid w:val="00F1406C"/>
    <w:rsid w:val="00F14779"/>
    <w:rsid w:val="00F14944"/>
    <w:rsid w:val="00F1611A"/>
    <w:rsid w:val="00F1720E"/>
    <w:rsid w:val="00F17A96"/>
    <w:rsid w:val="00F30F67"/>
    <w:rsid w:val="00F35C39"/>
    <w:rsid w:val="00F44D67"/>
    <w:rsid w:val="00F47505"/>
    <w:rsid w:val="00F605BB"/>
    <w:rsid w:val="00F61E80"/>
    <w:rsid w:val="00F621FD"/>
    <w:rsid w:val="00F62777"/>
    <w:rsid w:val="00F67EC4"/>
    <w:rsid w:val="00F86352"/>
    <w:rsid w:val="00F902DC"/>
    <w:rsid w:val="00F934E2"/>
    <w:rsid w:val="00F9420C"/>
    <w:rsid w:val="00FA02AD"/>
    <w:rsid w:val="00FA41C0"/>
    <w:rsid w:val="00FA4A30"/>
    <w:rsid w:val="00FB1B62"/>
    <w:rsid w:val="00FB2034"/>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 w:type="table" w:styleId="TableGrid">
    <w:name w:val="Table Grid"/>
    <w:basedOn w:val="TableNormal"/>
    <w:uiPriority w:val="39"/>
    <w:rsid w:val="0021376D"/>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526">
      <w:bodyDiv w:val="1"/>
      <w:marLeft w:val="0"/>
      <w:marRight w:val="0"/>
      <w:marTop w:val="0"/>
      <w:marBottom w:val="0"/>
      <w:divBdr>
        <w:top w:val="none" w:sz="0" w:space="0" w:color="auto"/>
        <w:left w:val="none" w:sz="0" w:space="0" w:color="auto"/>
        <w:bottom w:val="none" w:sz="0" w:space="0" w:color="auto"/>
        <w:right w:val="none" w:sz="0" w:space="0" w:color="auto"/>
      </w:divBdr>
      <w:divsChild>
        <w:div w:id="742265711">
          <w:marLeft w:val="0"/>
          <w:marRight w:val="0"/>
          <w:marTop w:val="0"/>
          <w:marBottom w:val="0"/>
          <w:divBdr>
            <w:top w:val="none" w:sz="0" w:space="0" w:color="auto"/>
            <w:left w:val="none" w:sz="0" w:space="0" w:color="auto"/>
            <w:bottom w:val="none" w:sz="0" w:space="0" w:color="auto"/>
            <w:right w:val="none" w:sz="0" w:space="0" w:color="auto"/>
          </w:divBdr>
          <w:divsChild>
            <w:div w:id="136921697">
              <w:marLeft w:val="0"/>
              <w:marRight w:val="0"/>
              <w:marTop w:val="0"/>
              <w:marBottom w:val="0"/>
              <w:divBdr>
                <w:top w:val="none" w:sz="0" w:space="0" w:color="auto"/>
                <w:left w:val="none" w:sz="0" w:space="0" w:color="auto"/>
                <w:bottom w:val="none" w:sz="0" w:space="0" w:color="auto"/>
                <w:right w:val="none" w:sz="0" w:space="0" w:color="auto"/>
              </w:divBdr>
              <w:divsChild>
                <w:div w:id="97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372">
          <w:marLeft w:val="0"/>
          <w:marRight w:val="0"/>
          <w:marTop w:val="0"/>
          <w:marBottom w:val="0"/>
          <w:divBdr>
            <w:top w:val="none" w:sz="0" w:space="0" w:color="auto"/>
            <w:left w:val="none" w:sz="0" w:space="0" w:color="auto"/>
            <w:bottom w:val="none" w:sz="0" w:space="0" w:color="auto"/>
            <w:right w:val="none" w:sz="0" w:space="0" w:color="auto"/>
          </w:divBdr>
          <w:divsChild>
            <w:div w:id="1536968949">
              <w:marLeft w:val="0"/>
              <w:marRight w:val="0"/>
              <w:marTop w:val="0"/>
              <w:marBottom w:val="0"/>
              <w:divBdr>
                <w:top w:val="none" w:sz="0" w:space="0" w:color="auto"/>
                <w:left w:val="none" w:sz="0" w:space="0" w:color="auto"/>
                <w:bottom w:val="none" w:sz="0" w:space="0" w:color="auto"/>
                <w:right w:val="none" w:sz="0" w:space="0" w:color="auto"/>
              </w:divBdr>
              <w:divsChild>
                <w:div w:id="201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000">
      <w:bodyDiv w:val="1"/>
      <w:marLeft w:val="0"/>
      <w:marRight w:val="0"/>
      <w:marTop w:val="0"/>
      <w:marBottom w:val="0"/>
      <w:divBdr>
        <w:top w:val="none" w:sz="0" w:space="0" w:color="auto"/>
        <w:left w:val="none" w:sz="0" w:space="0" w:color="auto"/>
        <w:bottom w:val="none" w:sz="0" w:space="0" w:color="auto"/>
        <w:right w:val="none" w:sz="0" w:space="0" w:color="auto"/>
      </w:divBdr>
      <w:divsChild>
        <w:div w:id="523370580">
          <w:marLeft w:val="0"/>
          <w:marRight w:val="0"/>
          <w:marTop w:val="0"/>
          <w:marBottom w:val="0"/>
          <w:divBdr>
            <w:top w:val="none" w:sz="0" w:space="0" w:color="auto"/>
            <w:left w:val="none" w:sz="0" w:space="0" w:color="auto"/>
            <w:bottom w:val="none" w:sz="0" w:space="0" w:color="auto"/>
            <w:right w:val="none" w:sz="0" w:space="0" w:color="auto"/>
          </w:divBdr>
          <w:divsChild>
            <w:div w:id="103303868">
              <w:marLeft w:val="0"/>
              <w:marRight w:val="0"/>
              <w:marTop w:val="0"/>
              <w:marBottom w:val="0"/>
              <w:divBdr>
                <w:top w:val="none" w:sz="0" w:space="0" w:color="auto"/>
                <w:left w:val="none" w:sz="0" w:space="0" w:color="auto"/>
                <w:bottom w:val="none" w:sz="0" w:space="0" w:color="auto"/>
                <w:right w:val="none" w:sz="0" w:space="0" w:color="auto"/>
              </w:divBdr>
              <w:divsChild>
                <w:div w:id="80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dyourcent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ndyourcentr.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Joseph E Meehan</cp:lastModifiedBy>
  <cp:revision>5</cp:revision>
  <cp:lastPrinted>2018-12-04T09:34:00Z</cp:lastPrinted>
  <dcterms:created xsi:type="dcterms:W3CDTF">2020-10-05T17:39:00Z</dcterms:created>
  <dcterms:modified xsi:type="dcterms:W3CDTF">2020-10-09T19:54:00Z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