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1D7D8F37" w14:textId="6AC04104" w:rsidR="00A012FE" w:rsidRPr="002355CE" w:rsidRDefault="00640E94" w:rsidP="002355CE">
      <w:pPr>
        <w:rPr>
          <w:rFonts w:ascii="-webkit-standard" w:hAnsi="-webkit-standard"/>
          <w:color w:val="000000"/>
          <w:sz w:val="27"/>
          <w:szCs w:val="27"/>
        </w:rPr>
      </w:pPr>
      <w:r w:rsidRPr="005B08C5">
        <w:rPr>
          <w:rFonts w:ascii="Arial" w:hAnsi="Arial"/>
          <w:color w:val="000000"/>
          <w:sz w:val="22"/>
          <w:szCs w:val="22"/>
        </w:rPr>
        <w:t xml:space="preserve">Number of Outstanding </w:t>
      </w:r>
      <w:r w:rsidR="00C27A18" w:rsidRPr="005B08C5">
        <w:rPr>
          <w:rFonts w:ascii="Arial" w:hAnsi="Arial"/>
          <w:color w:val="000000"/>
          <w:sz w:val="22"/>
          <w:szCs w:val="22"/>
        </w:rPr>
        <w:t>Listed</w:t>
      </w:r>
      <w:r w:rsidRPr="005B08C5">
        <w:rPr>
          <w:rFonts w:ascii="Arial" w:hAnsi="Arial"/>
          <w:color w:val="000000"/>
          <w:sz w:val="22"/>
          <w:szCs w:val="22"/>
        </w:rPr>
        <w:t xml:space="preserve"> Securities</w:t>
      </w:r>
      <w:r w:rsidRPr="004B20EE">
        <w:rPr>
          <w:rFonts w:ascii="Arial" w:hAnsi="Arial" w:cs="Arial"/>
          <w:color w:val="000000"/>
          <w:sz w:val="22"/>
          <w:szCs w:val="22"/>
        </w:rPr>
        <w:t xml:space="preserve">: </w:t>
      </w:r>
      <w:r w:rsidR="00D944B3">
        <w:rPr>
          <w:rFonts w:ascii="Arial" w:hAnsi="Arial" w:cs="Arial"/>
          <w:color w:val="000000"/>
          <w:sz w:val="22"/>
          <w:szCs w:val="22"/>
        </w:rPr>
        <w:t>84</w:t>
      </w:r>
      <w:r w:rsidR="00353DBD">
        <w:rPr>
          <w:rFonts w:ascii="Arial" w:hAnsi="Arial" w:cs="Arial"/>
          <w:color w:val="000000"/>
          <w:sz w:val="22"/>
          <w:szCs w:val="22"/>
        </w:rPr>
        <w:t>,651,612</w:t>
      </w:r>
      <w:r w:rsidR="00654C0E">
        <w:rPr>
          <w:rFonts w:ascii="-webkit-standard" w:hAnsi="-webkit-standard"/>
          <w:color w:val="000000"/>
          <w:sz w:val="27"/>
          <w:szCs w:val="27"/>
        </w:rPr>
        <w:t> </w:t>
      </w:r>
    </w:p>
    <w:p w14:paraId="151A81AA" w14:textId="6C8B1DC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3D516F">
        <w:rPr>
          <w:rFonts w:ascii="Arial" w:hAnsi="Arial"/>
          <w:color w:val="000000"/>
          <w:sz w:val="22"/>
          <w:szCs w:val="22"/>
          <w:u w:val="single"/>
        </w:rPr>
        <w:t>Ju</w:t>
      </w:r>
      <w:r w:rsidR="00353DBD">
        <w:rPr>
          <w:rFonts w:ascii="Arial" w:hAnsi="Arial"/>
          <w:color w:val="000000"/>
          <w:sz w:val="22"/>
          <w:szCs w:val="22"/>
          <w:u w:val="single"/>
        </w:rPr>
        <w:t>ly</w:t>
      </w:r>
      <w:r w:rsidR="003D516F"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w:t>
      </w:r>
      <w:proofErr w:type="gramStart"/>
      <w:r w:rsidRPr="005B08C5">
        <w:rPr>
          <w:rFonts w:ascii="Arial" w:hAnsi="Arial"/>
          <w:color w:val="000000"/>
          <w:sz w:val="22"/>
          <w:szCs w:val="22"/>
        </w:rPr>
        <w:t>date</w:t>
      </w:r>
      <w:proofErr w:type="gramEnd"/>
      <w:r w:rsidRPr="005B08C5">
        <w:rPr>
          <w:rFonts w:ascii="Arial" w:hAnsi="Arial"/>
          <w:color w:val="000000"/>
          <w:sz w:val="22"/>
          <w:szCs w:val="22"/>
        </w:rPr>
        <w:t xml:space="preserv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w:t>
      </w:r>
      <w:proofErr w:type="gramStart"/>
      <w:r w:rsidRPr="005B08C5">
        <w:rPr>
          <w:rFonts w:ascii="Arial" w:hAnsi="Arial"/>
          <w:color w:val="000000"/>
          <w:sz w:val="22"/>
          <w:szCs w:val="22"/>
        </w:rPr>
        <w:t>balanced</w:t>
      </w:r>
      <w:proofErr w:type="gramEnd"/>
      <w:r w:rsidRPr="005B08C5">
        <w:rPr>
          <w:rFonts w:ascii="Arial" w:hAnsi="Arial"/>
          <w:color w:val="000000"/>
          <w:sz w:val="22"/>
          <w:szCs w:val="22"/>
        </w:rPr>
        <w:t xml:space="preserve">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 xml:space="preserve">Prepare this Monthly Progress Report using the format set out below. The sequence of questions must not be </w:t>
      </w:r>
      <w:proofErr w:type="gramStart"/>
      <w:r w:rsidRPr="005B08C5">
        <w:rPr>
          <w:rFonts w:ascii="Arial" w:hAnsi="Arial"/>
          <w:color w:val="000000"/>
          <w:sz w:val="22"/>
          <w:szCs w:val="22"/>
        </w:rPr>
        <w:t>altered</w:t>
      </w:r>
      <w:proofErr w:type="gramEnd"/>
      <w:r w:rsidRPr="005B08C5">
        <w:rPr>
          <w:rFonts w:ascii="Arial" w:hAnsi="Arial"/>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66DE7ADF"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beverage 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7AF3AA30"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 xml:space="preserve">the </w:t>
      </w:r>
      <w:r w:rsidR="00FD107C">
        <w:rPr>
          <w:rFonts w:ascii="Arial" w:hAnsi="Arial"/>
          <w:b/>
          <w:sz w:val="22"/>
          <w:szCs w:val="22"/>
        </w:rPr>
        <w:t xml:space="preserve">sales and </w:t>
      </w:r>
      <w:r w:rsidR="007D10AD">
        <w:rPr>
          <w:rFonts w:ascii="Arial" w:hAnsi="Arial"/>
          <w:b/>
          <w:sz w:val="22"/>
          <w:szCs w:val="22"/>
        </w:rPr>
        <w:t xml:space="preserve">distribution footprint of CENTR both across the U.S. and deeper in the states where CENTR is currently sold, and (ii) </w:t>
      </w:r>
      <w:r w:rsidR="009A2382">
        <w:rPr>
          <w:rFonts w:ascii="Arial" w:hAnsi="Arial"/>
          <w:b/>
          <w:sz w:val="22"/>
          <w:szCs w:val="22"/>
        </w:rPr>
        <w:t>the</w:t>
      </w:r>
      <w:r w:rsidR="007D10AD">
        <w:rPr>
          <w:rFonts w:ascii="Arial" w:hAnsi="Arial"/>
          <w:b/>
          <w:sz w:val="22"/>
          <w:szCs w:val="22"/>
        </w:rPr>
        <w:t xml:space="preserve"> </w:t>
      </w:r>
      <w:r w:rsidR="00A6371A">
        <w:rPr>
          <w:rFonts w:ascii="Arial" w:hAnsi="Arial"/>
          <w:b/>
          <w:sz w:val="22"/>
          <w:szCs w:val="22"/>
        </w:rPr>
        <w:t xml:space="preserve">development of </w:t>
      </w:r>
      <w:r w:rsidR="007D10AD">
        <w:rPr>
          <w:rFonts w:ascii="Arial" w:hAnsi="Arial"/>
          <w:b/>
          <w:sz w:val="22"/>
          <w:szCs w:val="22"/>
        </w:rPr>
        <w:t>new product opportunities.</w:t>
      </w:r>
    </w:p>
    <w:p w14:paraId="0769F703"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AA1CA8F" w14:textId="1493DBF5" w:rsidR="00805763" w:rsidRPr="001C08C0" w:rsidRDefault="00A6371A" w:rsidP="001C08C0">
      <w:pPr>
        <w:pStyle w:val="List"/>
        <w:spacing w:before="120"/>
        <w:ind w:left="720" w:firstLine="0"/>
        <w:jc w:val="both"/>
        <w:rPr>
          <w:rFonts w:ascii="Arial" w:hAnsi="Arial"/>
          <w:sz w:val="22"/>
          <w:szCs w:val="22"/>
        </w:rPr>
      </w:pPr>
      <w:r w:rsidRPr="001C08C0">
        <w:rPr>
          <w:rFonts w:ascii="Arial" w:hAnsi="Arial" w:cs="Arial"/>
          <w:b/>
          <w:sz w:val="22"/>
          <w:szCs w:val="22"/>
        </w:rPr>
        <w:lastRenderedPageBreak/>
        <w:t>None</w:t>
      </w:r>
      <w:r w:rsidR="00B90860" w:rsidRPr="001C08C0">
        <w:rPr>
          <w:rFonts w:ascii="Arial" w:hAnsi="Arial" w:cs="Arial"/>
          <w:b/>
          <w:sz w:val="22"/>
          <w:szCs w:val="22"/>
        </w:rPr>
        <w:t>.</w:t>
      </w:r>
      <w:r w:rsidR="007D10AD" w:rsidRPr="001C08C0">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72A1F9B" w14:textId="3513774C" w:rsidR="000667EF" w:rsidRDefault="00B90860" w:rsidP="000667EF">
      <w:pPr>
        <w:pStyle w:val="List"/>
        <w:spacing w:before="120"/>
        <w:ind w:left="720" w:firstLine="0"/>
        <w:jc w:val="both"/>
        <w:rPr>
          <w:rFonts w:ascii="Arial" w:hAnsi="Arial"/>
          <w:sz w:val="22"/>
          <w:szCs w:val="22"/>
        </w:rPr>
      </w:pPr>
      <w:r>
        <w:rPr>
          <w:rFonts w:ascii="Arial" w:hAnsi="Arial"/>
          <w:b/>
          <w:sz w:val="22"/>
          <w:szCs w:val="22"/>
        </w:rPr>
        <w:t>None.</w:t>
      </w:r>
    </w:p>
    <w:p w14:paraId="27CBE6F4" w14:textId="5491133B" w:rsidR="008E3BFB" w:rsidRPr="005B08C5" w:rsidRDefault="00640E94" w:rsidP="00A50FE1">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any new business relationships </w:t>
      </w:r>
      <w:proofErr w:type="gramStart"/>
      <w:r w:rsidRPr="005B08C5">
        <w:rPr>
          <w:rFonts w:ascii="Arial" w:hAnsi="Arial"/>
          <w:sz w:val="22"/>
          <w:szCs w:val="22"/>
        </w:rPr>
        <w:t>entered into</w:t>
      </w:r>
      <w:proofErr w:type="gramEnd"/>
      <w:r w:rsidRPr="005B08C5">
        <w:rPr>
          <w:rFonts w:ascii="Arial" w:hAnsi="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622B3A97" w:rsidR="00320083" w:rsidRPr="005B08C5" w:rsidRDefault="00200721" w:rsidP="008E3BFB">
      <w:pPr>
        <w:pStyle w:val="List"/>
        <w:spacing w:before="120"/>
        <w:ind w:left="720" w:firstLine="0"/>
        <w:jc w:val="both"/>
        <w:rPr>
          <w:rFonts w:ascii="Arial" w:hAnsi="Arial" w:cs="Arial"/>
          <w:b/>
          <w:sz w:val="22"/>
          <w:szCs w:val="22"/>
        </w:rPr>
      </w:pPr>
      <w:r>
        <w:rPr>
          <w:rFonts w:ascii="Arial" w:hAnsi="Arial"/>
          <w:b/>
          <w:sz w:val="22"/>
          <w:szCs w:val="22"/>
        </w:rPr>
        <w:t>None.</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r w:rsidR="00805763" w:rsidRPr="005B08C5">
        <w:rPr>
          <w:rFonts w:ascii="Arial" w:hAnsi="Arial"/>
          <w:sz w:val="22"/>
          <w:szCs w:val="22"/>
        </w:rPr>
        <w:t xml:space="preserve"> </w:t>
      </w:r>
    </w:p>
    <w:p w14:paraId="3D426198" w14:textId="56ACDA9D" w:rsidR="00EF1A1F" w:rsidRPr="005B08C5" w:rsidRDefault="00BE0FBA" w:rsidP="0036670C">
      <w:pPr>
        <w:pStyle w:val="List"/>
        <w:spacing w:before="120"/>
        <w:ind w:left="720" w:firstLine="0"/>
        <w:jc w:val="both"/>
        <w:rPr>
          <w:rFonts w:ascii="Arial" w:hAnsi="Arial"/>
          <w:sz w:val="22"/>
          <w:szCs w:val="22"/>
        </w:rPr>
      </w:pPr>
      <w:r>
        <w:rPr>
          <w:rFonts w:ascii="Arial" w:hAnsi="Arial"/>
          <w:b/>
          <w:sz w:val="22"/>
          <w:szCs w:val="22"/>
        </w:rPr>
        <w:t>None.</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5B08C5">
        <w:rPr>
          <w:rFonts w:ascii="Arial" w:hAnsi="Arial"/>
          <w:sz w:val="22"/>
          <w:szCs w:val="22"/>
        </w:rPr>
        <w:t>from</w:t>
      </w:r>
      <w:proofErr w:type="gramEnd"/>
      <w:r w:rsidRPr="005B08C5">
        <w:rPr>
          <w:rFonts w:ascii="Arial" w:hAnsi="Arial"/>
          <w:sz w:val="22"/>
          <w:szCs w:val="22"/>
        </w:rPr>
        <w:t xml:space="preserve">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6D403D57"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5B08C5">
        <w:rPr>
          <w:rFonts w:ascii="Arial" w:hAnsi="Arial"/>
          <w:sz w:val="22"/>
          <w:szCs w:val="22"/>
        </w:rPr>
        <w:t>trade-marks</w:t>
      </w:r>
      <w:proofErr w:type="gramEnd"/>
      <w:r w:rsidRPr="005B08C5">
        <w:rPr>
          <w:rFonts w:ascii="Arial" w:hAnsi="Arial"/>
          <w:sz w:val="22"/>
          <w:szCs w:val="22"/>
        </w:rPr>
        <w:t>.</w:t>
      </w:r>
    </w:p>
    <w:p w14:paraId="28516172" w14:textId="77777777" w:rsidR="00167CBC" w:rsidRDefault="00167CBC" w:rsidP="00645D12">
      <w:pPr>
        <w:pStyle w:val="ListParagraph"/>
        <w:rPr>
          <w:rFonts w:ascii="Calibri" w:hAnsi="Calibri" w:cs="Calibri"/>
          <w:color w:val="1F497D"/>
          <w:sz w:val="22"/>
          <w:szCs w:val="22"/>
          <w:lang w:val="en-CA"/>
        </w:rPr>
      </w:pPr>
    </w:p>
    <w:p w14:paraId="495CCECD" w14:textId="321D81F2" w:rsidR="00F53750" w:rsidRPr="005B3001" w:rsidRDefault="00167CBC" w:rsidP="005B3001">
      <w:pPr>
        <w:pStyle w:val="ListParagraph"/>
        <w:ind w:right="4"/>
        <w:jc w:val="both"/>
        <w:rPr>
          <w:rFonts w:ascii="Arial" w:hAnsi="Arial" w:cs="Arial"/>
          <w:b/>
          <w:bCs/>
          <w:sz w:val="24"/>
          <w:szCs w:val="24"/>
          <w:lang w:val="en-CA"/>
        </w:rPr>
      </w:pPr>
      <w:r w:rsidRPr="005B3001">
        <w:rPr>
          <w:rFonts w:ascii="Arial" w:hAnsi="Arial" w:cs="Arial"/>
          <w:b/>
          <w:bCs/>
          <w:sz w:val="22"/>
          <w:szCs w:val="22"/>
          <w:lang w:val="en-CA"/>
        </w:rPr>
        <w:t>T</w:t>
      </w:r>
      <w:r w:rsidR="00645D12" w:rsidRPr="005B3001">
        <w:rPr>
          <w:rFonts w:ascii="Arial" w:hAnsi="Arial" w:cs="Arial"/>
          <w:b/>
          <w:bCs/>
          <w:sz w:val="22"/>
          <w:szCs w:val="22"/>
          <w:lang w:val="en-CA"/>
        </w:rPr>
        <w:t>he application for registration of th</w:t>
      </w:r>
      <w:r w:rsidR="00746B03" w:rsidRPr="005B3001">
        <w:rPr>
          <w:rFonts w:ascii="Arial" w:hAnsi="Arial" w:cs="Arial"/>
          <w:b/>
          <w:bCs/>
          <w:sz w:val="22"/>
          <w:szCs w:val="22"/>
          <w:lang w:val="en-CA"/>
        </w:rPr>
        <w:t>e</w:t>
      </w:r>
      <w:r w:rsidR="00645D12" w:rsidRPr="005B3001">
        <w:rPr>
          <w:rFonts w:ascii="Arial" w:hAnsi="Arial" w:cs="Arial"/>
          <w:b/>
          <w:bCs/>
          <w:sz w:val="22"/>
          <w:szCs w:val="22"/>
          <w:lang w:val="en-CA"/>
        </w:rPr>
        <w:t xml:space="preserve"> </w:t>
      </w:r>
      <w:proofErr w:type="gramStart"/>
      <w:r w:rsidR="00645D12" w:rsidRPr="005B3001">
        <w:rPr>
          <w:rFonts w:ascii="Arial" w:hAnsi="Arial" w:cs="Arial"/>
          <w:b/>
          <w:bCs/>
          <w:sz w:val="22"/>
          <w:szCs w:val="22"/>
          <w:lang w:val="en-CA"/>
        </w:rPr>
        <w:t>trade-mark</w:t>
      </w:r>
      <w:proofErr w:type="gramEnd"/>
      <w:r w:rsidR="00746B03" w:rsidRPr="005B3001">
        <w:rPr>
          <w:rFonts w:ascii="Arial" w:hAnsi="Arial" w:cs="Arial"/>
          <w:b/>
          <w:bCs/>
          <w:sz w:val="22"/>
          <w:szCs w:val="22"/>
          <w:lang w:val="en-CA"/>
        </w:rPr>
        <w:t xml:space="preserve"> “CENTR”</w:t>
      </w:r>
      <w:r w:rsidR="00645D12" w:rsidRPr="005B3001">
        <w:rPr>
          <w:rFonts w:ascii="Arial" w:hAnsi="Arial" w:cs="Arial"/>
          <w:b/>
          <w:bCs/>
          <w:sz w:val="22"/>
          <w:szCs w:val="22"/>
          <w:lang w:val="en-CA"/>
        </w:rPr>
        <w:t xml:space="preserve"> </w:t>
      </w:r>
      <w:r w:rsidR="00746B03" w:rsidRPr="005B3001">
        <w:rPr>
          <w:rFonts w:ascii="Arial" w:hAnsi="Arial" w:cs="Arial"/>
          <w:b/>
          <w:bCs/>
          <w:sz w:val="22"/>
          <w:szCs w:val="22"/>
          <w:lang w:val="en-CA"/>
        </w:rPr>
        <w:t>was</w:t>
      </w:r>
      <w:r w:rsidR="00645D12" w:rsidRPr="005B3001">
        <w:rPr>
          <w:rFonts w:ascii="Arial" w:hAnsi="Arial" w:cs="Arial"/>
          <w:b/>
          <w:bCs/>
          <w:sz w:val="22"/>
          <w:szCs w:val="22"/>
          <w:lang w:val="en-CA"/>
        </w:rPr>
        <w:t xml:space="preserve"> approved for publication in the Trade-marks Journal by the Canadian Trade-marks Office</w:t>
      </w:r>
      <w:r w:rsidR="00746B03" w:rsidRPr="005B3001">
        <w:rPr>
          <w:rFonts w:ascii="Arial" w:hAnsi="Arial" w:cs="Arial"/>
          <w:b/>
          <w:bCs/>
          <w:sz w:val="22"/>
          <w:szCs w:val="22"/>
          <w:lang w:val="en-CA"/>
        </w:rPr>
        <w:t xml:space="preserve"> on June 30, 2021</w:t>
      </w:r>
      <w:r w:rsidR="00594613" w:rsidRPr="005B3001">
        <w:rPr>
          <w:rFonts w:ascii="Arial" w:hAnsi="Arial" w:cs="Arial"/>
          <w:b/>
          <w:bCs/>
          <w:sz w:val="22"/>
          <w:szCs w:val="22"/>
          <w:lang w:val="en-CA"/>
        </w:rPr>
        <w:t>.</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32F60BED" w:rsidR="00320083" w:rsidRPr="005B08C5" w:rsidRDefault="00BE0FBA" w:rsidP="008647C8">
      <w:pPr>
        <w:pStyle w:val="List"/>
        <w:spacing w:before="120"/>
        <w:ind w:left="720" w:firstLine="0"/>
        <w:jc w:val="both"/>
        <w:rPr>
          <w:rFonts w:ascii="Arial" w:hAnsi="Arial"/>
          <w:sz w:val="22"/>
          <w:szCs w:val="22"/>
        </w:rPr>
      </w:pPr>
      <w:r>
        <w:rPr>
          <w:rFonts w:ascii="Arial" w:hAnsi="Arial" w:cs="Arial"/>
          <w:b/>
          <w:sz w:val="22"/>
          <w:szCs w:val="22"/>
        </w:rPr>
        <w:t xml:space="preserve">The Issuer </w:t>
      </w:r>
      <w:r w:rsidR="006C3617">
        <w:rPr>
          <w:rFonts w:ascii="Arial" w:hAnsi="Arial" w:cs="Arial"/>
          <w:b/>
          <w:sz w:val="22"/>
          <w:szCs w:val="22"/>
        </w:rPr>
        <w:t xml:space="preserve">terminated an account manager in </w:t>
      </w:r>
      <w:proofErr w:type="gramStart"/>
      <w:r w:rsidR="006C3617">
        <w:rPr>
          <w:rFonts w:ascii="Arial" w:hAnsi="Arial" w:cs="Arial"/>
          <w:b/>
          <w:sz w:val="22"/>
          <w:szCs w:val="22"/>
        </w:rPr>
        <w:t>Florida</w:t>
      </w:r>
      <w:r w:rsidR="00E11A37">
        <w:rPr>
          <w:rFonts w:ascii="Arial" w:hAnsi="Arial" w:cs="Arial"/>
          <w:b/>
          <w:sz w:val="22"/>
          <w:szCs w:val="22"/>
        </w:rPr>
        <w:t xml:space="preserve">, </w:t>
      </w:r>
      <w:r w:rsidR="00E11A37" w:rsidRPr="0042358C">
        <w:rPr>
          <w:rFonts w:ascii="Arial" w:hAnsi="Arial" w:cs="Arial"/>
          <w:b/>
          <w:sz w:val="22"/>
          <w:szCs w:val="22"/>
        </w:rPr>
        <w:t>and</w:t>
      </w:r>
      <w:proofErr w:type="gramEnd"/>
      <w:r w:rsidR="00E11A37" w:rsidRPr="0042358C">
        <w:rPr>
          <w:rFonts w:ascii="Arial" w:hAnsi="Arial" w:cs="Arial"/>
          <w:b/>
          <w:sz w:val="22"/>
          <w:szCs w:val="22"/>
        </w:rPr>
        <w:t xml:space="preserve"> hired</w:t>
      </w:r>
      <w:r w:rsidR="0042358C" w:rsidRPr="005B3001">
        <w:rPr>
          <w:rFonts w:ascii="Arial" w:hAnsi="Arial" w:cs="Arial"/>
          <w:b/>
          <w:sz w:val="22"/>
          <w:szCs w:val="22"/>
        </w:rPr>
        <w:t xml:space="preserve"> </w:t>
      </w:r>
      <w:r w:rsidR="005B3001">
        <w:rPr>
          <w:rFonts w:ascii="Arial" w:hAnsi="Arial" w:cs="Arial"/>
          <w:b/>
          <w:sz w:val="22"/>
          <w:szCs w:val="22"/>
        </w:rPr>
        <w:t>an account manager</w:t>
      </w:r>
      <w:r w:rsidR="0042358C" w:rsidRPr="005B3001">
        <w:rPr>
          <w:rFonts w:ascii="Arial" w:hAnsi="Arial" w:cs="Arial"/>
          <w:b/>
          <w:sz w:val="22"/>
          <w:szCs w:val="22"/>
        </w:rPr>
        <w:t xml:space="preserve"> in Michigan.</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6AB5BCA8"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Provide details of any indebtedness incurred or repaid by the Issuer together with the terms of such indebtedness.</w:t>
      </w:r>
    </w:p>
    <w:p w14:paraId="284FB986" w14:textId="7EFA7DB6" w:rsidR="00BD26A1" w:rsidRPr="001C08C0" w:rsidRDefault="008256C8" w:rsidP="001C08C0">
      <w:pPr>
        <w:pStyle w:val="List"/>
        <w:spacing w:before="120"/>
        <w:ind w:left="720" w:firstLine="0"/>
        <w:jc w:val="both"/>
        <w:rPr>
          <w:rFonts w:ascii="Arial" w:hAnsi="Arial"/>
          <w:sz w:val="22"/>
          <w:szCs w:val="22"/>
        </w:rPr>
      </w:pPr>
      <w:r w:rsidRPr="001C08C0">
        <w:rPr>
          <w:rFonts w:ascii="Arial" w:hAnsi="Arial" w:cs="Arial"/>
          <w:b/>
          <w:bCs/>
          <w:sz w:val="22"/>
          <w:szCs w:val="22"/>
        </w:rPr>
        <w:lastRenderedPageBreak/>
        <w:t>None.</w:t>
      </w:r>
    </w:p>
    <w:p w14:paraId="76CCA7B4" w14:textId="77777777" w:rsidR="001C08C0" w:rsidRPr="001C08C0" w:rsidRDefault="00640E94" w:rsidP="001C08C0">
      <w:pPr>
        <w:pStyle w:val="List"/>
        <w:numPr>
          <w:ilvl w:val="0"/>
          <w:numId w:val="28"/>
        </w:numPr>
        <w:spacing w:before="120"/>
        <w:jc w:val="both"/>
        <w:rPr>
          <w:rFonts w:ascii="Arial" w:hAnsi="Arial" w:cs="Arial"/>
          <w:b/>
          <w:bCs/>
          <w:sz w:val="22"/>
          <w:szCs w:val="22"/>
        </w:rPr>
      </w:pPr>
      <w:r w:rsidRPr="005B08C5">
        <w:rPr>
          <w:rFonts w:ascii="Arial" w:hAnsi="Arial"/>
          <w:sz w:val="22"/>
          <w:szCs w:val="22"/>
        </w:rPr>
        <w:t>Provide details of any securities issued and options or warrants granted.</w:t>
      </w:r>
    </w:p>
    <w:p w14:paraId="6A1BC759" w14:textId="77777777" w:rsidR="008F70C7" w:rsidRDefault="008F70C7" w:rsidP="008F70C7">
      <w:pPr>
        <w:pStyle w:val="ListParagraph"/>
        <w:jc w:val="both"/>
        <w:rPr>
          <w:rFonts w:ascii="Arial" w:hAnsi="Arial" w:cs="Arial"/>
          <w:b/>
          <w:bCs/>
          <w:sz w:val="24"/>
          <w:szCs w:val="24"/>
        </w:rPr>
      </w:pPr>
    </w:p>
    <w:p w14:paraId="249D7B27" w14:textId="6DA49EAB" w:rsidR="00FB1B62" w:rsidRPr="008D698B" w:rsidRDefault="008F70C7" w:rsidP="008D698B">
      <w:pPr>
        <w:pStyle w:val="ListParagraph"/>
        <w:jc w:val="both"/>
        <w:rPr>
          <w:rFonts w:ascii="Arial" w:hAnsi="Arial" w:cs="Arial"/>
          <w:b/>
          <w:bCs/>
          <w:color w:val="000000"/>
          <w:sz w:val="24"/>
          <w:szCs w:val="24"/>
          <w:lang w:val="en-CA"/>
        </w:rPr>
      </w:pPr>
      <w:r w:rsidRPr="005E16B3">
        <w:rPr>
          <w:rFonts w:ascii="Arial" w:hAnsi="Arial" w:cs="Arial"/>
          <w:b/>
          <w:bCs/>
          <w:sz w:val="24"/>
          <w:szCs w:val="24"/>
        </w:rPr>
        <w:t xml:space="preserve">The Issuer </w:t>
      </w:r>
      <w:r w:rsidR="00833B06" w:rsidRPr="005E16B3">
        <w:rPr>
          <w:rFonts w:ascii="Arial" w:hAnsi="Arial" w:cs="Arial"/>
          <w:b/>
          <w:bCs/>
          <w:sz w:val="24"/>
          <w:szCs w:val="24"/>
        </w:rPr>
        <w:t xml:space="preserve">announced </w:t>
      </w:r>
      <w:r w:rsidR="00833B06" w:rsidRPr="00C356C7">
        <w:rPr>
          <w:rFonts w:ascii="Arial" w:hAnsi="Arial" w:cs="Arial"/>
          <w:b/>
          <w:bCs/>
          <w:sz w:val="24"/>
          <w:szCs w:val="24"/>
        </w:rPr>
        <w:t xml:space="preserve">the </w:t>
      </w:r>
      <w:r w:rsidRPr="00C356C7">
        <w:rPr>
          <w:rFonts w:ascii="Arial" w:hAnsi="Arial" w:cs="Arial"/>
          <w:b/>
          <w:bCs/>
          <w:sz w:val="24"/>
          <w:szCs w:val="24"/>
        </w:rPr>
        <w:t>clos</w:t>
      </w:r>
      <w:r w:rsidR="00833B06" w:rsidRPr="00C356C7">
        <w:rPr>
          <w:rFonts w:ascii="Arial" w:hAnsi="Arial" w:cs="Arial"/>
          <w:b/>
          <w:bCs/>
          <w:sz w:val="24"/>
          <w:szCs w:val="24"/>
        </w:rPr>
        <w:t>ing of</w:t>
      </w:r>
      <w:r w:rsidRPr="00C356C7">
        <w:rPr>
          <w:rFonts w:ascii="Arial" w:hAnsi="Arial" w:cs="Arial"/>
          <w:b/>
          <w:bCs/>
          <w:sz w:val="24"/>
          <w:szCs w:val="24"/>
        </w:rPr>
        <w:t xml:space="preserve"> </w:t>
      </w:r>
      <w:r w:rsidR="0053097B" w:rsidRPr="00C356C7">
        <w:rPr>
          <w:rFonts w:ascii="Arial" w:hAnsi="Arial" w:cs="Arial"/>
          <w:b/>
          <w:bCs/>
          <w:sz w:val="24"/>
          <w:szCs w:val="24"/>
        </w:rPr>
        <w:t>the</w:t>
      </w:r>
      <w:r w:rsidRPr="00C356C7">
        <w:rPr>
          <w:rFonts w:ascii="Arial" w:hAnsi="Arial" w:cs="Arial"/>
          <w:b/>
          <w:bCs/>
          <w:sz w:val="24"/>
          <w:szCs w:val="24"/>
        </w:rPr>
        <w:t xml:space="preserve"> </w:t>
      </w:r>
      <w:r w:rsidR="00963700" w:rsidRPr="00C356C7">
        <w:rPr>
          <w:rFonts w:ascii="Arial" w:hAnsi="Arial" w:cs="Arial"/>
          <w:b/>
          <w:bCs/>
          <w:sz w:val="24"/>
          <w:szCs w:val="24"/>
        </w:rPr>
        <w:t xml:space="preserve">first </w:t>
      </w:r>
      <w:r w:rsidRPr="00C356C7">
        <w:rPr>
          <w:rFonts w:ascii="Arial" w:hAnsi="Arial" w:cs="Arial"/>
          <w:b/>
          <w:bCs/>
          <w:sz w:val="24"/>
          <w:szCs w:val="24"/>
        </w:rPr>
        <w:t xml:space="preserve">tranche of </w:t>
      </w:r>
      <w:r w:rsidR="0053097B" w:rsidRPr="00C356C7">
        <w:rPr>
          <w:rFonts w:ascii="Arial" w:hAnsi="Arial" w:cs="Arial"/>
          <w:b/>
          <w:bCs/>
          <w:sz w:val="24"/>
          <w:szCs w:val="24"/>
        </w:rPr>
        <w:t>a</w:t>
      </w:r>
      <w:r w:rsidRPr="00C356C7">
        <w:rPr>
          <w:rFonts w:ascii="Arial" w:hAnsi="Arial" w:cs="Arial"/>
          <w:b/>
          <w:bCs/>
          <w:sz w:val="24"/>
          <w:szCs w:val="24"/>
        </w:rPr>
        <w:t xml:space="preserve"> non-brokered private placement financing </w:t>
      </w:r>
      <w:r w:rsidRPr="005B3001">
        <w:rPr>
          <w:rFonts w:ascii="Arial" w:hAnsi="Arial" w:cs="Arial"/>
          <w:b/>
          <w:bCs/>
          <w:sz w:val="24"/>
          <w:szCs w:val="24"/>
        </w:rPr>
        <w:t xml:space="preserve">on </w:t>
      </w:r>
      <w:r w:rsidR="00853D06" w:rsidRPr="005B3001">
        <w:rPr>
          <w:rFonts w:ascii="Arial" w:hAnsi="Arial" w:cs="Arial"/>
          <w:b/>
          <w:bCs/>
          <w:sz w:val="24"/>
          <w:szCs w:val="24"/>
        </w:rPr>
        <w:t>July 19</w:t>
      </w:r>
      <w:r w:rsidRPr="005B3001">
        <w:rPr>
          <w:rFonts w:ascii="Arial" w:hAnsi="Arial" w:cs="Arial"/>
          <w:b/>
          <w:bCs/>
          <w:sz w:val="24"/>
          <w:szCs w:val="24"/>
        </w:rPr>
        <w:t>, 202</w:t>
      </w:r>
      <w:r w:rsidR="00853D06" w:rsidRPr="005B3001">
        <w:rPr>
          <w:rFonts w:ascii="Arial" w:hAnsi="Arial" w:cs="Arial"/>
          <w:b/>
          <w:bCs/>
          <w:sz w:val="24"/>
          <w:szCs w:val="24"/>
        </w:rPr>
        <w:t>1</w:t>
      </w:r>
      <w:r w:rsidRPr="005B3001">
        <w:rPr>
          <w:rFonts w:ascii="Arial" w:hAnsi="Arial" w:cs="Arial"/>
          <w:b/>
          <w:bCs/>
          <w:sz w:val="24"/>
          <w:szCs w:val="24"/>
        </w:rPr>
        <w:t xml:space="preserve"> (the "Financing"). A total of </w:t>
      </w:r>
      <w:r w:rsidR="003F7AAE" w:rsidRPr="005B3001">
        <w:rPr>
          <w:rFonts w:ascii="Arial" w:hAnsi="Arial" w:cs="Arial"/>
          <w:b/>
          <w:bCs/>
          <w:sz w:val="24"/>
          <w:szCs w:val="24"/>
        </w:rPr>
        <w:t>2,054,167</w:t>
      </w:r>
      <w:r w:rsidRPr="005B3001">
        <w:rPr>
          <w:rFonts w:ascii="Arial" w:hAnsi="Arial" w:cs="Arial"/>
          <w:b/>
          <w:bCs/>
          <w:sz w:val="24"/>
          <w:szCs w:val="24"/>
        </w:rPr>
        <w:t xml:space="preserve"> units of the Company (the “Units”) were issued at a price of $</w:t>
      </w:r>
      <w:r w:rsidR="003F7AAE" w:rsidRPr="005B3001">
        <w:rPr>
          <w:rFonts w:ascii="Arial" w:hAnsi="Arial" w:cs="Arial"/>
          <w:b/>
          <w:bCs/>
          <w:sz w:val="24"/>
          <w:szCs w:val="24"/>
        </w:rPr>
        <w:t>1</w:t>
      </w:r>
      <w:r w:rsidRPr="005B3001">
        <w:rPr>
          <w:rFonts w:ascii="Arial" w:hAnsi="Arial" w:cs="Arial"/>
          <w:b/>
          <w:bCs/>
          <w:sz w:val="24"/>
          <w:szCs w:val="24"/>
        </w:rPr>
        <w:t>.5</w:t>
      </w:r>
      <w:r w:rsidR="003F7AAE" w:rsidRPr="005B3001">
        <w:rPr>
          <w:rFonts w:ascii="Arial" w:hAnsi="Arial" w:cs="Arial"/>
          <w:b/>
          <w:bCs/>
          <w:sz w:val="24"/>
          <w:szCs w:val="24"/>
        </w:rPr>
        <w:t>0</w:t>
      </w:r>
      <w:r w:rsidRPr="005B3001">
        <w:rPr>
          <w:rFonts w:ascii="Arial" w:hAnsi="Arial" w:cs="Arial"/>
          <w:b/>
          <w:bCs/>
          <w:sz w:val="24"/>
          <w:szCs w:val="24"/>
        </w:rPr>
        <w:t xml:space="preserve"> per Unit for aggregate gross proceeds of </w:t>
      </w:r>
      <w:r w:rsidR="005E16B3">
        <w:rPr>
          <w:rFonts w:ascii="Arial" w:hAnsi="Arial" w:cs="Arial"/>
          <w:b/>
          <w:bCs/>
          <w:sz w:val="24"/>
          <w:szCs w:val="24"/>
        </w:rPr>
        <w:t>C</w:t>
      </w:r>
      <w:r w:rsidR="005E16B3" w:rsidRPr="005B3001">
        <w:rPr>
          <w:rFonts w:ascii="Arial" w:hAnsi="Arial" w:cs="Arial"/>
          <w:b/>
          <w:bCs/>
          <w:sz w:val="24"/>
          <w:szCs w:val="24"/>
        </w:rPr>
        <w:t>$3,081,252.00</w:t>
      </w:r>
      <w:r w:rsidRPr="005E16B3">
        <w:rPr>
          <w:rFonts w:ascii="Arial" w:hAnsi="Arial" w:cs="Arial"/>
          <w:b/>
          <w:bCs/>
          <w:sz w:val="24"/>
          <w:szCs w:val="24"/>
        </w:rPr>
        <w:t xml:space="preserve">. </w:t>
      </w:r>
      <w:r w:rsidR="005E16B3">
        <w:rPr>
          <w:rFonts w:ascii="Arial" w:hAnsi="Arial" w:cs="Arial"/>
          <w:b/>
          <w:bCs/>
          <w:sz w:val="24"/>
          <w:szCs w:val="24"/>
        </w:rPr>
        <w:t xml:space="preserve"> </w:t>
      </w:r>
      <w:r w:rsidRPr="005E16B3">
        <w:rPr>
          <w:rFonts w:ascii="Arial" w:hAnsi="Arial" w:cs="Arial"/>
          <w:b/>
          <w:bCs/>
          <w:sz w:val="24"/>
          <w:szCs w:val="24"/>
        </w:rPr>
        <w:t xml:space="preserve">Each Unit consists of one common share in the capital of the Company (each a “Common Share”) and one common share purchase warrant (each, a “Warrant”). </w:t>
      </w:r>
      <w:r w:rsidRPr="005B3001">
        <w:rPr>
          <w:rFonts w:ascii="Arial" w:hAnsi="Arial" w:cs="Arial"/>
          <w:b/>
          <w:bCs/>
          <w:sz w:val="24"/>
          <w:szCs w:val="24"/>
        </w:rPr>
        <w:t xml:space="preserve"> Each Warrant entitles the holder thereof to acquire one Common Share at the price of $</w:t>
      </w:r>
      <w:r w:rsidR="00C356C7" w:rsidRPr="005B3001">
        <w:rPr>
          <w:rFonts w:ascii="Arial" w:hAnsi="Arial" w:cs="Arial"/>
          <w:b/>
          <w:bCs/>
          <w:sz w:val="24"/>
          <w:szCs w:val="24"/>
        </w:rPr>
        <w:t>1.75</w:t>
      </w:r>
      <w:r w:rsidRPr="005B3001">
        <w:rPr>
          <w:rFonts w:ascii="Arial" w:hAnsi="Arial" w:cs="Arial"/>
          <w:b/>
          <w:bCs/>
          <w:sz w:val="24"/>
          <w:szCs w:val="24"/>
        </w:rPr>
        <w:t xml:space="preserve"> for a period of three years from closing</w:t>
      </w:r>
      <w:r w:rsidR="00C356C7" w:rsidRPr="005B3001">
        <w:rPr>
          <w:rFonts w:ascii="Arial" w:hAnsi="Arial" w:cs="Arial"/>
          <w:b/>
          <w:bCs/>
          <w:sz w:val="24"/>
          <w:szCs w:val="24"/>
        </w:rPr>
        <w:t>,</w:t>
      </w:r>
      <w:r w:rsidR="00C356C7" w:rsidRPr="005B3001">
        <w:rPr>
          <w:rFonts w:ascii="Arial" w:hAnsi="Arial" w:cs="Arial"/>
          <w:b/>
          <w:bCs/>
          <w:sz w:val="24"/>
          <w:szCs w:val="24"/>
          <w:lang w:val="en-CA"/>
        </w:rPr>
        <w:t xml:space="preserve"> </w:t>
      </w:r>
      <w:r w:rsidR="00C356C7" w:rsidRPr="005B3001">
        <w:rPr>
          <w:rFonts w:ascii="Arial" w:hAnsi="Arial" w:cs="Arial"/>
          <w:b/>
          <w:bCs/>
          <w:sz w:val="24"/>
          <w:szCs w:val="24"/>
          <w:lang w:val="en-CA"/>
        </w:rPr>
        <w:t>subject to a redemption timing adjustment in certain events</w:t>
      </w:r>
      <w:r w:rsidRPr="00C356C7">
        <w:rPr>
          <w:rFonts w:ascii="Arial" w:hAnsi="Arial" w:cs="Arial"/>
          <w:b/>
          <w:bCs/>
          <w:sz w:val="24"/>
          <w:szCs w:val="24"/>
        </w:rPr>
        <w:t>. The Common Shares and Warrants, and any Common Shares issuable upon the exercise of the Warrants issued pursuant to the Second Tranche, are subject to a statutory hold period of four months and one day from the closing</w:t>
      </w:r>
      <w:r w:rsidRPr="00C356C7">
        <w:rPr>
          <w:rFonts w:ascii="Arial" w:hAnsi="Arial" w:cs="Arial"/>
          <w:b/>
          <w:bCs/>
          <w:color w:val="000000"/>
          <w:sz w:val="24"/>
          <w:szCs w:val="24"/>
          <w:lang w:val="en-CA"/>
        </w:rPr>
        <w:t>. </w:t>
      </w:r>
      <w:r w:rsidRPr="00064202">
        <w:rPr>
          <w:rFonts w:ascii="ArialMT" w:hAnsi="ArialMT"/>
          <w:b/>
          <w:bCs/>
          <w:sz w:val="24"/>
          <w:szCs w:val="24"/>
        </w:rPr>
        <w:t xml:space="preserve"> </w:t>
      </w:r>
      <w:r w:rsidR="00F4214B">
        <w:rPr>
          <w:rFonts w:ascii="ArialMT" w:hAnsi="ArialMT"/>
          <w:b/>
          <w:bCs/>
          <w:sz w:val="24"/>
          <w:szCs w:val="24"/>
        </w:rPr>
        <w:t>Please see the attached press release for further details</w:t>
      </w:r>
      <w:r w:rsidR="00672E35">
        <w:rPr>
          <w:rFonts w:ascii="ArialMT" w:hAnsi="ArialMT"/>
          <w:b/>
          <w:bCs/>
          <w:sz w:val="24"/>
          <w:szCs w:val="24"/>
        </w:rPr>
        <w:t>.</w:t>
      </w: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7A030C13" w14:textId="77777777" w:rsidR="001C08C0" w:rsidRDefault="00640E94" w:rsidP="001C08C0">
      <w:pPr>
        <w:pStyle w:val="List"/>
        <w:keepNext/>
        <w:keepLines/>
        <w:numPr>
          <w:ilvl w:val="0"/>
          <w:numId w:val="28"/>
        </w:numPr>
        <w:spacing w:before="120"/>
        <w:jc w:val="both"/>
        <w:rPr>
          <w:rFonts w:ascii="Arial" w:hAnsi="Arial"/>
          <w:sz w:val="22"/>
          <w:szCs w:val="22"/>
        </w:rPr>
      </w:pPr>
      <w:r w:rsidRPr="005B08C5">
        <w:rPr>
          <w:rFonts w:ascii="Arial" w:hAnsi="Arial"/>
          <w:sz w:val="22"/>
          <w:szCs w:val="22"/>
        </w:rPr>
        <w:t xml:space="preserve">Provide details of any changes in directors, </w:t>
      </w:r>
      <w:proofErr w:type="gramStart"/>
      <w:r w:rsidRPr="005B08C5">
        <w:rPr>
          <w:rFonts w:ascii="Arial" w:hAnsi="Arial"/>
          <w:sz w:val="22"/>
          <w:szCs w:val="22"/>
        </w:rPr>
        <w:t>officers</w:t>
      </w:r>
      <w:proofErr w:type="gramEnd"/>
      <w:r w:rsidRPr="005B08C5">
        <w:rPr>
          <w:rFonts w:ascii="Arial" w:hAnsi="Arial"/>
          <w:sz w:val="22"/>
          <w:szCs w:val="22"/>
        </w:rPr>
        <w:t xml:space="preserve"> or committee members.</w:t>
      </w:r>
      <w:r w:rsidR="00443B08" w:rsidRPr="005B08C5">
        <w:rPr>
          <w:rFonts w:ascii="Arial" w:hAnsi="Arial"/>
          <w:sz w:val="22"/>
          <w:szCs w:val="22"/>
        </w:rPr>
        <w:t xml:space="preserve">  </w:t>
      </w:r>
    </w:p>
    <w:p w14:paraId="3BCC8F3A" w14:textId="0CA1F410" w:rsidR="002B7EFA" w:rsidRPr="001C08C0" w:rsidRDefault="00530834" w:rsidP="001C08C0">
      <w:pPr>
        <w:pStyle w:val="List"/>
        <w:keepNext/>
        <w:keepLines/>
        <w:spacing w:before="120"/>
        <w:ind w:left="720" w:firstLine="0"/>
        <w:jc w:val="both"/>
        <w:rPr>
          <w:rFonts w:ascii="Arial" w:hAnsi="Arial"/>
          <w:sz w:val="22"/>
          <w:szCs w:val="22"/>
        </w:rPr>
      </w:pPr>
      <w:r>
        <w:rPr>
          <w:rFonts w:ascii="Arial" w:hAnsi="Arial" w:cs="Arial"/>
          <w:b/>
          <w:bCs/>
          <w:sz w:val="22"/>
          <w:szCs w:val="22"/>
        </w:rPr>
        <w:t>None</w:t>
      </w:r>
      <w:r w:rsidR="00F54B9F">
        <w:rPr>
          <w:rFonts w:ascii="Arial" w:hAnsi="Arial" w:cs="Arial"/>
          <w:b/>
          <w:bCs/>
          <w:sz w:val="22"/>
          <w:szCs w:val="22"/>
        </w:rPr>
        <w:t>.</w:t>
      </w:r>
    </w:p>
    <w:p w14:paraId="42145E75"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6A006AC4" w14:textId="3C1CC35C" w:rsidR="00B8334C" w:rsidRPr="001C08C0" w:rsidRDefault="00F01FCC" w:rsidP="001C08C0">
      <w:pPr>
        <w:pStyle w:val="List"/>
        <w:spacing w:before="120"/>
        <w:ind w:left="720" w:firstLine="0"/>
        <w:jc w:val="both"/>
        <w:rPr>
          <w:rFonts w:ascii="Arial" w:hAnsi="Arial"/>
          <w:sz w:val="22"/>
          <w:szCs w:val="22"/>
        </w:rPr>
      </w:pPr>
      <w:r w:rsidRPr="001C08C0">
        <w:rPr>
          <w:rFonts w:ascii="Arial" w:hAnsi="Arial" w:cs="Arial"/>
          <w:b/>
          <w:sz w:val="22"/>
          <w:szCs w:val="22"/>
        </w:rPr>
        <w:t xml:space="preserve">The Issuer continues to await guidance from the </w:t>
      </w:r>
      <w:r w:rsidR="00A97F54" w:rsidRPr="001C08C0">
        <w:rPr>
          <w:rFonts w:ascii="Arial" w:hAnsi="Arial" w:cs="Arial"/>
          <w:b/>
          <w:sz w:val="22"/>
          <w:szCs w:val="22"/>
        </w:rPr>
        <w:t>U.S. Food &amp; Drug Administration (the “FDA”)</w:t>
      </w:r>
      <w:r w:rsidRPr="001C08C0">
        <w:rPr>
          <w:rFonts w:ascii="Arial" w:hAnsi="Arial" w:cs="Arial"/>
          <w:b/>
          <w:sz w:val="22"/>
          <w:szCs w:val="22"/>
        </w:rPr>
        <w:t xml:space="preserve"> based on their</w:t>
      </w:r>
      <w:r w:rsidR="00A97F54" w:rsidRPr="001C08C0">
        <w:rPr>
          <w:rFonts w:ascii="Arial" w:hAnsi="Arial" w:cs="Arial"/>
          <w:b/>
          <w:sz w:val="22"/>
          <w:szCs w:val="22"/>
        </w:rPr>
        <w:t xml:space="preserve"> </w:t>
      </w:r>
      <w:r w:rsidRPr="001C08C0">
        <w:rPr>
          <w:rFonts w:ascii="Arial" w:hAnsi="Arial" w:cs="Arial"/>
          <w:b/>
          <w:sz w:val="22"/>
          <w:szCs w:val="22"/>
          <w:shd w:val="clear" w:color="auto" w:fill="FFFFFF"/>
        </w:rPr>
        <w:t xml:space="preserve">May 31, </w:t>
      </w:r>
      <w:proofErr w:type="gramStart"/>
      <w:r w:rsidRPr="001C08C0">
        <w:rPr>
          <w:rFonts w:ascii="Arial" w:hAnsi="Arial" w:cs="Arial"/>
          <w:b/>
          <w:sz w:val="22"/>
          <w:szCs w:val="22"/>
          <w:shd w:val="clear" w:color="auto" w:fill="FFFFFF"/>
        </w:rPr>
        <w:t>2019</w:t>
      </w:r>
      <w:proofErr w:type="gramEnd"/>
      <w:r w:rsidR="00A97F54" w:rsidRPr="001C08C0">
        <w:rPr>
          <w:rFonts w:ascii="Arial" w:hAnsi="Arial" w:cs="Arial"/>
          <w:b/>
          <w:sz w:val="22"/>
          <w:szCs w:val="22"/>
          <w:shd w:val="clear" w:color="auto" w:fill="FFFFFF"/>
        </w:rPr>
        <w:t xml:space="preserve"> public hearing to obtain scientific data and information about the safety, manufacturing, product quality, marketing, </w:t>
      </w:r>
      <w:proofErr w:type="spellStart"/>
      <w:r w:rsidR="00A97F54" w:rsidRPr="001C08C0">
        <w:rPr>
          <w:rFonts w:ascii="Arial" w:hAnsi="Arial" w:cs="Arial"/>
          <w:b/>
          <w:sz w:val="22"/>
          <w:szCs w:val="22"/>
          <w:shd w:val="clear" w:color="auto" w:fill="FFFFFF"/>
        </w:rPr>
        <w:t>labeling</w:t>
      </w:r>
      <w:proofErr w:type="spellEnd"/>
      <w:r w:rsidR="00A97F54" w:rsidRPr="001C08C0">
        <w:rPr>
          <w:rFonts w:ascii="Arial" w:hAnsi="Arial" w:cs="Arial"/>
          <w:b/>
          <w:sz w:val="22"/>
          <w:szCs w:val="22"/>
          <w:shd w:val="clear" w:color="auto" w:fill="FFFFFF"/>
        </w:rPr>
        <w:t>, and sale of products containing cannabis or cannabis-derived compounds such as cannabidiol (“CBD”). As the Issuer’s first product contain</w:t>
      </w:r>
      <w:r w:rsidR="00F86352" w:rsidRPr="001C08C0">
        <w:rPr>
          <w:rFonts w:ascii="Arial" w:hAnsi="Arial" w:cs="Arial"/>
          <w:b/>
          <w:sz w:val="22"/>
          <w:szCs w:val="22"/>
          <w:shd w:val="clear" w:color="auto" w:fill="FFFFFF"/>
        </w:rPr>
        <w:t>s</w:t>
      </w:r>
      <w:r w:rsidR="00A97F54" w:rsidRPr="001C08C0">
        <w:rPr>
          <w:rFonts w:ascii="Arial" w:hAnsi="Arial" w:cs="Arial"/>
          <w:b/>
          <w:sz w:val="22"/>
          <w:szCs w:val="22"/>
          <w:shd w:val="clear" w:color="auto" w:fill="FFFFFF"/>
        </w:rPr>
        <w:t xml:space="preserve"> CBD, </w:t>
      </w:r>
      <w:r w:rsidR="0030513D" w:rsidRPr="001C08C0">
        <w:rPr>
          <w:rFonts w:ascii="Arial" w:hAnsi="Arial" w:cs="Arial"/>
          <w:b/>
          <w:sz w:val="22"/>
          <w:szCs w:val="22"/>
          <w:shd w:val="clear" w:color="auto" w:fill="FFFFFF"/>
        </w:rPr>
        <w:t xml:space="preserve">and the Company’s products are not approved by the FDA, </w:t>
      </w:r>
      <w:r w:rsidR="005A3000" w:rsidRPr="001C08C0">
        <w:rPr>
          <w:rFonts w:ascii="Arial" w:hAnsi="Arial" w:cs="Arial"/>
          <w:b/>
          <w:sz w:val="22"/>
          <w:szCs w:val="22"/>
          <w:shd w:val="clear" w:color="auto" w:fill="FFFFFF"/>
        </w:rPr>
        <w:t xml:space="preserve">expected </w:t>
      </w:r>
      <w:r w:rsidR="00A97F54" w:rsidRPr="001C08C0">
        <w:rPr>
          <w:rFonts w:ascii="Arial" w:hAnsi="Arial" w:cs="Arial"/>
          <w:b/>
          <w:sz w:val="22"/>
          <w:szCs w:val="22"/>
          <w:shd w:val="clear" w:color="auto" w:fill="FFFFFF"/>
        </w:rPr>
        <w:t>FDA regulations regarding CBD will have a significant impact on the Issuer’s business.</w:t>
      </w:r>
      <w:r w:rsidR="00247E1D" w:rsidRPr="001C08C0">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04CF5035" w14:textId="1B17C301"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B52684">
        <w:rPr>
          <w:rFonts w:ascii="Arial" w:hAnsi="Arial"/>
          <w:u w:val="single"/>
        </w:rPr>
        <w:t xml:space="preserve">August </w:t>
      </w:r>
      <w:r w:rsidR="009D3674">
        <w:rPr>
          <w:rFonts w:ascii="Arial" w:hAnsi="Arial"/>
          <w:u w:val="single"/>
        </w:rPr>
        <w:t>5</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03E1F62C" w:rsidR="00B4522F" w:rsidRPr="006C2C61" w:rsidRDefault="007E1B40" w:rsidP="003E189C">
            <w:pPr>
              <w:pStyle w:val="BodyText"/>
              <w:spacing w:before="0"/>
              <w:rPr>
                <w:rFonts w:ascii="Arial" w:hAnsi="Arial"/>
                <w:b/>
              </w:rPr>
            </w:pPr>
            <w:r>
              <w:rPr>
                <w:rFonts w:ascii="Arial" w:hAnsi="Arial"/>
                <w:b/>
              </w:rPr>
              <w:t>J</w:t>
            </w:r>
            <w:r w:rsidR="00CA3388">
              <w:rPr>
                <w:rFonts w:ascii="Arial" w:hAnsi="Arial"/>
                <w:b/>
              </w:rPr>
              <w:t>u</w:t>
            </w:r>
            <w:r w:rsidR="00B52684">
              <w:rPr>
                <w:rFonts w:ascii="Arial" w:hAnsi="Arial"/>
                <w:b/>
              </w:rPr>
              <w:t>ly</w:t>
            </w:r>
            <w:r w:rsidR="00460034">
              <w:rPr>
                <w:rFonts w:ascii="Arial" w:hAnsi="Arial"/>
                <w:b/>
              </w:rPr>
              <w:t xml:space="preserve"> </w:t>
            </w:r>
            <w:r w:rsidR="00707B58" w:rsidRPr="006C2C61">
              <w:rPr>
                <w:rFonts w:ascii="Arial" w:hAnsi="Arial"/>
                <w:b/>
              </w:rPr>
              <w:t>20</w:t>
            </w:r>
            <w:r w:rsidR="00147A15">
              <w:rPr>
                <w:rFonts w:ascii="Arial" w:hAnsi="Arial"/>
                <w:b/>
              </w:rPr>
              <w:t>2</w:t>
            </w:r>
            <w:r>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77313E66"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B52684">
              <w:rPr>
                <w:rFonts w:ascii="Arial" w:hAnsi="Arial"/>
                <w:b/>
              </w:rPr>
              <w:t>8/</w:t>
            </w:r>
            <w:r w:rsidR="009D3674">
              <w:rPr>
                <w:rFonts w:ascii="Arial" w:hAnsi="Arial"/>
                <w:b/>
              </w:rPr>
              <w:t>5</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2F330124" w14:textId="5DA4E1FF" w:rsidR="004C60C2" w:rsidRDefault="004C60C2">
      <w:pPr>
        <w:rPr>
          <w:rFonts w:ascii="Arial" w:hAnsi="Arial" w:cs="Arial"/>
          <w:b/>
        </w:rPr>
      </w:pPr>
      <w:bookmarkStart w:id="5" w:name="DocsID"/>
      <w:bookmarkStart w:id="6" w:name="_30j0zll" w:colFirst="0" w:colLast="0"/>
      <w:bookmarkEnd w:id="5"/>
      <w:bookmarkEnd w:id="6"/>
      <w:r>
        <w:rPr>
          <w:rFonts w:ascii="Arial" w:hAnsi="Arial" w:cs="Arial"/>
          <w:b/>
        </w:rPr>
        <w:br w:type="page"/>
      </w:r>
    </w:p>
    <w:p w14:paraId="3B7A102F" w14:textId="77777777" w:rsidR="004C60C2" w:rsidRDefault="004C60C2" w:rsidP="004C60C2">
      <w:pPr>
        <w:tabs>
          <w:tab w:val="left" w:pos="2340"/>
        </w:tabs>
        <w:spacing w:after="180"/>
        <w:jc w:val="center"/>
        <w:rPr>
          <w:rFonts w:ascii="Arial" w:hAnsi="Arial" w:cs="Arial"/>
          <w:b/>
        </w:rPr>
      </w:pPr>
    </w:p>
    <w:p w14:paraId="336E7682" w14:textId="78C48DB6" w:rsidR="004C60C2" w:rsidRPr="00F4154E" w:rsidRDefault="004C60C2">
      <w:pPr>
        <w:rPr>
          <w:rFonts w:ascii="Arial" w:hAnsi="Arial" w:cs="Arial"/>
        </w:rPr>
      </w:pPr>
    </w:p>
    <w:p w14:paraId="783A9B97" w14:textId="77777777" w:rsidR="00325D1D" w:rsidRPr="00EC55F4" w:rsidRDefault="00325D1D" w:rsidP="00325D1D">
      <w:pPr>
        <w:tabs>
          <w:tab w:val="left" w:pos="2340"/>
        </w:tabs>
        <w:spacing w:after="180"/>
        <w:jc w:val="center"/>
        <w:rPr>
          <w:rFonts w:ascii="Arial" w:hAnsi="Arial" w:cs="Arial"/>
          <w:sz w:val="22"/>
          <w:szCs w:val="22"/>
        </w:rPr>
      </w:pPr>
      <w:r w:rsidRPr="00EC55F4">
        <w:rPr>
          <w:rFonts w:ascii="Arial" w:hAnsi="Arial" w:cs="Arial"/>
          <w:b/>
          <w:sz w:val="22"/>
          <w:szCs w:val="22"/>
        </w:rPr>
        <w:t>CENTR BRANDS CORP.</w:t>
      </w:r>
      <w:r w:rsidRPr="00EC55F4">
        <w:rPr>
          <w:rFonts w:ascii="Arial" w:hAnsi="Arial" w:cs="Arial"/>
          <w:b/>
          <w:sz w:val="22"/>
          <w:szCs w:val="22"/>
        </w:rPr>
        <w:br/>
      </w:r>
      <w:r w:rsidRPr="00EC55F4">
        <w:rPr>
          <w:rFonts w:ascii="Arial" w:hAnsi="Arial" w:cs="Arial"/>
          <w:sz w:val="22"/>
          <w:szCs w:val="22"/>
        </w:rPr>
        <w:t>200-2318 Oak St.</w:t>
      </w:r>
      <w:r w:rsidRPr="00EC55F4">
        <w:rPr>
          <w:rFonts w:ascii="Arial" w:hAnsi="Arial" w:cs="Arial"/>
          <w:sz w:val="22"/>
          <w:szCs w:val="22"/>
        </w:rPr>
        <w:br/>
        <w:t>Vancouver, British Columbia</w:t>
      </w:r>
      <w:r w:rsidRPr="00EC55F4">
        <w:rPr>
          <w:rFonts w:ascii="Arial" w:hAnsi="Arial" w:cs="Arial"/>
          <w:sz w:val="22"/>
          <w:szCs w:val="22"/>
        </w:rPr>
        <w:br/>
        <w:t>V6H 4J1</w:t>
      </w:r>
    </w:p>
    <w:p w14:paraId="7B6FEA83" w14:textId="77777777" w:rsidR="00325D1D" w:rsidRPr="003E64D8" w:rsidRDefault="00325D1D" w:rsidP="00325D1D">
      <w:pPr>
        <w:spacing w:after="180"/>
        <w:jc w:val="center"/>
        <w:rPr>
          <w:rFonts w:ascii="Arial" w:hAnsi="Arial" w:cs="Arial"/>
          <w:b/>
          <w:sz w:val="28"/>
          <w:szCs w:val="28"/>
        </w:rPr>
      </w:pPr>
      <w:r w:rsidRPr="003E64D8">
        <w:rPr>
          <w:rFonts w:ascii="Arial" w:hAnsi="Arial" w:cs="Arial"/>
          <w:b/>
          <w:sz w:val="28"/>
          <w:szCs w:val="28"/>
        </w:rPr>
        <w:t>NEWS RELEASE</w:t>
      </w:r>
    </w:p>
    <w:p w14:paraId="0F848AC5" w14:textId="77777777" w:rsidR="00325D1D" w:rsidRPr="00B51AE4" w:rsidRDefault="00325D1D" w:rsidP="00325D1D">
      <w:pPr>
        <w:spacing w:after="180"/>
        <w:jc w:val="center"/>
        <w:rPr>
          <w:rFonts w:ascii="Arial" w:hAnsi="Arial" w:cs="Arial"/>
          <w:b/>
        </w:rPr>
      </w:pPr>
      <w:r w:rsidRPr="003E64D8">
        <w:rPr>
          <w:rFonts w:ascii="Arial" w:hAnsi="Arial" w:cs="Arial"/>
          <w:b/>
        </w:rPr>
        <w:t xml:space="preserve">NOT FOR DISTRIBUTION TO UNITED STATES NEWSWIRE SERVICES OR FOR </w:t>
      </w:r>
      <w:r w:rsidRPr="00B51AE4">
        <w:rPr>
          <w:rFonts w:ascii="Arial" w:hAnsi="Arial" w:cs="Arial"/>
          <w:b/>
        </w:rPr>
        <w:t>DISSEMINATION IN THE UNITED STATES</w:t>
      </w:r>
    </w:p>
    <w:p w14:paraId="6ACC5FAF" w14:textId="77777777" w:rsidR="00325D1D" w:rsidRPr="002B5BBA" w:rsidRDefault="00325D1D" w:rsidP="00325D1D">
      <w:pPr>
        <w:spacing w:after="180"/>
        <w:jc w:val="center"/>
        <w:rPr>
          <w:rFonts w:ascii="Calibri" w:hAnsi="Calibri" w:cs="Calibri"/>
          <w:lang w:val="en-CA"/>
        </w:rPr>
      </w:pPr>
      <w:r w:rsidRPr="002B5BBA">
        <w:rPr>
          <w:rFonts w:ascii="Arial" w:hAnsi="Arial" w:cs="Arial"/>
          <w:b/>
          <w:bCs/>
          <w:lang w:val="en-CA"/>
        </w:rPr>
        <w:t>CENTR BRANDS CORP. </w:t>
      </w:r>
      <w:r>
        <w:rPr>
          <w:rFonts w:ascii="Arial" w:hAnsi="Arial" w:cs="Arial"/>
          <w:b/>
          <w:bCs/>
          <w:lang w:val="en-CA"/>
        </w:rPr>
        <w:t>CLOSES</w:t>
      </w:r>
      <w:r w:rsidRPr="002B5BBA">
        <w:rPr>
          <w:rFonts w:ascii="Arial" w:hAnsi="Arial" w:cs="Arial"/>
          <w:b/>
          <w:bCs/>
          <w:lang w:val="en-CA"/>
        </w:rPr>
        <w:t xml:space="preserve"> NON-BROKERED PRIVATE PLACEMENT</w:t>
      </w:r>
    </w:p>
    <w:p w14:paraId="3D7FBEA6" w14:textId="77777777" w:rsidR="00325D1D" w:rsidRPr="0078483E" w:rsidRDefault="00325D1D" w:rsidP="00325D1D">
      <w:pPr>
        <w:jc w:val="both"/>
        <w:rPr>
          <w:rFonts w:ascii="Arial" w:hAnsi="Arial" w:cs="Arial"/>
          <w:sz w:val="21"/>
          <w:szCs w:val="21"/>
          <w:lang w:val="en-CA"/>
        </w:rPr>
      </w:pPr>
      <w:r w:rsidRPr="0078483E">
        <w:rPr>
          <w:rFonts w:ascii="Arial" w:hAnsi="Arial" w:cs="Arial"/>
          <w:sz w:val="21"/>
          <w:szCs w:val="21"/>
          <w:lang w:val="en-CA"/>
        </w:rPr>
        <w:t>July 19, 2021 – Vancouver, British Columbia – CENTR Brands Corp. (the “</w:t>
      </w:r>
      <w:r w:rsidRPr="0078483E">
        <w:rPr>
          <w:rFonts w:ascii="Arial" w:hAnsi="Arial" w:cs="Arial"/>
          <w:b/>
          <w:bCs/>
          <w:sz w:val="21"/>
          <w:szCs w:val="21"/>
          <w:lang w:val="en-CA"/>
        </w:rPr>
        <w:t>Company</w:t>
      </w:r>
      <w:r w:rsidRPr="0078483E">
        <w:rPr>
          <w:rFonts w:ascii="Arial" w:hAnsi="Arial" w:cs="Arial"/>
          <w:sz w:val="21"/>
          <w:szCs w:val="21"/>
          <w:lang w:val="en-CA"/>
        </w:rPr>
        <w:t>”) (CSE: CNTR, FRA: 303, OTC: CNTRF) announced today </w:t>
      </w:r>
      <w:r w:rsidRPr="0078483E">
        <w:rPr>
          <w:rFonts w:ascii="Arial" w:hAnsi="Arial" w:cs="Arial"/>
          <w:sz w:val="21"/>
          <w:szCs w:val="21"/>
          <w:shd w:val="clear" w:color="auto" w:fill="FFFFFF"/>
          <w:lang w:val="en-CA"/>
        </w:rPr>
        <w:t>that it has completed a non-brokered private placement financing (the “Financing”). Pursuant to the Financing, the Corporation will issue </w:t>
      </w:r>
      <w:r w:rsidRPr="0078483E">
        <w:rPr>
          <w:rFonts w:ascii="Arial" w:hAnsi="Arial" w:cs="Arial"/>
          <w:sz w:val="21"/>
          <w:szCs w:val="21"/>
        </w:rPr>
        <w:t xml:space="preserve">C$3,081,252.00 </w:t>
      </w:r>
      <w:r w:rsidRPr="0078483E">
        <w:rPr>
          <w:rFonts w:ascii="Arial" w:hAnsi="Arial" w:cs="Arial"/>
          <w:sz w:val="21"/>
          <w:szCs w:val="21"/>
          <w:shd w:val="clear" w:color="auto" w:fill="FFFFFF"/>
          <w:lang w:val="en-CA"/>
        </w:rPr>
        <w:t>of units (“</w:t>
      </w:r>
      <w:r w:rsidRPr="0078483E">
        <w:rPr>
          <w:rFonts w:ascii="Arial" w:hAnsi="Arial" w:cs="Arial"/>
          <w:sz w:val="21"/>
          <w:szCs w:val="21"/>
          <w:lang w:val="en-CA"/>
        </w:rPr>
        <w:t>Units”) comprised of one common share (a “Common Share”) and one common share purchase ‎warrant of the Company (a “Warrant”) at an issue price of $1.50 per Unit.  Each Warrant will be exercisable to acquire one common share of the Company (a “Warrant Share”) at a price of $1.75 per Warrant Share for a period of three years</w:t>
      </w:r>
      <w:r w:rsidRPr="0078483E">
        <w:rPr>
          <w:rFonts w:ascii="Arial" w:hAnsi="Arial" w:cs="Arial"/>
          <w:b/>
          <w:bCs/>
          <w:sz w:val="21"/>
          <w:szCs w:val="21"/>
          <w:lang w:val="en-CA"/>
        </w:rPr>
        <w:t> </w:t>
      </w:r>
      <w:r w:rsidRPr="0078483E">
        <w:rPr>
          <w:rFonts w:ascii="Arial" w:hAnsi="Arial" w:cs="Arial"/>
          <w:sz w:val="21"/>
          <w:szCs w:val="21"/>
          <w:lang w:val="en-CA"/>
        </w:rPr>
        <w:t xml:space="preserve">following the date of issue, subject to </w:t>
      </w:r>
      <w:r>
        <w:rPr>
          <w:rFonts w:ascii="Arial" w:hAnsi="Arial" w:cs="Arial"/>
          <w:sz w:val="21"/>
          <w:szCs w:val="21"/>
          <w:lang w:val="en-CA"/>
        </w:rPr>
        <w:t xml:space="preserve">a redemption timing </w:t>
      </w:r>
      <w:r w:rsidRPr="0078483E">
        <w:rPr>
          <w:rFonts w:ascii="Arial" w:hAnsi="Arial" w:cs="Arial"/>
          <w:sz w:val="21"/>
          <w:szCs w:val="21"/>
          <w:lang w:val="en-CA"/>
        </w:rPr>
        <w:t>adjustment in certain events. The Company confirms that founding shareholders and insiders of the Company participated in the Financing, and that another closing of the Financing is expected to result in the issue of further Units on similar terms within the next few weeks.</w:t>
      </w:r>
    </w:p>
    <w:p w14:paraId="68C1CCBB" w14:textId="77777777" w:rsidR="00325D1D" w:rsidRPr="0011690F" w:rsidRDefault="00325D1D" w:rsidP="00325D1D">
      <w:pPr>
        <w:jc w:val="both"/>
        <w:rPr>
          <w:rFonts w:ascii="Arial" w:hAnsi="Arial" w:cs="Arial"/>
          <w:sz w:val="21"/>
          <w:szCs w:val="21"/>
          <w:lang w:val="en-CA"/>
        </w:rPr>
      </w:pPr>
      <w:r w:rsidRPr="0011690F">
        <w:rPr>
          <w:rFonts w:ascii="Arial" w:hAnsi="Arial" w:cs="Arial"/>
          <w:sz w:val="21"/>
          <w:szCs w:val="21"/>
          <w:shd w:val="clear" w:color="auto" w:fill="FFFFFF"/>
          <w:lang w:val="en-CA"/>
        </w:rPr>
        <w:t>                                                                                                                                                    </w:t>
      </w:r>
    </w:p>
    <w:p w14:paraId="6DD80762" w14:textId="77777777" w:rsidR="00325D1D" w:rsidRPr="0011690F" w:rsidRDefault="00325D1D" w:rsidP="00325D1D">
      <w:pPr>
        <w:jc w:val="both"/>
        <w:rPr>
          <w:rFonts w:ascii="Arial" w:hAnsi="Arial" w:cs="Arial"/>
          <w:sz w:val="21"/>
          <w:szCs w:val="21"/>
          <w:lang w:val="en-CA"/>
        </w:rPr>
      </w:pPr>
      <w:r w:rsidRPr="0011690F">
        <w:rPr>
          <w:rFonts w:ascii="Arial" w:hAnsi="Arial" w:cs="Arial"/>
          <w:sz w:val="21"/>
          <w:szCs w:val="21"/>
          <w:shd w:val="clear" w:color="auto" w:fill="FFFFFF"/>
          <w:lang w:val="en-CA"/>
        </w:rPr>
        <w:t xml:space="preserve">The net proceeds of the Financing </w:t>
      </w:r>
      <w:r>
        <w:rPr>
          <w:rFonts w:ascii="Arial" w:hAnsi="Arial" w:cs="Arial"/>
          <w:sz w:val="21"/>
          <w:szCs w:val="21"/>
          <w:shd w:val="clear" w:color="auto" w:fill="FFFFFF"/>
          <w:lang w:val="en-CA"/>
        </w:rPr>
        <w:t>will</w:t>
      </w:r>
      <w:r w:rsidRPr="0011690F">
        <w:rPr>
          <w:rFonts w:ascii="Arial" w:hAnsi="Arial" w:cs="Arial"/>
          <w:sz w:val="21"/>
          <w:szCs w:val="21"/>
          <w:shd w:val="clear" w:color="auto" w:fill="FFFFFF"/>
          <w:lang w:val="en-CA"/>
        </w:rPr>
        <w:t xml:space="preserve"> be used for general working capital purposes.  </w:t>
      </w:r>
      <w:r w:rsidRPr="0011690F">
        <w:rPr>
          <w:rFonts w:ascii="Arial" w:hAnsi="Arial" w:cs="Arial"/>
          <w:color w:val="000000"/>
          <w:sz w:val="21"/>
          <w:szCs w:val="21"/>
          <w:lang w:val="en-CA"/>
        </w:rPr>
        <w:t xml:space="preserve">The Company </w:t>
      </w:r>
      <w:r>
        <w:rPr>
          <w:rFonts w:ascii="Arial" w:hAnsi="Arial" w:cs="Arial"/>
          <w:color w:val="000000"/>
          <w:sz w:val="21"/>
          <w:szCs w:val="21"/>
          <w:lang w:val="en-CA"/>
        </w:rPr>
        <w:t>will</w:t>
      </w:r>
      <w:r w:rsidRPr="0011690F">
        <w:rPr>
          <w:rFonts w:ascii="Arial" w:hAnsi="Arial" w:cs="Arial"/>
          <w:color w:val="000000"/>
          <w:sz w:val="21"/>
          <w:szCs w:val="21"/>
          <w:lang w:val="en-CA"/>
        </w:rPr>
        <w:t xml:space="preserve"> pay a </w:t>
      </w:r>
      <w:r>
        <w:rPr>
          <w:rFonts w:ascii="Arial" w:hAnsi="Arial" w:cs="Arial"/>
          <w:color w:val="000000"/>
          <w:sz w:val="21"/>
          <w:szCs w:val="21"/>
          <w:lang w:val="en-CA"/>
        </w:rPr>
        <w:t>f</w:t>
      </w:r>
      <w:r w:rsidRPr="0011690F">
        <w:rPr>
          <w:rFonts w:ascii="Arial" w:hAnsi="Arial" w:cs="Arial"/>
          <w:color w:val="000000"/>
          <w:sz w:val="21"/>
          <w:szCs w:val="21"/>
          <w:lang w:val="en-CA"/>
        </w:rPr>
        <w:t>inder’s fee in connection with the sale of certain of the Units to subscribers introduced to the Company by finder</w:t>
      </w:r>
      <w:r>
        <w:rPr>
          <w:rFonts w:ascii="Arial" w:hAnsi="Arial" w:cs="Arial"/>
          <w:color w:val="000000"/>
          <w:sz w:val="21"/>
          <w:szCs w:val="21"/>
          <w:lang w:val="en-CA"/>
        </w:rPr>
        <w:t>s</w:t>
      </w:r>
      <w:r w:rsidRPr="0011690F">
        <w:rPr>
          <w:rFonts w:ascii="Arial" w:hAnsi="Arial" w:cs="Arial"/>
          <w:color w:val="000000"/>
          <w:sz w:val="21"/>
          <w:szCs w:val="21"/>
          <w:lang w:val="en-CA"/>
        </w:rPr>
        <w:t xml:space="preserve">.  </w:t>
      </w:r>
      <w:r w:rsidRPr="0011690F">
        <w:rPr>
          <w:rFonts w:ascii="Arial" w:hAnsi="Arial" w:cs="Arial"/>
          <w:sz w:val="21"/>
          <w:szCs w:val="21"/>
          <w:shd w:val="clear" w:color="auto" w:fill="FFFFFF"/>
          <w:lang w:val="en-CA"/>
        </w:rPr>
        <w:t>The Financing</w:t>
      </w:r>
      <w:r w:rsidRPr="0011690F">
        <w:rPr>
          <w:rFonts w:ascii="Arial" w:hAnsi="Arial" w:cs="Arial"/>
          <w:sz w:val="21"/>
          <w:szCs w:val="21"/>
          <w:lang w:val="en-CA"/>
        </w:rPr>
        <w:t xml:space="preserve"> is subject to certain conditions including, but not limited to, the receipt of all necessary regulatory and stock exchange approvals, including the approval of the Canadian Securities Exchange</w:t>
      </w:r>
      <w:r w:rsidRPr="0011690F">
        <w:rPr>
          <w:rFonts w:ascii="Arial" w:hAnsi="Arial" w:cs="Arial"/>
          <w:sz w:val="21"/>
          <w:szCs w:val="21"/>
          <w:shd w:val="clear" w:color="auto" w:fill="FFFFFF"/>
          <w:lang w:val="en-CA"/>
        </w:rPr>
        <w:t>. </w:t>
      </w:r>
    </w:p>
    <w:p w14:paraId="13A0388F" w14:textId="77777777" w:rsidR="00325D1D" w:rsidRPr="0011690F" w:rsidRDefault="00325D1D" w:rsidP="00325D1D">
      <w:pPr>
        <w:jc w:val="both"/>
        <w:rPr>
          <w:rFonts w:ascii="Arial" w:hAnsi="Arial" w:cs="Arial"/>
          <w:sz w:val="21"/>
          <w:szCs w:val="21"/>
        </w:rPr>
      </w:pPr>
    </w:p>
    <w:p w14:paraId="04A68677" w14:textId="77777777" w:rsidR="00325D1D" w:rsidRPr="00D21623" w:rsidRDefault="00325D1D" w:rsidP="00325D1D">
      <w:pPr>
        <w:spacing w:after="180"/>
        <w:jc w:val="both"/>
        <w:rPr>
          <w:rFonts w:ascii="Arial" w:hAnsi="Arial" w:cs="Arial"/>
          <w:sz w:val="21"/>
          <w:szCs w:val="21"/>
        </w:rPr>
      </w:pPr>
      <w:r w:rsidRPr="007A7266">
        <w:rPr>
          <w:rFonts w:ascii="Arial" w:hAnsi="Arial" w:cs="Arial"/>
          <w:b/>
          <w:sz w:val="21"/>
          <w:szCs w:val="21"/>
        </w:rPr>
        <w:t xml:space="preserve">About CENTR Brands Corp. </w:t>
      </w:r>
      <w:r w:rsidRPr="00D21623">
        <w:rPr>
          <w:rFonts w:ascii="Arial" w:hAnsi="Arial" w:cs="Arial"/>
          <w:sz w:val="21"/>
          <w:szCs w:val="21"/>
        </w:rPr>
        <w:t xml:space="preserve">CENTR Brands is a functional beverage company </w:t>
      </w:r>
      <w:r>
        <w:rPr>
          <w:rFonts w:ascii="Arial" w:hAnsi="Arial" w:cs="Arial"/>
          <w:sz w:val="21"/>
          <w:szCs w:val="21"/>
        </w:rPr>
        <w:t>that</w:t>
      </w:r>
      <w:r w:rsidRPr="00D21623">
        <w:rPr>
          <w:rFonts w:ascii="Arial" w:hAnsi="Arial" w:cs="Arial"/>
          <w:sz w:val="21"/>
          <w:szCs w:val="21"/>
        </w:rPr>
        <w:t xml:space="preserve"> develops and markets non-alcoholic beverages for the global market. The Company's portfolio includes </w:t>
      </w:r>
      <w:r>
        <w:rPr>
          <w:rFonts w:ascii="Arial" w:hAnsi="Arial" w:cs="Arial"/>
          <w:sz w:val="21"/>
          <w:szCs w:val="21"/>
        </w:rPr>
        <w:t xml:space="preserve">both </w:t>
      </w:r>
      <w:r w:rsidRPr="00D21623">
        <w:rPr>
          <w:rFonts w:ascii="Arial" w:hAnsi="Arial" w:cs="Arial"/>
          <w:sz w:val="21"/>
          <w:szCs w:val="21"/>
        </w:rPr>
        <w:t>CENTR, an all-natural, sparkling, low-calorie, hemp-derived CBD beverage</w:t>
      </w:r>
      <w:r>
        <w:rPr>
          <w:rFonts w:ascii="Arial" w:hAnsi="Arial" w:cs="Arial"/>
          <w:sz w:val="21"/>
          <w:szCs w:val="21"/>
        </w:rPr>
        <w:t>,</w:t>
      </w:r>
      <w:r w:rsidRPr="00D21623">
        <w:rPr>
          <w:rFonts w:ascii="Arial" w:hAnsi="Arial" w:cs="Arial"/>
          <w:sz w:val="21"/>
          <w:szCs w:val="21"/>
        </w:rPr>
        <w:t xml:space="preserve"> and CENTR Instant, a family of super convenient, single serve, ready-mix CBD drink powders.</w:t>
      </w:r>
    </w:p>
    <w:p w14:paraId="038145C5" w14:textId="77777777" w:rsidR="00325D1D" w:rsidRPr="007A7266" w:rsidRDefault="00325D1D" w:rsidP="00325D1D">
      <w:pPr>
        <w:spacing w:after="180"/>
        <w:jc w:val="both"/>
        <w:rPr>
          <w:rFonts w:ascii="Arial" w:hAnsi="Arial" w:cs="Arial"/>
          <w:sz w:val="21"/>
          <w:szCs w:val="21"/>
        </w:rPr>
      </w:pPr>
      <w:r w:rsidRPr="00D21623">
        <w:rPr>
          <w:rFonts w:ascii="Arial" w:hAnsi="Arial" w:cs="Arial"/>
          <w:sz w:val="21"/>
          <w:szCs w:val="21"/>
        </w:rPr>
        <w:t xml:space="preserve">CENTR is </w:t>
      </w:r>
      <w:r>
        <w:rPr>
          <w:rFonts w:ascii="Arial" w:hAnsi="Arial" w:cs="Arial"/>
          <w:sz w:val="21"/>
          <w:szCs w:val="21"/>
        </w:rPr>
        <w:t xml:space="preserve">currently </w:t>
      </w:r>
      <w:r w:rsidRPr="00D21623">
        <w:rPr>
          <w:rFonts w:ascii="Arial" w:hAnsi="Arial" w:cs="Arial"/>
          <w:sz w:val="21"/>
          <w:szCs w:val="21"/>
        </w:rPr>
        <w:t>available for sale in 23 U.S. states, with CENTR Instant being available this Fall both online and through our national distribution system.</w:t>
      </w:r>
    </w:p>
    <w:p w14:paraId="115E556F" w14:textId="77777777" w:rsidR="00325D1D" w:rsidRPr="00FC65BB" w:rsidRDefault="00325D1D" w:rsidP="00325D1D">
      <w:pPr>
        <w:spacing w:after="180"/>
        <w:jc w:val="both"/>
        <w:rPr>
          <w:rFonts w:ascii="Arial" w:hAnsi="Arial" w:cs="Arial"/>
          <w:sz w:val="21"/>
          <w:szCs w:val="21"/>
        </w:rPr>
      </w:pPr>
      <w:hyperlink r:id="rId15" w:history="1">
        <w:r w:rsidRPr="00FC65BB">
          <w:rPr>
            <w:rStyle w:val="Hyperlink"/>
            <w:rFonts w:ascii="Arial" w:hAnsi="Arial" w:cs="Arial"/>
            <w:sz w:val="21"/>
            <w:szCs w:val="21"/>
          </w:rPr>
          <w:t>www.findyourcentr.com</w:t>
        </w:r>
      </w:hyperlink>
      <w:r w:rsidRPr="00FC65BB">
        <w:rPr>
          <w:rFonts w:ascii="Arial" w:hAnsi="Arial" w:cs="Arial"/>
          <w:sz w:val="21"/>
          <w:szCs w:val="21"/>
        </w:rPr>
        <w:t xml:space="preserve"> </w:t>
      </w:r>
    </w:p>
    <w:p w14:paraId="6B004602" w14:textId="77777777" w:rsidR="00325D1D" w:rsidRPr="00FC65BB" w:rsidRDefault="00325D1D" w:rsidP="00325D1D">
      <w:pPr>
        <w:spacing w:after="180"/>
        <w:jc w:val="both"/>
        <w:rPr>
          <w:rFonts w:ascii="Arial" w:hAnsi="Arial" w:cs="Arial"/>
          <w:sz w:val="21"/>
          <w:szCs w:val="21"/>
        </w:rPr>
      </w:pPr>
      <w:r w:rsidRPr="00FC65BB">
        <w:rPr>
          <w:rFonts w:ascii="Arial" w:hAnsi="Arial" w:cs="Arial"/>
          <w:sz w:val="21"/>
          <w:szCs w:val="21"/>
        </w:rPr>
        <w:t>For further information, contact Joseph Meehan at</w:t>
      </w:r>
      <w:r w:rsidRPr="008A17E2">
        <w:rPr>
          <w:rFonts w:ascii="Arial" w:hAnsi="Arial" w:cs="Arial"/>
          <w:sz w:val="21"/>
          <w:szCs w:val="21"/>
        </w:rPr>
        <w:t xml:space="preserve"> info@centrcorp.com</w:t>
      </w:r>
    </w:p>
    <w:p w14:paraId="048AADE5" w14:textId="77777777" w:rsidR="00325D1D" w:rsidRPr="003E64D8" w:rsidRDefault="00325D1D" w:rsidP="00325D1D">
      <w:pPr>
        <w:spacing w:after="180"/>
        <w:rPr>
          <w:rFonts w:ascii="Arial" w:hAnsi="Arial" w:cs="Arial"/>
        </w:rPr>
      </w:pPr>
      <w:r w:rsidRPr="00FC65BB">
        <w:rPr>
          <w:rFonts w:ascii="Arial" w:hAnsi="Arial" w:cs="Arial"/>
          <w:sz w:val="21"/>
          <w:szCs w:val="21"/>
        </w:rPr>
        <w:t>On behalf of the Board</w:t>
      </w:r>
      <w:r w:rsidRPr="003E64D8">
        <w:rPr>
          <w:rFonts w:ascii="Arial" w:hAnsi="Arial" w:cs="Arial"/>
        </w:rPr>
        <w:t>,</w:t>
      </w:r>
    </w:p>
    <w:p w14:paraId="573DE4B6" w14:textId="77777777" w:rsidR="00325D1D" w:rsidRPr="003E64D8" w:rsidRDefault="00325D1D" w:rsidP="00325D1D">
      <w:pPr>
        <w:spacing w:after="180"/>
        <w:rPr>
          <w:rFonts w:ascii="Arial" w:hAnsi="Arial" w:cs="Arial"/>
          <w:b/>
        </w:rPr>
      </w:pPr>
      <w:r w:rsidRPr="003E64D8">
        <w:rPr>
          <w:rFonts w:ascii="Arial" w:hAnsi="Arial" w:cs="Arial"/>
          <w:b/>
        </w:rPr>
        <w:t>CENTR BRANDS CORP.</w:t>
      </w:r>
    </w:p>
    <w:p w14:paraId="7C7BEEA2" w14:textId="77777777" w:rsidR="00325D1D" w:rsidRDefault="00325D1D" w:rsidP="00325D1D">
      <w:pPr>
        <w:spacing w:after="180"/>
        <w:rPr>
          <w:rFonts w:ascii="Arial" w:hAnsi="Arial" w:cs="Arial"/>
          <w:sz w:val="21"/>
          <w:szCs w:val="21"/>
        </w:rPr>
      </w:pPr>
      <w:r w:rsidRPr="003E64D8">
        <w:rPr>
          <w:rFonts w:ascii="Arial" w:hAnsi="Arial" w:cs="Arial"/>
          <w:b/>
          <w:noProof/>
        </w:rPr>
        <w:drawing>
          <wp:inline distT="0" distB="0" distL="0" distR="0" wp14:anchorId="7EF118DE" wp14:editId="0253EE05">
            <wp:extent cx="1828800" cy="469900"/>
            <wp:effectExtent l="0" t="0" r="0" b="12700"/>
            <wp:docPr id="4" name="Picture 4"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e si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p>
    <w:p w14:paraId="397EB8DC" w14:textId="77777777" w:rsidR="00325D1D" w:rsidRPr="004519FE" w:rsidRDefault="00325D1D" w:rsidP="00325D1D">
      <w:pPr>
        <w:spacing w:after="180"/>
        <w:rPr>
          <w:rFonts w:ascii="Arial" w:hAnsi="Arial" w:cs="Arial"/>
        </w:rPr>
      </w:pPr>
      <w:r w:rsidRPr="00FC65BB">
        <w:rPr>
          <w:rFonts w:ascii="Arial" w:hAnsi="Arial" w:cs="Arial"/>
          <w:sz w:val="21"/>
          <w:szCs w:val="21"/>
        </w:rPr>
        <w:t>Joseph Meehan, Chief Executive Officer</w:t>
      </w:r>
    </w:p>
    <w:p w14:paraId="3685260A" w14:textId="77777777" w:rsidR="004C60C2" w:rsidRDefault="004C60C2" w:rsidP="00FC2562">
      <w:pPr>
        <w:tabs>
          <w:tab w:val="left" w:pos="2340"/>
        </w:tabs>
        <w:spacing w:after="180"/>
        <w:rPr>
          <w:rFonts w:ascii="Arial" w:hAnsi="Arial" w:cs="Arial"/>
          <w:b/>
        </w:rPr>
      </w:pPr>
    </w:p>
    <w:sectPr w:rsidR="004C60C2" w:rsidSect="000A1AB1">
      <w:footerReference w:type="defaul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28A6" w14:textId="77777777" w:rsidR="00200E86" w:rsidRDefault="00200E86">
      <w:r>
        <w:separator/>
      </w:r>
    </w:p>
  </w:endnote>
  <w:endnote w:type="continuationSeparator" w:id="0">
    <w:p w14:paraId="6ED281A5" w14:textId="77777777" w:rsidR="00200E86" w:rsidRDefault="002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5F28E241" w:rsidR="00640E94" w:rsidRPr="006D1A06" w:rsidRDefault="006C3D5B"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w:t>
    </w:r>
    <w:r w:rsidR="00F40CAC">
      <w:rPr>
        <w:rStyle w:val="PageNumber"/>
        <w:rFonts w:ascii="Arial" w:hAnsi="Arial" w:cs="Arial"/>
        <w:sz w:val="16"/>
        <w:szCs w:val="16"/>
      </w:rPr>
      <w:t>ly</w:t>
    </w:r>
    <w:r>
      <w:rPr>
        <w:rStyle w:val="PageNumber"/>
        <w:rFonts w:ascii="Arial" w:hAnsi="Arial" w:cs="Arial"/>
        <w:sz w:val="16"/>
        <w:szCs w:val="16"/>
      </w:rPr>
      <w:t xml:space="preserve"> </w:t>
    </w:r>
    <w:r w:rsidR="00E56CCA">
      <w:rPr>
        <w:rStyle w:val="PageNumber"/>
        <w:rFonts w:ascii="Arial" w:hAnsi="Arial" w:cs="Arial"/>
        <w:sz w:val="16"/>
        <w:szCs w:val="16"/>
      </w:rPr>
      <w:t>20</w:t>
    </w:r>
    <w:r w:rsidR="0036670C">
      <w:rPr>
        <w:rStyle w:val="PageNumber"/>
        <w:rFonts w:ascii="Arial" w:hAnsi="Arial" w:cs="Arial"/>
        <w:sz w:val="16"/>
        <w:szCs w:val="16"/>
      </w:rPr>
      <w:t>2</w:t>
    </w:r>
    <w:r w:rsidR="008456E9">
      <w:rPr>
        <w:rStyle w:val="PageNumber"/>
        <w:rFonts w:ascii="Arial" w:hAnsi="Arial" w:cs="Arial"/>
        <w:sz w:val="16"/>
        <w:szCs w:val="16"/>
      </w:rPr>
      <w:t>1</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60AC" w14:textId="77777777" w:rsidR="00200E86" w:rsidRDefault="00200E86">
      <w:r>
        <w:separator/>
      </w:r>
    </w:p>
  </w:footnote>
  <w:footnote w:type="continuationSeparator" w:id="0">
    <w:p w14:paraId="502289D7" w14:textId="77777777" w:rsidR="00200E86" w:rsidRDefault="002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7C7CA4"/>
    <w:multiLevelType w:val="multilevel"/>
    <w:tmpl w:val="CBBA3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5"/>
  </w:num>
  <w:num w:numId="5">
    <w:abstractNumId w:val="4"/>
  </w:num>
  <w:num w:numId="6">
    <w:abstractNumId w:val="25"/>
  </w:num>
  <w:num w:numId="7">
    <w:abstractNumId w:val="10"/>
  </w:num>
  <w:num w:numId="8">
    <w:abstractNumId w:val="29"/>
  </w:num>
  <w:num w:numId="9">
    <w:abstractNumId w:val="22"/>
  </w:num>
  <w:num w:numId="10">
    <w:abstractNumId w:val="12"/>
  </w:num>
  <w:num w:numId="11">
    <w:abstractNumId w:val="16"/>
  </w:num>
  <w:num w:numId="12">
    <w:abstractNumId w:val="17"/>
  </w:num>
  <w:num w:numId="13">
    <w:abstractNumId w:val="31"/>
  </w:num>
  <w:num w:numId="14">
    <w:abstractNumId w:val="8"/>
  </w:num>
  <w:num w:numId="15">
    <w:abstractNumId w:val="11"/>
  </w:num>
  <w:num w:numId="16">
    <w:abstractNumId w:val="14"/>
  </w:num>
  <w:num w:numId="17">
    <w:abstractNumId w:val="20"/>
  </w:num>
  <w:num w:numId="18">
    <w:abstractNumId w:val="3"/>
  </w:num>
  <w:num w:numId="19">
    <w:abstractNumId w:val="9"/>
  </w:num>
  <w:num w:numId="20">
    <w:abstractNumId w:val="28"/>
  </w:num>
  <w:num w:numId="21">
    <w:abstractNumId w:val="1"/>
  </w:num>
  <w:num w:numId="22">
    <w:abstractNumId w:val="0"/>
  </w:num>
  <w:num w:numId="23">
    <w:abstractNumId w:val="24"/>
  </w:num>
  <w:num w:numId="24">
    <w:abstractNumId w:val="21"/>
  </w:num>
  <w:num w:numId="25">
    <w:abstractNumId w:val="5"/>
  </w:num>
  <w:num w:numId="26">
    <w:abstractNumId w:val="30"/>
  </w:num>
  <w:num w:numId="27">
    <w:abstractNumId w:val="33"/>
  </w:num>
  <w:num w:numId="28">
    <w:abstractNumId w:val="7"/>
  </w:num>
  <w:num w:numId="29">
    <w:abstractNumId w:val="13"/>
  </w:num>
  <w:num w:numId="30">
    <w:abstractNumId w:val="27"/>
  </w:num>
  <w:num w:numId="31">
    <w:abstractNumId w:val="32"/>
  </w:num>
  <w:num w:numId="32">
    <w:abstractNumId w:val="2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1BF9"/>
    <w:rsid w:val="000223C1"/>
    <w:rsid w:val="00026687"/>
    <w:rsid w:val="000337DA"/>
    <w:rsid w:val="00036E6A"/>
    <w:rsid w:val="0004319A"/>
    <w:rsid w:val="00053735"/>
    <w:rsid w:val="00064202"/>
    <w:rsid w:val="000667EF"/>
    <w:rsid w:val="00066BA6"/>
    <w:rsid w:val="00081A11"/>
    <w:rsid w:val="00081C2E"/>
    <w:rsid w:val="000903D9"/>
    <w:rsid w:val="00093B61"/>
    <w:rsid w:val="000A07A4"/>
    <w:rsid w:val="000A1A10"/>
    <w:rsid w:val="000A1AB1"/>
    <w:rsid w:val="000A1DA0"/>
    <w:rsid w:val="000C0B9B"/>
    <w:rsid w:val="000C2077"/>
    <w:rsid w:val="000C22AB"/>
    <w:rsid w:val="000C7663"/>
    <w:rsid w:val="000D0A8E"/>
    <w:rsid w:val="000D2E12"/>
    <w:rsid w:val="000D5BD8"/>
    <w:rsid w:val="000D5E87"/>
    <w:rsid w:val="001069AD"/>
    <w:rsid w:val="00120CAC"/>
    <w:rsid w:val="00134488"/>
    <w:rsid w:val="00137231"/>
    <w:rsid w:val="00142DC3"/>
    <w:rsid w:val="00144032"/>
    <w:rsid w:val="00147A15"/>
    <w:rsid w:val="001504B2"/>
    <w:rsid w:val="00160A04"/>
    <w:rsid w:val="0016645E"/>
    <w:rsid w:val="001673C0"/>
    <w:rsid w:val="00167CBC"/>
    <w:rsid w:val="00170123"/>
    <w:rsid w:val="00171975"/>
    <w:rsid w:val="00185577"/>
    <w:rsid w:val="00185933"/>
    <w:rsid w:val="001933B6"/>
    <w:rsid w:val="001A3D61"/>
    <w:rsid w:val="001A648A"/>
    <w:rsid w:val="001A7B84"/>
    <w:rsid w:val="001B77D5"/>
    <w:rsid w:val="001C08C0"/>
    <w:rsid w:val="001C13E8"/>
    <w:rsid w:val="001C175E"/>
    <w:rsid w:val="001C71CB"/>
    <w:rsid w:val="001D700C"/>
    <w:rsid w:val="001E015B"/>
    <w:rsid w:val="001E1085"/>
    <w:rsid w:val="001E3E2E"/>
    <w:rsid w:val="001E4233"/>
    <w:rsid w:val="001E4B86"/>
    <w:rsid w:val="001F263C"/>
    <w:rsid w:val="001F4BD5"/>
    <w:rsid w:val="00200721"/>
    <w:rsid w:val="00200E86"/>
    <w:rsid w:val="0020186B"/>
    <w:rsid w:val="002023FE"/>
    <w:rsid w:val="00204F76"/>
    <w:rsid w:val="0021376D"/>
    <w:rsid w:val="00214FA1"/>
    <w:rsid w:val="002355CE"/>
    <w:rsid w:val="00236CC7"/>
    <w:rsid w:val="00247E1D"/>
    <w:rsid w:val="00261989"/>
    <w:rsid w:val="00285613"/>
    <w:rsid w:val="00291761"/>
    <w:rsid w:val="002920F8"/>
    <w:rsid w:val="002A1BEE"/>
    <w:rsid w:val="002B52DE"/>
    <w:rsid w:val="002B7EFA"/>
    <w:rsid w:val="002C281E"/>
    <w:rsid w:val="002C7760"/>
    <w:rsid w:val="002D1651"/>
    <w:rsid w:val="002D2086"/>
    <w:rsid w:val="002D3E1F"/>
    <w:rsid w:val="002D61E3"/>
    <w:rsid w:val="002E1E2F"/>
    <w:rsid w:val="002E3207"/>
    <w:rsid w:val="002F00EB"/>
    <w:rsid w:val="002F56AD"/>
    <w:rsid w:val="003012F4"/>
    <w:rsid w:val="00302B6F"/>
    <w:rsid w:val="003030DA"/>
    <w:rsid w:val="0030513D"/>
    <w:rsid w:val="003079FA"/>
    <w:rsid w:val="00310E88"/>
    <w:rsid w:val="00320083"/>
    <w:rsid w:val="003235C0"/>
    <w:rsid w:val="00325D1D"/>
    <w:rsid w:val="0033023B"/>
    <w:rsid w:val="00331C91"/>
    <w:rsid w:val="00353DBD"/>
    <w:rsid w:val="00357876"/>
    <w:rsid w:val="0036670C"/>
    <w:rsid w:val="003669A9"/>
    <w:rsid w:val="003677E8"/>
    <w:rsid w:val="00371597"/>
    <w:rsid w:val="00371A64"/>
    <w:rsid w:val="003720A0"/>
    <w:rsid w:val="0037628D"/>
    <w:rsid w:val="00377E01"/>
    <w:rsid w:val="003809B8"/>
    <w:rsid w:val="00382C89"/>
    <w:rsid w:val="00387FA8"/>
    <w:rsid w:val="00396762"/>
    <w:rsid w:val="003A3305"/>
    <w:rsid w:val="003B1E46"/>
    <w:rsid w:val="003B5A8D"/>
    <w:rsid w:val="003C1CA2"/>
    <w:rsid w:val="003D516F"/>
    <w:rsid w:val="003D7B4F"/>
    <w:rsid w:val="003D7BEB"/>
    <w:rsid w:val="003E09F0"/>
    <w:rsid w:val="003E189C"/>
    <w:rsid w:val="003E4B61"/>
    <w:rsid w:val="003F2702"/>
    <w:rsid w:val="003F337A"/>
    <w:rsid w:val="003F3DEF"/>
    <w:rsid w:val="003F639C"/>
    <w:rsid w:val="003F6993"/>
    <w:rsid w:val="003F7AAE"/>
    <w:rsid w:val="004017A3"/>
    <w:rsid w:val="00401CC4"/>
    <w:rsid w:val="004042E4"/>
    <w:rsid w:val="0040443F"/>
    <w:rsid w:val="00404CB4"/>
    <w:rsid w:val="0040755A"/>
    <w:rsid w:val="00414838"/>
    <w:rsid w:val="00421675"/>
    <w:rsid w:val="0042358C"/>
    <w:rsid w:val="00424505"/>
    <w:rsid w:val="004301D6"/>
    <w:rsid w:val="00443B08"/>
    <w:rsid w:val="00443B60"/>
    <w:rsid w:val="00446DA4"/>
    <w:rsid w:val="00447E99"/>
    <w:rsid w:val="00455163"/>
    <w:rsid w:val="00460034"/>
    <w:rsid w:val="004601C7"/>
    <w:rsid w:val="00466159"/>
    <w:rsid w:val="004700C5"/>
    <w:rsid w:val="00477467"/>
    <w:rsid w:val="00496BC9"/>
    <w:rsid w:val="004B20EE"/>
    <w:rsid w:val="004C1F0C"/>
    <w:rsid w:val="004C5C57"/>
    <w:rsid w:val="004C60C2"/>
    <w:rsid w:val="004C74CC"/>
    <w:rsid w:val="004D0170"/>
    <w:rsid w:val="004D1EF2"/>
    <w:rsid w:val="004D705C"/>
    <w:rsid w:val="004E4EB9"/>
    <w:rsid w:val="004E5BF6"/>
    <w:rsid w:val="004F7CDA"/>
    <w:rsid w:val="005133C4"/>
    <w:rsid w:val="00514D04"/>
    <w:rsid w:val="00515DD5"/>
    <w:rsid w:val="0052015C"/>
    <w:rsid w:val="00530834"/>
    <w:rsid w:val="0053097B"/>
    <w:rsid w:val="005315D8"/>
    <w:rsid w:val="00534ADD"/>
    <w:rsid w:val="00537785"/>
    <w:rsid w:val="005431F7"/>
    <w:rsid w:val="005453C8"/>
    <w:rsid w:val="005506DE"/>
    <w:rsid w:val="005550F4"/>
    <w:rsid w:val="00556C58"/>
    <w:rsid w:val="00570439"/>
    <w:rsid w:val="00582DCD"/>
    <w:rsid w:val="00594613"/>
    <w:rsid w:val="005A3000"/>
    <w:rsid w:val="005A7548"/>
    <w:rsid w:val="005A7E68"/>
    <w:rsid w:val="005B08C5"/>
    <w:rsid w:val="005B3001"/>
    <w:rsid w:val="005C70E6"/>
    <w:rsid w:val="005D77F2"/>
    <w:rsid w:val="005E16B3"/>
    <w:rsid w:val="005E3940"/>
    <w:rsid w:val="005F3B9B"/>
    <w:rsid w:val="005F6D8F"/>
    <w:rsid w:val="00600A14"/>
    <w:rsid w:val="00602029"/>
    <w:rsid w:val="00604037"/>
    <w:rsid w:val="00605424"/>
    <w:rsid w:val="00605D8B"/>
    <w:rsid w:val="00615E77"/>
    <w:rsid w:val="00617CD8"/>
    <w:rsid w:val="00620E7F"/>
    <w:rsid w:val="00632EF8"/>
    <w:rsid w:val="00633ED3"/>
    <w:rsid w:val="00635DD4"/>
    <w:rsid w:val="00635E9A"/>
    <w:rsid w:val="00640E94"/>
    <w:rsid w:val="0064467A"/>
    <w:rsid w:val="00645D12"/>
    <w:rsid w:val="00654C0E"/>
    <w:rsid w:val="00667B4A"/>
    <w:rsid w:val="00672E35"/>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3617"/>
    <w:rsid w:val="006C3D5B"/>
    <w:rsid w:val="006C42CB"/>
    <w:rsid w:val="006C69AA"/>
    <w:rsid w:val="006D1A06"/>
    <w:rsid w:val="006D308A"/>
    <w:rsid w:val="006D7850"/>
    <w:rsid w:val="0070688D"/>
    <w:rsid w:val="00706E60"/>
    <w:rsid w:val="00707B58"/>
    <w:rsid w:val="007273F6"/>
    <w:rsid w:val="00730D18"/>
    <w:rsid w:val="00735247"/>
    <w:rsid w:val="007413C3"/>
    <w:rsid w:val="00746B03"/>
    <w:rsid w:val="00751AAD"/>
    <w:rsid w:val="00756267"/>
    <w:rsid w:val="00760135"/>
    <w:rsid w:val="00761672"/>
    <w:rsid w:val="0076412C"/>
    <w:rsid w:val="00765561"/>
    <w:rsid w:val="00775644"/>
    <w:rsid w:val="00776E09"/>
    <w:rsid w:val="00780364"/>
    <w:rsid w:val="00791EF5"/>
    <w:rsid w:val="007B2612"/>
    <w:rsid w:val="007C4FAC"/>
    <w:rsid w:val="007C51D5"/>
    <w:rsid w:val="007C5559"/>
    <w:rsid w:val="007C7563"/>
    <w:rsid w:val="007D10AD"/>
    <w:rsid w:val="007D5C63"/>
    <w:rsid w:val="007E1B40"/>
    <w:rsid w:val="007E1BD3"/>
    <w:rsid w:val="007E2852"/>
    <w:rsid w:val="007E715C"/>
    <w:rsid w:val="007F3722"/>
    <w:rsid w:val="007F37C3"/>
    <w:rsid w:val="00802CAB"/>
    <w:rsid w:val="00805763"/>
    <w:rsid w:val="00817A06"/>
    <w:rsid w:val="00821708"/>
    <w:rsid w:val="00822BAD"/>
    <w:rsid w:val="00823CF7"/>
    <w:rsid w:val="008256C8"/>
    <w:rsid w:val="00826D32"/>
    <w:rsid w:val="00832C64"/>
    <w:rsid w:val="00833B06"/>
    <w:rsid w:val="00833D25"/>
    <w:rsid w:val="00842D64"/>
    <w:rsid w:val="008456E9"/>
    <w:rsid w:val="00853D06"/>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D698B"/>
    <w:rsid w:val="008E20F3"/>
    <w:rsid w:val="008E3BFB"/>
    <w:rsid w:val="008F18CB"/>
    <w:rsid w:val="008F2683"/>
    <w:rsid w:val="008F311A"/>
    <w:rsid w:val="008F70C7"/>
    <w:rsid w:val="00900E70"/>
    <w:rsid w:val="0090389B"/>
    <w:rsid w:val="00912396"/>
    <w:rsid w:val="00914F17"/>
    <w:rsid w:val="009218C4"/>
    <w:rsid w:val="00922366"/>
    <w:rsid w:val="0092293D"/>
    <w:rsid w:val="00922A46"/>
    <w:rsid w:val="009259B1"/>
    <w:rsid w:val="00931BCA"/>
    <w:rsid w:val="00933AED"/>
    <w:rsid w:val="00934912"/>
    <w:rsid w:val="00940D85"/>
    <w:rsid w:val="0094186C"/>
    <w:rsid w:val="009507DB"/>
    <w:rsid w:val="00952B9E"/>
    <w:rsid w:val="0095345A"/>
    <w:rsid w:val="00953939"/>
    <w:rsid w:val="00957352"/>
    <w:rsid w:val="0096234E"/>
    <w:rsid w:val="00963700"/>
    <w:rsid w:val="00981656"/>
    <w:rsid w:val="009832CF"/>
    <w:rsid w:val="00984627"/>
    <w:rsid w:val="00987506"/>
    <w:rsid w:val="0098761D"/>
    <w:rsid w:val="0098784C"/>
    <w:rsid w:val="00991781"/>
    <w:rsid w:val="009922E5"/>
    <w:rsid w:val="00993923"/>
    <w:rsid w:val="009A2382"/>
    <w:rsid w:val="009A3720"/>
    <w:rsid w:val="009B095B"/>
    <w:rsid w:val="009B1FA2"/>
    <w:rsid w:val="009B3FE0"/>
    <w:rsid w:val="009B6A3F"/>
    <w:rsid w:val="009C3C1E"/>
    <w:rsid w:val="009C3DA1"/>
    <w:rsid w:val="009C4D8A"/>
    <w:rsid w:val="009C7E39"/>
    <w:rsid w:val="009D25DD"/>
    <w:rsid w:val="009D3674"/>
    <w:rsid w:val="009E4115"/>
    <w:rsid w:val="009E5D8D"/>
    <w:rsid w:val="009F1173"/>
    <w:rsid w:val="009F3687"/>
    <w:rsid w:val="009F469B"/>
    <w:rsid w:val="009F4AED"/>
    <w:rsid w:val="009F5855"/>
    <w:rsid w:val="009F7D8F"/>
    <w:rsid w:val="00A012FE"/>
    <w:rsid w:val="00A11A5A"/>
    <w:rsid w:val="00A14B25"/>
    <w:rsid w:val="00A21547"/>
    <w:rsid w:val="00A21AFD"/>
    <w:rsid w:val="00A30096"/>
    <w:rsid w:val="00A46570"/>
    <w:rsid w:val="00A47914"/>
    <w:rsid w:val="00A50FE1"/>
    <w:rsid w:val="00A6371A"/>
    <w:rsid w:val="00A74854"/>
    <w:rsid w:val="00A76069"/>
    <w:rsid w:val="00A81E8B"/>
    <w:rsid w:val="00A87979"/>
    <w:rsid w:val="00A9673D"/>
    <w:rsid w:val="00A97F54"/>
    <w:rsid w:val="00AA4DE9"/>
    <w:rsid w:val="00AB2C7E"/>
    <w:rsid w:val="00AB2C8D"/>
    <w:rsid w:val="00AB37F0"/>
    <w:rsid w:val="00AB513F"/>
    <w:rsid w:val="00AC0830"/>
    <w:rsid w:val="00AC1129"/>
    <w:rsid w:val="00AC62D2"/>
    <w:rsid w:val="00AD061D"/>
    <w:rsid w:val="00AD72CE"/>
    <w:rsid w:val="00AE2C26"/>
    <w:rsid w:val="00AE3D43"/>
    <w:rsid w:val="00B01260"/>
    <w:rsid w:val="00B10146"/>
    <w:rsid w:val="00B14600"/>
    <w:rsid w:val="00B20F74"/>
    <w:rsid w:val="00B21FCC"/>
    <w:rsid w:val="00B221DB"/>
    <w:rsid w:val="00B23650"/>
    <w:rsid w:val="00B340B8"/>
    <w:rsid w:val="00B4167E"/>
    <w:rsid w:val="00B431F1"/>
    <w:rsid w:val="00B4522F"/>
    <w:rsid w:val="00B510BE"/>
    <w:rsid w:val="00B520EF"/>
    <w:rsid w:val="00B52684"/>
    <w:rsid w:val="00B70B7F"/>
    <w:rsid w:val="00B7268E"/>
    <w:rsid w:val="00B74EC7"/>
    <w:rsid w:val="00B75173"/>
    <w:rsid w:val="00B76B0A"/>
    <w:rsid w:val="00B801AB"/>
    <w:rsid w:val="00B8334C"/>
    <w:rsid w:val="00B8747D"/>
    <w:rsid w:val="00B90860"/>
    <w:rsid w:val="00B93E95"/>
    <w:rsid w:val="00B96D6D"/>
    <w:rsid w:val="00BA7104"/>
    <w:rsid w:val="00BB2A98"/>
    <w:rsid w:val="00BB6681"/>
    <w:rsid w:val="00BC2C83"/>
    <w:rsid w:val="00BD26A1"/>
    <w:rsid w:val="00BE0FBA"/>
    <w:rsid w:val="00BE50B0"/>
    <w:rsid w:val="00BF6E14"/>
    <w:rsid w:val="00C009F2"/>
    <w:rsid w:val="00C01FE7"/>
    <w:rsid w:val="00C042CA"/>
    <w:rsid w:val="00C14B7E"/>
    <w:rsid w:val="00C2053E"/>
    <w:rsid w:val="00C252C4"/>
    <w:rsid w:val="00C27A18"/>
    <w:rsid w:val="00C27B0C"/>
    <w:rsid w:val="00C325DC"/>
    <w:rsid w:val="00C35217"/>
    <w:rsid w:val="00C356C7"/>
    <w:rsid w:val="00C4267A"/>
    <w:rsid w:val="00C60CC1"/>
    <w:rsid w:val="00C60FD6"/>
    <w:rsid w:val="00C613BD"/>
    <w:rsid w:val="00C6383E"/>
    <w:rsid w:val="00C722FF"/>
    <w:rsid w:val="00C7407B"/>
    <w:rsid w:val="00C83E3E"/>
    <w:rsid w:val="00CA3388"/>
    <w:rsid w:val="00CA405A"/>
    <w:rsid w:val="00CA6373"/>
    <w:rsid w:val="00CB6548"/>
    <w:rsid w:val="00CC3982"/>
    <w:rsid w:val="00CE2F71"/>
    <w:rsid w:val="00CF5383"/>
    <w:rsid w:val="00CF66F6"/>
    <w:rsid w:val="00D07BE1"/>
    <w:rsid w:val="00D134DC"/>
    <w:rsid w:val="00D14D0F"/>
    <w:rsid w:val="00D21BD0"/>
    <w:rsid w:val="00D2476B"/>
    <w:rsid w:val="00D270F5"/>
    <w:rsid w:val="00D27D57"/>
    <w:rsid w:val="00D32294"/>
    <w:rsid w:val="00D438F4"/>
    <w:rsid w:val="00D51959"/>
    <w:rsid w:val="00D56F0F"/>
    <w:rsid w:val="00D65EB5"/>
    <w:rsid w:val="00D758E6"/>
    <w:rsid w:val="00D770A0"/>
    <w:rsid w:val="00D83FAC"/>
    <w:rsid w:val="00D87F45"/>
    <w:rsid w:val="00D90E7B"/>
    <w:rsid w:val="00D93065"/>
    <w:rsid w:val="00D944B3"/>
    <w:rsid w:val="00D97730"/>
    <w:rsid w:val="00DA0647"/>
    <w:rsid w:val="00DA25B2"/>
    <w:rsid w:val="00DA734B"/>
    <w:rsid w:val="00DB387A"/>
    <w:rsid w:val="00DB41E4"/>
    <w:rsid w:val="00DC0265"/>
    <w:rsid w:val="00DC3C96"/>
    <w:rsid w:val="00DD02B5"/>
    <w:rsid w:val="00DD0B86"/>
    <w:rsid w:val="00DD1B47"/>
    <w:rsid w:val="00DD499C"/>
    <w:rsid w:val="00DE481D"/>
    <w:rsid w:val="00DF3FC9"/>
    <w:rsid w:val="00DF5213"/>
    <w:rsid w:val="00E0414F"/>
    <w:rsid w:val="00E05399"/>
    <w:rsid w:val="00E11A37"/>
    <w:rsid w:val="00E12215"/>
    <w:rsid w:val="00E13990"/>
    <w:rsid w:val="00E201A2"/>
    <w:rsid w:val="00E3298F"/>
    <w:rsid w:val="00E36141"/>
    <w:rsid w:val="00E3626E"/>
    <w:rsid w:val="00E3707C"/>
    <w:rsid w:val="00E473DC"/>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6A3F"/>
    <w:rsid w:val="00EB7312"/>
    <w:rsid w:val="00EC040A"/>
    <w:rsid w:val="00ED075F"/>
    <w:rsid w:val="00ED168C"/>
    <w:rsid w:val="00ED627A"/>
    <w:rsid w:val="00EE1857"/>
    <w:rsid w:val="00EE461C"/>
    <w:rsid w:val="00EF1A1F"/>
    <w:rsid w:val="00EF7898"/>
    <w:rsid w:val="00F00BCD"/>
    <w:rsid w:val="00F00BE7"/>
    <w:rsid w:val="00F01FCC"/>
    <w:rsid w:val="00F06166"/>
    <w:rsid w:val="00F07315"/>
    <w:rsid w:val="00F07FFC"/>
    <w:rsid w:val="00F1406C"/>
    <w:rsid w:val="00F14779"/>
    <w:rsid w:val="00F14944"/>
    <w:rsid w:val="00F1611A"/>
    <w:rsid w:val="00F1720E"/>
    <w:rsid w:val="00F17A96"/>
    <w:rsid w:val="00F21760"/>
    <w:rsid w:val="00F30F67"/>
    <w:rsid w:val="00F35C39"/>
    <w:rsid w:val="00F40CAC"/>
    <w:rsid w:val="00F4154E"/>
    <w:rsid w:val="00F4214B"/>
    <w:rsid w:val="00F44D67"/>
    <w:rsid w:val="00F47505"/>
    <w:rsid w:val="00F53750"/>
    <w:rsid w:val="00F54B9F"/>
    <w:rsid w:val="00F56E1B"/>
    <w:rsid w:val="00F605BB"/>
    <w:rsid w:val="00F61E80"/>
    <w:rsid w:val="00F621FD"/>
    <w:rsid w:val="00F62777"/>
    <w:rsid w:val="00F67EC4"/>
    <w:rsid w:val="00F85797"/>
    <w:rsid w:val="00F86352"/>
    <w:rsid w:val="00F902DC"/>
    <w:rsid w:val="00F91B36"/>
    <w:rsid w:val="00F934E2"/>
    <w:rsid w:val="00F9420C"/>
    <w:rsid w:val="00F957BD"/>
    <w:rsid w:val="00F95E0F"/>
    <w:rsid w:val="00FA02AD"/>
    <w:rsid w:val="00FA41C0"/>
    <w:rsid w:val="00FA4A30"/>
    <w:rsid w:val="00FB1B62"/>
    <w:rsid w:val="00FB2034"/>
    <w:rsid w:val="00FC2562"/>
    <w:rsid w:val="00FD107C"/>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9637">
      <w:bodyDiv w:val="1"/>
      <w:marLeft w:val="0"/>
      <w:marRight w:val="0"/>
      <w:marTop w:val="0"/>
      <w:marBottom w:val="0"/>
      <w:divBdr>
        <w:top w:val="none" w:sz="0" w:space="0" w:color="auto"/>
        <w:left w:val="none" w:sz="0" w:space="0" w:color="auto"/>
        <w:bottom w:val="none" w:sz="0" w:space="0" w:color="auto"/>
        <w:right w:val="none" w:sz="0" w:space="0" w:color="auto"/>
      </w:divBdr>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942538871">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255088281">
      <w:bodyDiv w:val="1"/>
      <w:marLeft w:val="0"/>
      <w:marRight w:val="0"/>
      <w:marTop w:val="0"/>
      <w:marBottom w:val="0"/>
      <w:divBdr>
        <w:top w:val="none" w:sz="0" w:space="0" w:color="auto"/>
        <w:left w:val="none" w:sz="0" w:space="0" w:color="auto"/>
        <w:bottom w:val="none" w:sz="0" w:space="0" w:color="auto"/>
        <w:right w:val="none" w:sz="0" w:space="0" w:color="auto"/>
      </w:divBdr>
    </w:div>
    <w:div w:id="1263949927">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 w:id="2059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ndyourcent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950A5A1B1C142BAFA4CA56D06610C" ma:contentTypeVersion="13" ma:contentTypeDescription="Create a new document." ma:contentTypeScope="" ma:versionID="d5a89de075dbb951f43da12948a8a3f6">
  <xsd:schema xmlns:xsd="http://www.w3.org/2001/XMLSchema" xmlns:xs="http://www.w3.org/2001/XMLSchema" xmlns:p="http://schemas.microsoft.com/office/2006/metadata/properties" xmlns:ns2="c17c40e3-9cf9-4e97-b26d-5b5921fd9403" xmlns:ns3="0d26ac7d-1f29-4393-bcdc-9fa01d2f37f6" targetNamespace="http://schemas.microsoft.com/office/2006/metadata/properties" ma:root="true" ma:fieldsID="34ce530d2570850e9bb4ea3b8072a804" ns2:_="" ns3:_="">
    <xsd:import namespace="c17c40e3-9cf9-4e97-b26d-5b5921fd9403"/>
    <xsd:import namespace="0d26ac7d-1f29-4393-bcdc-9fa01d2f3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c40e3-9cf9-4e97-b26d-5b5921fd94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6ac7d-1f29-4393-bcdc-9fa01d2f3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FDFBF-1458-4761-A412-CD8FF000166B}">
  <ds:schemaRefs>
    <ds:schemaRef ds:uri="http://schemas.microsoft.com/sharepoint/v3/contenttype/forms"/>
  </ds:schemaRefs>
</ds:datastoreItem>
</file>

<file path=customXml/itemProps2.xml><?xml version="1.0" encoding="utf-8"?>
<ds:datastoreItem xmlns:ds="http://schemas.openxmlformats.org/officeDocument/2006/customXml" ds:itemID="{7FE3C5C5-A1A9-4179-8988-A818DC0B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c40e3-9cf9-4e97-b26d-5b5921fd9403"/>
    <ds:schemaRef ds:uri="0d26ac7d-1f29-4393-bcdc-9fa01d2f3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customXml/itemProps4.xml><?xml version="1.0" encoding="utf-8"?>
<ds:datastoreItem xmlns:ds="http://schemas.openxmlformats.org/officeDocument/2006/customXml" ds:itemID="{DBAD0609-599F-4E09-9BE9-7E14C4D88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Vancouver Stock Exchange</Company>
  <LinksUpToDate>false</LinksUpToDate>
  <CharactersWithSpaces>10830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Joseph E Meehan</cp:lastModifiedBy>
  <cp:revision>36</cp:revision>
  <cp:lastPrinted>2018-12-04T09:34:00Z</cp:lastPrinted>
  <dcterms:created xsi:type="dcterms:W3CDTF">2021-07-06T14:35:00Z</dcterms:created>
  <dcterms:modified xsi:type="dcterms:W3CDTF">2021-08-05T17:06:00Z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0x010100145950A5A1B1C142BAFA4CA56D06610C</vt:lpwstr>
  </property>
</Properties>
</file>